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231F20"/>
        </w:rPr>
        <mc:AlternateContent>
          <mc:Choice Requires="wps">
            <w:drawing>
              <wp:anchor simplePos="0" relativeHeight="251657728" behindDoc="1" locked="0" layoutInCell="0" allowOverlap="1">
                <wp:simplePos x="0" y="0"/>
                <wp:positionH relativeFrom="page">
                  <wp:posOffset>438785</wp:posOffset>
                </wp:positionH>
                <wp:positionV relativeFrom="page">
                  <wp:posOffset>503555</wp:posOffset>
                </wp:positionV>
                <wp:extent cx="689483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39.65pt" to="577.45pt,39.65pt" o:allowincell="f" strokecolor="#231F20" strokeweight="0.75pt">
                <w10:wrap anchorx="page" anchory="page"/>
              </v:line>
            </w:pict>
          </mc:Fallback>
        </mc:AlternateContent>
        <w:t>UNITED STATES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-191770</wp:posOffset>
                </wp:positionV>
                <wp:extent cx="68948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5.0999pt" to="541.45pt,-15.0999pt" o:allowincell="f" strokecolor="#231F20" strokeweight="0.75pt"/>
            </w:pict>
          </mc:Fallback>
        </mc:AlternateContent>
      </w:r>
    </w:p>
    <w:p>
      <w:pPr>
        <w:jc w:val="center"/>
        <w:spacing w:after="0"/>
        <w:rPr>
          <w:sz w:val="20"/>
          <w:szCs w:val="20"/>
          <w:color w:val="auto"/>
        </w:rPr>
      </w:pPr>
      <w:r>
        <w:rPr>
          <w:rFonts w:ascii="Times New Roman" w:cs="Times New Roman" w:eastAsia="Times New Roman" w:hAnsi="Times New Roman"/>
          <w:sz w:val="28"/>
          <w:szCs w:val="28"/>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40005</wp:posOffset>
                </wp:positionV>
                <wp:extent cx="14084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3.15pt" to="325.45pt,3.15pt" o:allowincell="f" strokecolor="#231F20" strokeweight="1pt"/>
            </w:pict>
          </mc:Fallback>
        </mc:AlternateConten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FORM 10-K</w:t>
      </w:r>
    </w:p>
    <w:p>
      <w:pPr>
        <w:spacing w:after="0" w:line="49" w:lineRule="exact"/>
        <w:rPr>
          <w:sz w:val="24"/>
          <w:szCs w:val="24"/>
          <w:color w:val="auto"/>
        </w:rPr>
      </w:pPr>
    </w:p>
    <w:p>
      <w:pPr>
        <w:ind w:left="860" w:hanging="860"/>
        <w:spacing w:after="0"/>
        <w:tabs>
          <w:tab w:leader="none" w:pos="860" w:val="left"/>
        </w:tabs>
        <w:numPr>
          <w:ilvl w:val="0"/>
          <w:numId w:val="1"/>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color w:val="231F20"/>
        </w:rPr>
        <w:t>ANNUAL REPORT PURSUANT TO SECTION 13 OR 15(d) OF THE SECURITIES EXCHANGE ACT OF 1934</w:t>
      </w:r>
    </w:p>
    <w:p>
      <w:pPr>
        <w:spacing w:after="0" w:line="6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231F20"/>
        </w:rPr>
        <w:t>For the fiscal year ended December 31, 2023</w:t>
      </w:r>
    </w:p>
    <w:p>
      <w:pPr>
        <w:spacing w:after="0" w:line="34"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9"/>
          <w:szCs w:val="19"/>
          <w:b w:val="1"/>
          <w:bCs w:val="1"/>
          <w:color w:val="231F20"/>
        </w:rPr>
        <w:t>OR</w:t>
      </w:r>
    </w:p>
    <w:p>
      <w:pPr>
        <w:spacing w:after="0" w:line="20" w:lineRule="exact"/>
        <w:rPr>
          <w:sz w:val="24"/>
          <w:szCs w:val="24"/>
          <w:color w:val="auto"/>
        </w:rPr>
      </w:pPr>
    </w:p>
    <w:p>
      <w:pPr>
        <w:ind w:left="860" w:right="200" w:hanging="860"/>
        <w:spacing w:after="0" w:line="243" w:lineRule="auto"/>
        <w:tabs>
          <w:tab w:leader="none" w:pos="860" w:val="left"/>
        </w:tabs>
        <w:numPr>
          <w:ilvl w:val="0"/>
          <w:numId w:val="2"/>
        </w:numPr>
        <w:rPr>
          <w:rFonts w:ascii="PMingLiU" w:cs="PMingLiU" w:eastAsia="PMingLiU" w:hAnsi="PMingLiU"/>
          <w:sz w:val="20"/>
          <w:szCs w:val="20"/>
          <w:color w:val="231F20"/>
        </w:rPr>
      </w:pPr>
      <w:r>
        <w:rPr>
          <w:rFonts w:ascii="Times New Roman" w:cs="Times New Roman" w:eastAsia="Times New Roman" w:hAnsi="Times New Roman"/>
          <w:sz w:val="20"/>
          <w:szCs w:val="20"/>
          <w:b w:val="1"/>
          <w:bCs w:val="1"/>
          <w:color w:val="231F20"/>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Commission file number 001-36364</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231F20"/>
        </w:rPr>
        <w:t>Sixth Street Specialty Lending,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-306070</wp:posOffset>
                </wp:positionV>
                <wp:extent cx="14084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24.0999pt" to="325.45pt,-24.0999pt" o:allowincell="f" strokecolor="#231F20" strokeweight="1pt"/>
            </w:pict>
          </mc:Fallback>
        </mc:AlternateConten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(Exact Name of Registrant as Specified in Its Charter)</w:t>
      </w:r>
    </w:p>
    <w:tbl>
      <w:tblPr>
        <w:tblLayout w:type="fixed"/>
        <w:tblInd w:w="1240" w:type="dxa"/>
        <w:tblCellMar>
          <w:top w:w="0" w:type="dxa"/>
          <w:left w:w="0" w:type="dxa"/>
          <w:bottom w:w="0" w:type="dxa"/>
          <w:right w:w="0" w:type="dxa"/>
        </w:tblCellMar>
      </w:tblPr>
      <w:tr>
        <w:trPr>
          <w:trHeight w:val="217"/>
        </w:trPr>
        <w:tc>
          <w:tcPr>
            <w:tcW w:w="4600" w:type="dxa"/>
            <w:vAlign w:val="bottom"/>
          </w:tcPr>
          <w:p>
            <w:pPr>
              <w:jc w:val="center"/>
              <w:ind w:right="1595"/>
              <w:spacing w:after="0" w:line="216" w:lineRule="exact"/>
              <w:rPr>
                <w:sz w:val="20"/>
                <w:szCs w:val="20"/>
                <w:color w:val="auto"/>
              </w:rPr>
            </w:pPr>
            <w:r>
              <w:rPr>
                <w:rFonts w:ascii="Times New Roman" w:cs="Times New Roman" w:eastAsia="Times New Roman" w:hAnsi="Times New Roman"/>
                <w:sz w:val="19"/>
                <w:szCs w:val="19"/>
                <w:b w:val="1"/>
                <w:bCs w:val="1"/>
                <w:color w:val="231F20"/>
                <w:w w:val="98"/>
              </w:rPr>
              <w:t>Delaware</w:t>
            </w:r>
          </w:p>
        </w:tc>
        <w:tc>
          <w:tcPr>
            <w:tcW w:w="2840" w:type="dxa"/>
            <w:vAlign w:val="bottom"/>
          </w:tcPr>
          <w:p>
            <w:pPr>
              <w:jc w:val="right"/>
              <w:ind w:right="37"/>
              <w:spacing w:after="0" w:line="216" w:lineRule="exact"/>
              <w:rPr>
                <w:sz w:val="20"/>
                <w:szCs w:val="20"/>
                <w:color w:val="auto"/>
              </w:rPr>
            </w:pPr>
            <w:r>
              <w:rPr>
                <w:rFonts w:ascii="Times New Roman" w:cs="Times New Roman" w:eastAsia="Times New Roman" w:hAnsi="Times New Roman"/>
                <w:sz w:val="19"/>
                <w:szCs w:val="19"/>
                <w:b w:val="1"/>
                <w:bCs w:val="1"/>
                <w:color w:val="231F20"/>
              </w:rPr>
              <w:t>27-3380000</w:t>
            </w:r>
          </w:p>
        </w:tc>
      </w:tr>
      <w:tr>
        <w:trPr>
          <w:trHeight w:val="164"/>
        </w:trPr>
        <w:tc>
          <w:tcPr>
            <w:tcW w:w="4600" w:type="dxa"/>
            <w:vAlign w:val="bottom"/>
          </w:tcPr>
          <w:p>
            <w:pPr>
              <w:jc w:val="center"/>
              <w:ind w:right="1595"/>
              <w:spacing w:after="0" w:line="164" w:lineRule="exact"/>
              <w:rPr>
                <w:sz w:val="20"/>
                <w:szCs w:val="20"/>
                <w:color w:val="auto"/>
              </w:rPr>
            </w:pPr>
            <w:r>
              <w:rPr>
                <w:rFonts w:ascii="Times New Roman" w:cs="Times New Roman" w:eastAsia="Times New Roman" w:hAnsi="Times New Roman"/>
                <w:sz w:val="15"/>
                <w:szCs w:val="15"/>
                <w:b w:val="1"/>
                <w:bCs w:val="1"/>
                <w:color w:val="231F20"/>
              </w:rPr>
              <w:t>(State or other jurisdiction of</w:t>
            </w:r>
          </w:p>
        </w:tc>
        <w:tc>
          <w:tcPr>
            <w:tcW w:w="2840" w:type="dxa"/>
            <w:vAlign w:val="bottom"/>
          </w:tcPr>
          <w:p>
            <w:pPr>
              <w:jc w:val="center"/>
              <w:ind w:left="1597"/>
              <w:spacing w:after="0" w:line="164" w:lineRule="exact"/>
              <w:rPr>
                <w:sz w:val="20"/>
                <w:szCs w:val="20"/>
                <w:color w:val="auto"/>
              </w:rPr>
            </w:pPr>
            <w:r>
              <w:rPr>
                <w:rFonts w:ascii="Times New Roman" w:cs="Times New Roman" w:eastAsia="Times New Roman" w:hAnsi="Times New Roman"/>
                <w:sz w:val="15"/>
                <w:szCs w:val="15"/>
                <w:b w:val="1"/>
                <w:bCs w:val="1"/>
                <w:color w:val="231F20"/>
                <w:w w:val="99"/>
              </w:rPr>
              <w:t>(I.R.S. Employer</w:t>
            </w:r>
          </w:p>
        </w:tc>
      </w:tr>
      <w:tr>
        <w:trPr>
          <w:trHeight w:val="206"/>
        </w:trPr>
        <w:tc>
          <w:tcPr>
            <w:tcW w:w="4600" w:type="dxa"/>
            <w:vAlign w:val="bottom"/>
          </w:tcPr>
          <w:p>
            <w:pPr>
              <w:jc w:val="center"/>
              <w:ind w:right="1595"/>
              <w:spacing w:after="0"/>
              <w:rPr>
                <w:sz w:val="20"/>
                <w:szCs w:val="20"/>
                <w:color w:val="auto"/>
              </w:rPr>
            </w:pPr>
            <w:r>
              <w:rPr>
                <w:rFonts w:ascii="Times New Roman" w:cs="Times New Roman" w:eastAsia="Times New Roman" w:hAnsi="Times New Roman"/>
                <w:sz w:val="15"/>
                <w:szCs w:val="15"/>
                <w:b w:val="1"/>
                <w:bCs w:val="1"/>
                <w:color w:val="231F20"/>
              </w:rPr>
              <w:t>incorporation or organization)</w:t>
            </w:r>
          </w:p>
        </w:tc>
        <w:tc>
          <w:tcPr>
            <w:tcW w:w="2840" w:type="dxa"/>
            <w:vAlign w:val="bottom"/>
          </w:tcPr>
          <w:p>
            <w:pPr>
              <w:jc w:val="center"/>
              <w:ind w:left="1597"/>
              <w:spacing w:after="0"/>
              <w:rPr>
                <w:sz w:val="20"/>
                <w:szCs w:val="20"/>
                <w:color w:val="auto"/>
              </w:rPr>
            </w:pPr>
            <w:r>
              <w:rPr>
                <w:rFonts w:ascii="Times New Roman" w:cs="Times New Roman" w:eastAsia="Times New Roman" w:hAnsi="Times New Roman"/>
                <w:sz w:val="15"/>
                <w:szCs w:val="15"/>
                <w:b w:val="1"/>
                <w:bCs w:val="1"/>
                <w:color w:val="231F20"/>
                <w:w w:val="98"/>
              </w:rPr>
              <w:t>Identification No.)</w:t>
            </w:r>
          </w:p>
        </w:tc>
      </w:tr>
      <w:tr>
        <w:trPr>
          <w:trHeight w:val="225"/>
        </w:trPr>
        <w:tc>
          <w:tcPr>
            <w:tcW w:w="4600" w:type="dxa"/>
            <w:vAlign w:val="bottom"/>
          </w:tcPr>
          <w:p>
            <w:pPr>
              <w:jc w:val="center"/>
              <w:ind w:right="1595"/>
              <w:spacing w:after="0"/>
              <w:rPr>
                <w:sz w:val="20"/>
                <w:szCs w:val="20"/>
                <w:color w:val="auto"/>
              </w:rPr>
            </w:pPr>
            <w:r>
              <w:rPr>
                <w:rFonts w:ascii="Times New Roman" w:cs="Times New Roman" w:eastAsia="Times New Roman" w:hAnsi="Times New Roman"/>
                <w:sz w:val="19"/>
                <w:szCs w:val="19"/>
                <w:b w:val="1"/>
                <w:bCs w:val="1"/>
                <w:color w:val="231F20"/>
                <w:w w:val="99"/>
              </w:rPr>
              <w:t>2100 McKinney Avenue, Suite 1500,</w:t>
            </w:r>
          </w:p>
        </w:tc>
        <w:tc>
          <w:tcPr>
            <w:tcW w:w="2840" w:type="dxa"/>
            <w:vAlign w:val="bottom"/>
          </w:tcPr>
          <w:p>
            <w:pPr>
              <w:spacing w:after="0"/>
              <w:rPr>
                <w:sz w:val="19"/>
                <w:szCs w:val="19"/>
                <w:color w:val="auto"/>
              </w:rPr>
            </w:pPr>
          </w:p>
        </w:tc>
      </w:tr>
      <w:tr>
        <w:trPr>
          <w:trHeight w:val="229"/>
        </w:trPr>
        <w:tc>
          <w:tcPr>
            <w:tcW w:w="4600" w:type="dxa"/>
            <w:vAlign w:val="bottom"/>
          </w:tcPr>
          <w:p>
            <w:pPr>
              <w:jc w:val="center"/>
              <w:ind w:right="1595"/>
              <w:spacing w:after="0"/>
              <w:rPr>
                <w:sz w:val="20"/>
                <w:szCs w:val="20"/>
                <w:color w:val="auto"/>
              </w:rPr>
            </w:pPr>
            <w:r>
              <w:rPr>
                <w:rFonts w:ascii="Times New Roman" w:cs="Times New Roman" w:eastAsia="Times New Roman" w:hAnsi="Times New Roman"/>
                <w:sz w:val="19"/>
                <w:szCs w:val="19"/>
                <w:b w:val="1"/>
                <w:bCs w:val="1"/>
                <w:color w:val="231F20"/>
              </w:rPr>
              <w:t>Dallas, TX</w:t>
            </w:r>
          </w:p>
        </w:tc>
        <w:tc>
          <w:tcPr>
            <w:tcW w:w="2840" w:type="dxa"/>
            <w:vAlign w:val="bottom"/>
          </w:tcPr>
          <w:p>
            <w:pPr>
              <w:jc w:val="right"/>
              <w:ind w:right="257"/>
              <w:spacing w:after="0"/>
              <w:rPr>
                <w:sz w:val="20"/>
                <w:szCs w:val="20"/>
                <w:color w:val="auto"/>
              </w:rPr>
            </w:pPr>
            <w:r>
              <w:rPr>
                <w:rFonts w:ascii="Times New Roman" w:cs="Times New Roman" w:eastAsia="Times New Roman" w:hAnsi="Times New Roman"/>
                <w:sz w:val="19"/>
                <w:szCs w:val="19"/>
                <w:b w:val="1"/>
                <w:bCs w:val="1"/>
                <w:color w:val="231F20"/>
              </w:rPr>
              <w:t>75201</w:t>
            </w:r>
          </w:p>
        </w:tc>
      </w:tr>
      <w:tr>
        <w:trPr>
          <w:trHeight w:val="206"/>
        </w:trPr>
        <w:tc>
          <w:tcPr>
            <w:tcW w:w="4600" w:type="dxa"/>
            <w:vAlign w:val="bottom"/>
          </w:tcPr>
          <w:p>
            <w:pPr>
              <w:jc w:val="center"/>
              <w:ind w:right="1595"/>
              <w:spacing w:after="0"/>
              <w:rPr>
                <w:sz w:val="20"/>
                <w:szCs w:val="20"/>
                <w:color w:val="auto"/>
              </w:rPr>
            </w:pPr>
            <w:r>
              <w:rPr>
                <w:rFonts w:ascii="Times New Roman" w:cs="Times New Roman" w:eastAsia="Times New Roman" w:hAnsi="Times New Roman"/>
                <w:sz w:val="15"/>
                <w:szCs w:val="15"/>
                <w:b w:val="1"/>
                <w:bCs w:val="1"/>
                <w:color w:val="231F20"/>
                <w:w w:val="99"/>
              </w:rPr>
              <w:t>(Address of principal executive offices)</w:t>
            </w:r>
          </w:p>
        </w:tc>
        <w:tc>
          <w:tcPr>
            <w:tcW w:w="2840" w:type="dxa"/>
            <w:vAlign w:val="bottom"/>
          </w:tcPr>
          <w:p>
            <w:pPr>
              <w:jc w:val="center"/>
              <w:ind w:left="1597"/>
              <w:spacing w:after="0"/>
              <w:rPr>
                <w:sz w:val="20"/>
                <w:szCs w:val="20"/>
                <w:color w:val="auto"/>
              </w:rPr>
            </w:pPr>
            <w:r>
              <w:rPr>
                <w:rFonts w:ascii="Times New Roman" w:cs="Times New Roman" w:eastAsia="Times New Roman" w:hAnsi="Times New Roman"/>
                <w:sz w:val="15"/>
                <w:szCs w:val="15"/>
                <w:b w:val="1"/>
                <w:bCs w:val="1"/>
                <w:color w:val="231F20"/>
                <w:w w:val="97"/>
              </w:rPr>
              <w:t>(Zip Code)</w:t>
            </w:r>
          </w:p>
        </w:tc>
      </w:tr>
    </w:tbl>
    <w:p>
      <w:pPr>
        <w:jc w:val="center"/>
        <w:spacing w:after="0"/>
        <w:rPr>
          <w:sz w:val="20"/>
          <w:szCs w:val="20"/>
          <w:color w:val="auto"/>
        </w:rPr>
      </w:pPr>
      <w:r>
        <w:rPr>
          <w:rFonts w:ascii="Times New Roman" w:cs="Times New Roman" w:eastAsia="Times New Roman" w:hAnsi="Times New Roman"/>
          <w:sz w:val="19"/>
          <w:szCs w:val="19"/>
          <w:b w:val="1"/>
          <w:bCs w:val="1"/>
          <w:color w:val="231F20"/>
        </w:rPr>
        <w:t>Registrant’s Telephone Number, Including Area Code: (469) 621-3001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3620" w:type="dxa"/>
            <w:vAlign w:val="bottom"/>
            <w:tcBorders>
              <w:top w:val="single" w:sz="8" w:color="231F20"/>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Title of each class</w:t>
            </w:r>
          </w:p>
        </w:tc>
        <w:tc>
          <w:tcPr>
            <w:tcW w:w="680" w:type="dxa"/>
            <w:vAlign w:val="bottom"/>
            <w:tcBorders>
              <w:top w:val="single" w:sz="8" w:color="231F20"/>
              <w:bottom w:val="single" w:sz="8" w:color="231F20"/>
            </w:tcBorders>
          </w:tcPr>
          <w:p>
            <w:pPr>
              <w:spacing w:after="0"/>
              <w:rPr>
                <w:sz w:val="15"/>
                <w:szCs w:val="15"/>
                <w:color w:val="auto"/>
              </w:rPr>
            </w:pPr>
          </w:p>
        </w:tc>
        <w:tc>
          <w:tcPr>
            <w:tcW w:w="2920" w:type="dxa"/>
            <w:vAlign w:val="bottom"/>
            <w:tcBorders>
              <w:top w:val="single" w:sz="8" w:color="231F20"/>
              <w:bottom w:val="single" w:sz="8" w:color="231F20"/>
              <w:right w:val="single" w:sz="8" w:color="231F20"/>
            </w:tcBorders>
            <w:gridSpan w:val="2"/>
          </w:tcPr>
          <w:p>
            <w:pPr>
              <w:jc w:val="center"/>
              <w:ind w:right="625"/>
              <w:spacing w:after="0"/>
              <w:rPr>
                <w:sz w:val="20"/>
                <w:szCs w:val="20"/>
                <w:color w:val="auto"/>
              </w:rPr>
            </w:pPr>
            <w:r>
              <w:rPr>
                <w:rFonts w:ascii="Times New Roman" w:cs="Times New Roman" w:eastAsia="Times New Roman" w:hAnsi="Times New Roman"/>
                <w:sz w:val="15"/>
                <w:szCs w:val="15"/>
                <w:b w:val="1"/>
                <w:bCs w:val="1"/>
                <w:color w:val="231F20"/>
                <w:w w:val="99"/>
              </w:rPr>
              <w:t>Trading Symbol(s)</w:t>
            </w:r>
          </w:p>
        </w:tc>
        <w:tc>
          <w:tcPr>
            <w:tcW w:w="3600" w:type="dxa"/>
            <w:vAlign w:val="bottom"/>
            <w:tcBorders>
              <w:top w:val="single" w:sz="8" w:color="231F20"/>
              <w:bottom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Name of each exchange on which registered</w:t>
            </w:r>
          </w:p>
        </w:tc>
        <w:tc>
          <w:tcPr>
            <w:tcW w:w="0" w:type="dxa"/>
            <w:vAlign w:val="bottom"/>
          </w:tcPr>
          <w:p>
            <w:pPr>
              <w:spacing w:after="0"/>
              <w:rPr>
                <w:sz w:val="1"/>
                <w:szCs w:val="1"/>
                <w:color w:val="auto"/>
              </w:rPr>
            </w:pPr>
          </w:p>
        </w:tc>
      </w:tr>
      <w:tr>
        <w:trPr>
          <w:trHeight w:val="258"/>
        </w:trPr>
        <w:tc>
          <w:tcPr>
            <w:tcW w:w="362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9"/>
                <w:szCs w:val="19"/>
                <w:b w:val="1"/>
                <w:bCs w:val="1"/>
                <w:color w:val="231F20"/>
              </w:rPr>
              <w:t>Common Stock, par value $0.01 per share</w:t>
            </w:r>
          </w:p>
        </w:tc>
        <w:tc>
          <w:tcPr>
            <w:tcW w:w="680" w:type="dxa"/>
            <w:vAlign w:val="bottom"/>
            <w:tcBorders>
              <w:bottom w:val="single" w:sz="8" w:color="231F20"/>
            </w:tcBorders>
          </w:tcPr>
          <w:p>
            <w:pPr>
              <w:spacing w:after="0"/>
              <w:rPr>
                <w:sz w:val="22"/>
                <w:szCs w:val="22"/>
                <w:color w:val="auto"/>
              </w:rPr>
            </w:pPr>
          </w:p>
        </w:tc>
        <w:tc>
          <w:tcPr>
            <w:tcW w:w="2920" w:type="dxa"/>
            <w:vAlign w:val="bottom"/>
            <w:tcBorders>
              <w:bottom w:val="single" w:sz="8" w:color="231F20"/>
              <w:right w:val="single" w:sz="8" w:color="231F20"/>
            </w:tcBorders>
            <w:gridSpan w:val="2"/>
          </w:tcPr>
          <w:p>
            <w:pPr>
              <w:jc w:val="center"/>
              <w:ind w:right="625"/>
              <w:spacing w:after="0"/>
              <w:rPr>
                <w:sz w:val="20"/>
                <w:szCs w:val="20"/>
                <w:color w:val="auto"/>
              </w:rPr>
            </w:pPr>
            <w:r>
              <w:rPr>
                <w:rFonts w:ascii="Times New Roman" w:cs="Times New Roman" w:eastAsia="Times New Roman" w:hAnsi="Times New Roman"/>
                <w:sz w:val="19"/>
                <w:szCs w:val="19"/>
                <w:b w:val="1"/>
                <w:bCs w:val="1"/>
                <w:color w:val="231F20"/>
                <w:w w:val="96"/>
              </w:rPr>
              <w:t>TSLX</w:t>
            </w:r>
          </w:p>
        </w:tc>
        <w:tc>
          <w:tcPr>
            <w:tcW w:w="3600" w:type="dxa"/>
            <w:vAlign w:val="bottom"/>
            <w:tcBorders>
              <w:bottom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b w:val="1"/>
                <w:bCs w:val="1"/>
                <w:color w:val="231F20"/>
                <w:w w:val="99"/>
              </w:rPr>
              <w:t>The New York Stock Exchange</w:t>
            </w:r>
          </w:p>
        </w:tc>
        <w:tc>
          <w:tcPr>
            <w:tcW w:w="0" w:type="dxa"/>
            <w:vAlign w:val="bottom"/>
          </w:tcPr>
          <w:p>
            <w:pPr>
              <w:spacing w:after="0"/>
              <w:rPr>
                <w:sz w:val="1"/>
                <w:szCs w:val="1"/>
                <w:color w:val="auto"/>
              </w:rPr>
            </w:pPr>
          </w:p>
        </w:tc>
      </w:tr>
      <w:tr>
        <w:trPr>
          <w:trHeight w:val="247"/>
        </w:trPr>
        <w:tc>
          <w:tcPr>
            <w:tcW w:w="9100" w:type="dxa"/>
            <w:vAlign w:val="bottom"/>
            <w:gridSpan w:val="5"/>
          </w:tcPr>
          <w:p>
            <w:pPr>
              <w:jc w:val="center"/>
              <w:ind w:left="1609"/>
              <w:spacing w:after="0"/>
              <w:rPr>
                <w:sz w:val="20"/>
                <w:szCs w:val="20"/>
                <w:color w:val="auto"/>
              </w:rPr>
            </w:pPr>
            <w:r>
              <w:rPr>
                <w:rFonts w:ascii="Times New Roman" w:cs="Times New Roman" w:eastAsia="Times New Roman" w:hAnsi="Times New Roman"/>
                <w:sz w:val="19"/>
                <w:szCs w:val="19"/>
                <w:b w:val="1"/>
                <w:bCs w:val="1"/>
                <w:color w:val="231F20"/>
              </w:rPr>
              <w:t>Securities registered pursuant to Section 12(g) of the Act: None</w:t>
            </w: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920" w:type="dxa"/>
            <w:vAlign w:val="bottom"/>
            <w:gridSpan w:val="2"/>
          </w:tcPr>
          <w:p>
            <w:pPr>
              <w:jc w:val="center"/>
              <w:ind w:right="605"/>
              <w:spacing w:after="0"/>
              <w:rPr>
                <w:sz w:val="20"/>
                <w:szCs w:val="20"/>
                <w:color w:val="auto"/>
              </w:rPr>
            </w:pPr>
            <w:r>
              <w:rPr>
                <w:rFonts w:ascii="Times New Roman" w:cs="Times New Roman" w:eastAsia="Times New Roman" w:hAnsi="Times New Roman"/>
                <w:sz w:val="19"/>
                <w:szCs w:val="19"/>
                <w:b w:val="1"/>
                <w:bCs w:val="1"/>
                <w:color w:val="231F20"/>
                <w:w w:val="99"/>
              </w:rPr>
              <w:t>(Title of class)</w:t>
            </w:r>
          </w:p>
        </w:tc>
        <w:tc>
          <w:tcPr>
            <w:tcW w:w="1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9100" w:type="dxa"/>
            <w:vAlign w:val="bottom"/>
            <w:gridSpan w:val="5"/>
          </w:tcPr>
          <w:p>
            <w:pPr>
              <w:spacing w:after="0"/>
              <w:rPr>
                <w:sz w:val="5"/>
                <w:szCs w:val="5"/>
                <w:color w:val="auto"/>
              </w:rPr>
            </w:pPr>
          </w:p>
        </w:tc>
        <w:tc>
          <w:tcPr>
            <w:tcW w:w="740" w:type="dxa"/>
            <w:vAlign w:val="bottom"/>
            <w:vMerge w:val="restart"/>
          </w:tcPr>
          <w:p>
            <w:pPr>
              <w:ind w:left="20"/>
              <w:spacing w:after="0" w:line="232" w:lineRule="exact"/>
              <w:rPr>
                <w:sz w:val="20"/>
                <w:szCs w:val="20"/>
                <w:color w:val="auto"/>
              </w:rPr>
            </w:pPr>
            <w:r>
              <w:rPr>
                <w:rFonts w:ascii="Times New Roman" w:cs="Times New Roman" w:eastAsia="Times New Roman" w:hAnsi="Times New Roman"/>
                <w:sz w:val="19"/>
                <w:szCs w:val="19"/>
                <w:color w:val="231F20"/>
              </w:rPr>
              <w:t xml:space="preserve">Yes </w:t>
            </w:r>
            <w:r>
              <w:rPr>
                <w:rFonts w:ascii="PMingLiU" w:cs="PMingLiU" w:eastAsia="PMingLiU" w:hAnsi="PMingLiU"/>
                <w:sz w:val="19"/>
                <w:szCs w:val="19"/>
                <w:color w:val="231F20"/>
              </w:rPr>
              <w:t/>
            </w:r>
          </w:p>
        </w:tc>
        <w:tc>
          <w:tcPr>
            <w:tcW w:w="980" w:type="dxa"/>
            <w:vAlign w:val="bottom"/>
            <w:vMerge w:val="restart"/>
          </w:tcPr>
          <w:p>
            <w:pPr>
              <w:ind w:left="20"/>
              <w:spacing w:after="0" w:line="232" w:lineRule="exact"/>
              <w:rPr>
                <w:sz w:val="20"/>
                <w:szCs w:val="20"/>
                <w:color w:val="auto"/>
              </w:rPr>
            </w:pPr>
            <w:r>
              <w:rPr>
                <w:rFonts w:ascii="Times New Roman" w:cs="Times New Roman" w:eastAsia="Times New Roman" w:hAnsi="Times New Roman"/>
                <w:sz w:val="19"/>
                <w:szCs w:val="19"/>
                <w:color w:val="231F20"/>
              </w:rPr>
              <w:t xml:space="preserve">No </w:t>
            </w: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50"/>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Indicate by check mark if the registrant is a well-known</w:t>
            </w:r>
          </w:p>
        </w:tc>
        <w:tc>
          <w:tcPr>
            <w:tcW w:w="22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9"/>
                <w:szCs w:val="19"/>
                <w:color w:val="231F20"/>
                <w:w w:val="98"/>
              </w:rPr>
              <w:t>seasoned issuer, as defined in</w:t>
            </w:r>
          </w:p>
        </w:tc>
        <w:tc>
          <w:tcPr>
            <w:tcW w:w="260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231F20"/>
              </w:rPr>
              <w:t>Rule 405 of the Securities Act.</w:t>
            </w:r>
          </w:p>
        </w:tc>
        <w:tc>
          <w:tcPr>
            <w:tcW w:w="74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9100" w:type="dxa"/>
            <w:vAlign w:val="bottom"/>
            <w:gridSpan w:val="5"/>
          </w:tcPr>
          <w:p>
            <w:pPr>
              <w:spacing w:after="0"/>
              <w:rPr>
                <w:sz w:val="20"/>
                <w:szCs w:val="20"/>
                <w:color w:val="auto"/>
              </w:rPr>
            </w:pPr>
            <w:r>
              <w:rPr>
                <w:rFonts w:ascii="Times New Roman" w:cs="Times New Roman" w:eastAsia="Times New Roman" w:hAnsi="Times New Roman"/>
                <w:sz w:val="19"/>
                <w:szCs w:val="19"/>
                <w:color w:val="231F20"/>
                <w:w w:val="99"/>
              </w:rPr>
              <w:t>Indicate by check mark if the registrant is not required to file reports pursuant to Section 13 or Section 15(d) of the Act.</w:t>
            </w:r>
          </w:p>
        </w:tc>
        <w:tc>
          <w:tcPr>
            <w:tcW w:w="740" w:type="dxa"/>
            <w:vAlign w:val="bottom"/>
          </w:tcPr>
          <w:p>
            <w:pPr>
              <w:ind w:left="180"/>
              <w:spacing w:after="0" w:line="232" w:lineRule="exact"/>
              <w:rPr>
                <w:sz w:val="20"/>
                <w:szCs w:val="20"/>
                <w:color w:val="auto"/>
              </w:rPr>
            </w:pPr>
            <w:r>
              <w:rPr>
                <w:rFonts w:ascii="Times New Roman" w:cs="Times New Roman" w:eastAsia="Times New Roman" w:hAnsi="Times New Roman"/>
                <w:sz w:val="19"/>
                <w:szCs w:val="19"/>
                <w:color w:val="231F20"/>
              </w:rPr>
              <w:t xml:space="preserve">Yes </w:t>
            </w:r>
            <w:r>
              <w:rPr>
                <w:rFonts w:ascii="PMingLiU" w:cs="PMingLiU" w:eastAsia="PMingLiU" w:hAnsi="PMingLiU"/>
                <w:sz w:val="19"/>
                <w:szCs w:val="19"/>
                <w:color w:val="231F20"/>
              </w:rPr>
              <w:t/>
            </w:r>
          </w:p>
        </w:tc>
        <w:tc>
          <w:tcPr>
            <w:tcW w:w="980" w:type="dxa"/>
            <w:vAlign w:val="bottom"/>
          </w:tcPr>
          <w:p>
            <w:pPr>
              <w:ind w:left="180"/>
              <w:spacing w:after="0" w:line="232" w:lineRule="exact"/>
              <w:rPr>
                <w:sz w:val="20"/>
                <w:szCs w:val="20"/>
                <w:color w:val="auto"/>
              </w:rPr>
            </w:pPr>
            <w:r>
              <w:rPr>
                <w:rFonts w:ascii="Times New Roman" w:cs="Times New Roman" w:eastAsia="Times New Roman" w:hAnsi="Times New Roman"/>
                <w:sz w:val="19"/>
                <w:szCs w:val="19"/>
                <w:color w:val="231F20"/>
              </w:rPr>
              <w:t xml:space="preserve">No </w:t>
            </w: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bl>
    <w:p>
      <w:pPr>
        <w:ind w:right="120"/>
        <w:spacing w:after="0" w:line="236" w:lineRule="auto"/>
        <w:rPr>
          <w:sz w:val="20"/>
          <w:szCs w:val="20"/>
          <w:color w:val="auto"/>
        </w:rPr>
      </w:pPr>
      <w:r>
        <w:rPr>
          <w:rFonts w:ascii="Times New Roman" w:cs="Times New Roman" w:eastAsia="Times New Roman" w:hAnsi="Times New Roman"/>
          <w:sz w:val="18"/>
          <w:szCs w:val="18"/>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spacing w:after="0" w:line="232" w:lineRule="exact"/>
        <w:tabs>
          <w:tab w:leader="none" w:pos="4380" w:val="left"/>
          <w:tab w:leader="none" w:pos="5120" w:val="left"/>
        </w:tabs>
        <w:rPr>
          <w:sz w:val="20"/>
          <w:szCs w:val="20"/>
          <w:color w:val="auto"/>
        </w:rPr>
      </w:pPr>
      <w:r>
        <w:rPr>
          <w:rFonts w:ascii="Times New Roman" w:cs="Times New Roman" w:eastAsia="Times New Roman" w:hAnsi="Times New Roman"/>
          <w:sz w:val="19"/>
          <w:szCs w:val="19"/>
          <w:color w:val="231F20"/>
        </w:rPr>
        <w:t>subject to such filing requirements for the past 90 days.</w:t>
        <w:tab/>
        <w:t xml:space="preserve">Yes </w:t>
      </w:r>
      <w:r>
        <w:rPr>
          <w:rFonts w:ascii="PMingLiU" w:cs="PMingLiU" w:eastAsia="PMingLiU" w:hAnsi="PMingLiU"/>
          <w:sz w:val="19"/>
          <w:szCs w:val="19"/>
          <w:color w:val="231F20"/>
        </w:rPr>
        <w:t/>
      </w:r>
      <w:r>
        <w:rPr>
          <w:rFonts w:ascii="Times New Roman" w:cs="Times New Roman" w:eastAsia="Times New Roman" w:hAnsi="Times New Roman"/>
          <w:sz w:val="19"/>
          <w:szCs w:val="19"/>
          <w:color w:val="231F20"/>
        </w:rPr>
        <w:tab/>
        <w:t xml:space="preserve">No </w:t>
      </w:r>
      <w:r>
        <w:rPr>
          <w:rFonts w:ascii="PMingLiU" w:cs="PMingLiU" w:eastAsia="PMingLiU" w:hAnsi="PMingLiU"/>
          <w:sz w:val="19"/>
          <w:szCs w:val="19"/>
          <w:color w:val="231F20"/>
        </w:rPr>
        <w:t/>
      </w:r>
    </w:p>
    <w:p>
      <w:pPr>
        <w:spacing w:after="0" w:line="56" w:lineRule="exact"/>
        <w:rPr>
          <w:sz w:val="24"/>
          <w:szCs w:val="24"/>
          <w:color w:val="auto"/>
        </w:rPr>
      </w:pPr>
    </w:p>
    <w:p>
      <w:pPr>
        <w:ind w:right="260"/>
        <w:spacing w:after="0" w:line="224" w:lineRule="auto"/>
        <w:rPr>
          <w:sz w:val="20"/>
          <w:szCs w:val="20"/>
          <w:color w:val="auto"/>
        </w:rPr>
      </w:pPr>
      <w:r>
        <w:rPr>
          <w:rFonts w:ascii="Times New Roman" w:cs="Times New Roman" w:eastAsia="Times New Roman" w:hAnsi="Times New Roman"/>
          <w:sz w:val="19"/>
          <w:szCs w:val="19"/>
          <w:color w:val="231F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232" w:lineRule="exact"/>
        <w:tabs>
          <w:tab w:leader="none" w:pos="2500" w:val="left"/>
          <w:tab w:leader="none" w:pos="3240" w:val="left"/>
        </w:tabs>
        <w:rPr>
          <w:sz w:val="20"/>
          <w:szCs w:val="20"/>
          <w:color w:val="auto"/>
        </w:rPr>
      </w:pPr>
      <w:r>
        <w:rPr>
          <w:rFonts w:ascii="Times New Roman" w:cs="Times New Roman" w:eastAsia="Times New Roman" w:hAnsi="Times New Roman"/>
          <w:sz w:val="19"/>
          <w:szCs w:val="19"/>
          <w:color w:val="231F20"/>
        </w:rPr>
        <w:t>required to submit such files).</w:t>
        <w:tab/>
        <w:t xml:space="preserve">Yes </w:t>
      </w:r>
      <w:r>
        <w:rPr>
          <w:rFonts w:ascii="PMingLiU" w:cs="PMingLiU" w:eastAsia="PMingLiU" w:hAnsi="PMingLiU"/>
          <w:sz w:val="19"/>
          <w:szCs w:val="19"/>
          <w:color w:val="231F20"/>
        </w:rPr>
        <w:t/>
      </w:r>
      <w:r>
        <w:rPr>
          <w:rFonts w:ascii="Times New Roman" w:cs="Times New Roman" w:eastAsia="Times New Roman" w:hAnsi="Times New Roman"/>
          <w:sz w:val="19"/>
          <w:szCs w:val="19"/>
          <w:color w:val="231F20"/>
        </w:rPr>
        <w:tab/>
        <w:t xml:space="preserve">No </w:t>
      </w:r>
      <w:r>
        <w:rPr>
          <w:rFonts w:ascii="PMingLiU" w:cs="PMingLiU" w:eastAsia="PMingLiU" w:hAnsi="PMingLiU"/>
          <w:sz w:val="19"/>
          <w:szCs w:val="19"/>
          <w:color w:val="231F20"/>
        </w:rPr>
        <w:t/>
      </w:r>
    </w:p>
    <w:p>
      <w:pPr>
        <w:spacing w:after="0" w:line="56" w:lineRule="exact"/>
        <w:rPr>
          <w:sz w:val="24"/>
          <w:szCs w:val="24"/>
          <w:color w:val="auto"/>
        </w:rPr>
      </w:pPr>
    </w:p>
    <w:p>
      <w:pPr>
        <w:ind w:right="480"/>
        <w:spacing w:after="0" w:line="235" w:lineRule="auto"/>
        <w:rPr>
          <w:sz w:val="20"/>
          <w:szCs w:val="20"/>
          <w:color w:val="auto"/>
        </w:rPr>
      </w:pPr>
      <w:r>
        <w:rPr>
          <w:rFonts w:ascii="Times New Roman" w:cs="Times New Roman" w:eastAsia="Times New Roman" w:hAnsi="Times New Roman"/>
          <w:sz w:val="20"/>
          <w:szCs w:val="20"/>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480" w:type="dxa"/>
        <w:tblCellMar>
          <w:top w:w="0" w:type="dxa"/>
          <w:left w:w="0" w:type="dxa"/>
          <w:bottom w:w="0" w:type="dxa"/>
          <w:right w:w="0" w:type="dxa"/>
        </w:tblCellMar>
      </w:tblPr>
      <w:tr>
        <w:trPr>
          <w:trHeight w:val="326"/>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Large accelerated filer</w:t>
            </w:r>
          </w:p>
        </w:tc>
        <w:tc>
          <w:tcPr>
            <w:tcW w:w="1240" w:type="dxa"/>
            <w:vAlign w:val="bottom"/>
          </w:tcPr>
          <w:p>
            <w:pPr>
              <w:ind w:left="420"/>
              <w:spacing w:after="0" w:line="228" w:lineRule="exact"/>
              <w:rPr>
                <w:sz w:val="20"/>
                <w:szCs w:val="20"/>
                <w:color w:val="auto"/>
              </w:rPr>
            </w:pPr>
            <w:r>
              <w:rPr>
                <w:rFonts w:ascii="PMingLiU" w:cs="PMingLiU" w:eastAsia="PMingLiU" w:hAnsi="PMingLiU"/>
                <w:sz w:val="19"/>
                <w:szCs w:val="19"/>
                <w:color w:val="231F20"/>
              </w:rPr>
              <w:t/>
            </w:r>
          </w:p>
        </w:tc>
        <w:tc>
          <w:tcPr>
            <w:tcW w:w="4340" w:type="dxa"/>
            <w:vAlign w:val="bottom"/>
          </w:tcPr>
          <w:p>
            <w:pPr>
              <w:ind w:left="660"/>
              <w:spacing w:after="0"/>
              <w:rPr>
                <w:sz w:val="20"/>
                <w:szCs w:val="20"/>
                <w:color w:val="auto"/>
              </w:rPr>
            </w:pPr>
            <w:r>
              <w:rPr>
                <w:rFonts w:ascii="Times New Roman" w:cs="Times New Roman" w:eastAsia="Times New Roman" w:hAnsi="Times New Roman"/>
                <w:sz w:val="20"/>
                <w:szCs w:val="20"/>
                <w:color w:val="231F20"/>
              </w:rPr>
              <w:t>Accelerated filer</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259"/>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Non-Accelerated filer</w:t>
            </w:r>
          </w:p>
        </w:tc>
        <w:tc>
          <w:tcPr>
            <w:tcW w:w="1240" w:type="dxa"/>
            <w:vAlign w:val="bottom"/>
          </w:tcPr>
          <w:p>
            <w:pPr>
              <w:ind w:left="420"/>
              <w:spacing w:after="0" w:line="240" w:lineRule="exact"/>
              <w:rPr>
                <w:sz w:val="20"/>
                <w:szCs w:val="20"/>
                <w:color w:val="auto"/>
              </w:rPr>
            </w:pPr>
            <w:r>
              <w:rPr>
                <w:rFonts w:ascii="PMingLiU" w:cs="PMingLiU" w:eastAsia="PMingLiU" w:hAnsi="PMingLiU"/>
                <w:sz w:val="20"/>
                <w:szCs w:val="20"/>
                <w:color w:val="231F20"/>
              </w:rPr>
              <w:t/>
            </w:r>
          </w:p>
        </w:tc>
        <w:tc>
          <w:tcPr>
            <w:tcW w:w="4340" w:type="dxa"/>
            <w:vAlign w:val="bottom"/>
          </w:tcPr>
          <w:p>
            <w:pPr>
              <w:ind w:left="660"/>
              <w:spacing w:after="0"/>
              <w:rPr>
                <w:sz w:val="20"/>
                <w:szCs w:val="20"/>
                <w:color w:val="auto"/>
              </w:rPr>
            </w:pPr>
            <w:r>
              <w:rPr>
                <w:rFonts w:ascii="Times New Roman" w:cs="Times New Roman" w:eastAsia="Times New Roman" w:hAnsi="Times New Roman"/>
                <w:sz w:val="20"/>
                <w:szCs w:val="20"/>
                <w:color w:val="231F20"/>
              </w:rPr>
              <w:t>Smaller reporting company</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r>
        <w:trPr>
          <w:trHeight w:val="325"/>
        </w:trPr>
        <w:tc>
          <w:tcPr>
            <w:tcW w:w="2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40" w:type="dxa"/>
            <w:vAlign w:val="bottom"/>
          </w:tcPr>
          <w:p>
            <w:pPr>
              <w:ind w:left="660"/>
              <w:spacing w:after="0"/>
              <w:rPr>
                <w:sz w:val="20"/>
                <w:szCs w:val="20"/>
                <w:color w:val="auto"/>
              </w:rPr>
            </w:pPr>
            <w:r>
              <w:rPr>
                <w:rFonts w:ascii="Times New Roman" w:cs="Times New Roman" w:eastAsia="Times New Roman" w:hAnsi="Times New Roman"/>
                <w:sz w:val="20"/>
                <w:szCs w:val="20"/>
                <w:color w:val="231F20"/>
              </w:rPr>
              <w:t>Emerging growth company</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231F20"/>
              </w:rPr>
              <w:t/>
            </w:r>
          </w:p>
        </w:tc>
      </w:tr>
    </w:tbl>
    <w:p>
      <w:pPr>
        <w:ind w:right="520"/>
        <w:spacing w:after="0" w:line="256" w:lineRule="exact"/>
        <w:rPr>
          <w:sz w:val="20"/>
          <w:szCs w:val="20"/>
          <w:color w:val="auto"/>
        </w:rPr>
      </w:pPr>
      <w:r>
        <w:rPr>
          <w:rFonts w:ascii="Times New Roman" w:cs="Times New Roman" w:eastAsia="Times New Roman" w:hAnsi="Times New Roman"/>
          <w:sz w:val="20"/>
          <w:szCs w:val="20"/>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20"/>
          <w:szCs w:val="20"/>
          <w:color w:val="231F20"/>
        </w:rPr>
        <w:t/>
      </w:r>
    </w:p>
    <w:p>
      <w:pPr>
        <w:spacing w:after="0" w:line="1" w:lineRule="exact"/>
        <w:rPr>
          <w:sz w:val="24"/>
          <w:szCs w:val="24"/>
          <w:color w:val="auto"/>
        </w:rPr>
      </w:pPr>
    </w:p>
    <w:p>
      <w:pPr>
        <w:ind w:right="80"/>
        <w:spacing w:after="0" w:line="234" w:lineRule="auto"/>
        <w:rPr>
          <w:sz w:val="20"/>
          <w:szCs w:val="20"/>
          <w:color w:val="auto"/>
        </w:rPr>
      </w:pPr>
      <w:r>
        <w:rPr>
          <w:rFonts w:ascii="Times New Roman" w:cs="Times New Roman" w:eastAsia="Times New Roman" w:hAnsi="Times New Roman"/>
          <w:sz w:val="19"/>
          <w:szCs w:val="19"/>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w:t>
      </w:r>
    </w:p>
    <w:p>
      <w:pPr>
        <w:spacing w:after="0" w:line="1" w:lineRule="exact"/>
        <w:rPr>
          <w:sz w:val="24"/>
          <w:szCs w:val="24"/>
          <w:color w:val="auto"/>
        </w:rPr>
      </w:pPr>
    </w:p>
    <w:p>
      <w:pPr>
        <w:spacing w:after="0" w:line="244" w:lineRule="exact"/>
        <w:rPr>
          <w:sz w:val="20"/>
          <w:szCs w:val="20"/>
          <w:color w:val="auto"/>
        </w:rPr>
      </w:pPr>
      <w:r>
        <w:rPr>
          <w:rFonts w:ascii="Times New Roman" w:cs="Times New Roman" w:eastAsia="Times New Roman" w:hAnsi="Times New Roman"/>
          <w:sz w:val="20"/>
          <w:szCs w:val="20"/>
          <w:color w:val="231F20"/>
        </w:rPr>
        <w:t xml:space="preserve">public accounting firm that prepared or issued its audit report. </w:t>
      </w:r>
      <w:r>
        <w:rPr>
          <w:rFonts w:ascii="PMingLiU" w:cs="PMingLiU" w:eastAsia="PMingLiU" w:hAnsi="PMingLiU"/>
          <w:sz w:val="20"/>
          <w:szCs w:val="20"/>
          <w:color w:val="231F20"/>
        </w:rPr>
        <w:t/>
      </w:r>
    </w:p>
    <w:p>
      <w:pPr>
        <w:spacing w:after="0" w:line="59" w:lineRule="exact"/>
        <w:rPr>
          <w:sz w:val="24"/>
          <w:szCs w:val="24"/>
          <w:color w:val="auto"/>
        </w:rPr>
      </w:pPr>
    </w:p>
    <w:p>
      <w:pPr>
        <w:ind w:right="700"/>
        <w:spacing w:after="0" w:line="249" w:lineRule="exact"/>
        <w:rPr>
          <w:sz w:val="20"/>
          <w:szCs w:val="20"/>
          <w:color w:val="auto"/>
        </w:rPr>
      </w:pPr>
      <w:r>
        <w:rPr>
          <w:rFonts w:ascii="Times New Roman" w:cs="Times New Roman" w:eastAsia="Times New Roman" w:hAnsi="Times New Roman"/>
          <w:sz w:val="20"/>
          <w:szCs w:val="20"/>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9"/>
          <w:szCs w:val="19"/>
          <w:color w:val="231F20"/>
        </w:rPr>
        <w:t/>
      </w:r>
    </w:p>
    <w:p>
      <w:pPr>
        <w:ind w:right="120"/>
        <w:spacing w:after="0" w:line="246" w:lineRule="exact"/>
        <w:rPr>
          <w:sz w:val="20"/>
          <w:szCs w:val="20"/>
          <w:color w:val="auto"/>
        </w:rPr>
      </w:pPr>
      <w:r>
        <w:rPr>
          <w:rFonts w:ascii="Times New Roman" w:cs="Times New Roman" w:eastAsia="Times New Roman" w:hAnsi="Times New Roman"/>
          <w:sz w:val="20"/>
          <w:szCs w:val="20"/>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9"/>
          <w:szCs w:val="19"/>
          <w:color w:val="231F20"/>
        </w:rPr>
        <w:t/>
      </w:r>
    </w:p>
    <w:p>
      <w:pPr>
        <w:spacing w:after="0" w:line="1" w:lineRule="exact"/>
        <w:rPr>
          <w:sz w:val="24"/>
          <w:szCs w:val="24"/>
          <w:color w:val="auto"/>
        </w:rPr>
      </w:pPr>
    </w:p>
    <w:p>
      <w:pPr>
        <w:spacing w:after="0" w:line="232" w:lineRule="exact"/>
        <w:tabs>
          <w:tab w:leader="none" w:pos="8000" w:val="left"/>
          <w:tab w:leader="none" w:pos="8740" w:val="left"/>
        </w:tabs>
        <w:rPr>
          <w:sz w:val="20"/>
          <w:szCs w:val="20"/>
          <w:color w:val="auto"/>
        </w:rPr>
      </w:pPr>
      <w:r>
        <w:rPr>
          <w:rFonts w:ascii="Times New Roman" w:cs="Times New Roman" w:eastAsia="Times New Roman" w:hAnsi="Times New Roman"/>
          <w:sz w:val="19"/>
          <w:szCs w:val="19"/>
          <w:color w:val="231F20"/>
        </w:rPr>
        <w:t>Indicate by check mark whether the registrant is a shell company (as defined in Rule 12b-2 of the Act).</w:t>
        <w:tab/>
        <w:t xml:space="preserve">Yes </w:t>
      </w:r>
      <w:r>
        <w:rPr>
          <w:rFonts w:ascii="PMingLiU" w:cs="PMingLiU" w:eastAsia="PMingLiU" w:hAnsi="PMingLiU"/>
          <w:sz w:val="19"/>
          <w:szCs w:val="19"/>
          <w:color w:val="231F20"/>
        </w:rPr>
        <w:t/>
      </w:r>
      <w:r>
        <w:rPr>
          <w:rFonts w:ascii="Times New Roman" w:cs="Times New Roman" w:eastAsia="Times New Roman" w:hAnsi="Times New Roman"/>
          <w:sz w:val="19"/>
          <w:szCs w:val="19"/>
          <w:color w:val="231F20"/>
        </w:rPr>
        <w:tab/>
        <w:t xml:space="preserve">No </w:t>
      </w:r>
      <w:r>
        <w:rPr>
          <w:rFonts w:ascii="PMingLiU" w:cs="PMingLiU" w:eastAsia="PMingLiU" w:hAnsi="PMingLiU"/>
          <w:sz w:val="19"/>
          <w:szCs w:val="19"/>
          <w:color w:val="231F20"/>
        </w:rPr>
        <w:t/>
      </w:r>
    </w:p>
    <w:p>
      <w:pPr>
        <w:spacing w:after="0" w:line="56" w:lineRule="exact"/>
        <w:rPr>
          <w:sz w:val="24"/>
          <w:szCs w:val="24"/>
          <w:color w:val="auto"/>
        </w:rPr>
      </w:pPr>
    </w:p>
    <w:p>
      <w:pPr>
        <w:jc w:val="both"/>
        <w:ind w:right="320"/>
        <w:spacing w:after="0" w:line="236" w:lineRule="auto"/>
        <w:rPr>
          <w:sz w:val="20"/>
          <w:szCs w:val="20"/>
          <w:color w:val="auto"/>
        </w:rPr>
      </w:pPr>
      <w:r>
        <w:rPr>
          <w:rFonts w:ascii="Times New Roman" w:cs="Times New Roman" w:eastAsia="Times New Roman" w:hAnsi="Times New Roman"/>
          <w:sz w:val="19"/>
          <w:szCs w:val="19"/>
          <w:color w:val="231F20"/>
        </w:rPr>
        <w:t>The aggregate market value of the voting stock held by non-affiliates of the registrant on June 30, 2023, based on the closing price on that date of $18.69 on The New York Stock Exchange, was approximately $1,574,522,738. The number of shares of the registrant’s common stock, $.01 par value per share, outstanding at February 15, 2024 was 87,829,499.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48895</wp:posOffset>
                </wp:positionV>
                <wp:extent cx="14084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3.85pt" to="325.45pt,3.85pt" o:allowincell="f" strokecolor="#231F20" strokeweight="1pt"/>
            </w:pict>
          </mc:Fallback>
        </mc:AlternateConten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DOCUMENTS INCORPORATED BY REFERENCE</w:t>
      </w:r>
    </w:p>
    <w:p>
      <w:pPr>
        <w:spacing w:after="0" w:line="39" w:lineRule="exact"/>
        <w:rPr>
          <w:sz w:val="24"/>
          <w:szCs w:val="24"/>
          <w:color w:val="auto"/>
        </w:rPr>
      </w:pPr>
    </w:p>
    <w:p>
      <w:pPr>
        <w:ind w:right="940"/>
        <w:spacing w:after="0" w:line="259" w:lineRule="auto"/>
        <w:rPr>
          <w:sz w:val="20"/>
          <w:szCs w:val="20"/>
          <w:color w:val="auto"/>
        </w:rPr>
      </w:pPr>
      <w:r>
        <w:rPr>
          <w:rFonts w:ascii="Times New Roman" w:cs="Times New Roman" w:eastAsia="Times New Roman" w:hAnsi="Times New Roman"/>
          <w:sz w:val="19"/>
          <w:szCs w:val="19"/>
          <w:color w:val="231F20"/>
        </w:rPr>
        <w:t>Portions of the Registrant’s proxy statement for the 2024 annual meeting of stockholders are incorporated by reference in Part III. Auditor Firm Id:185 Auditor Name: KPMG LLP Auditor Location: New York, New York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-3175</wp:posOffset>
                </wp:positionV>
                <wp:extent cx="68948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0.2499pt" to="541.45pt,-0.2499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15240</wp:posOffset>
                </wp:positionV>
                <wp:extent cx="68948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2pt" to="541.45pt,1.2pt" o:allowincell="f" strokecolor="#231F20" strokeweight="0.75pt"/>
            </w:pict>
          </mc:Fallback>
        </mc:AlternateContent>
      </w:r>
    </w:p>
    <w:p>
      <w:pPr>
        <w:sectPr>
          <w:pgSz w:w="12240" w:h="15840" w:orient="portrait"/>
          <w:cols w:equalWidth="0" w:num="1">
            <w:col w:w="10800"/>
          </w:cols>
          <w:pgMar w:left="720" w:top="803" w:right="720" w:bottom="338" w:gutter="0" w:footer="0" w:header="0"/>
        </w:sectPr>
      </w:pP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2"/>
          <w:szCs w:val="2"/>
          <w:color w:val="231F20"/>
        </w:rPr>
        <w:t> </w:t>
      </w:r>
    </w:p>
    <w:p>
      <w:pPr>
        <w:sectPr>
          <w:pgSz w:w="12240" w:h="15840" w:orient="portrait"/>
          <w:cols w:equalWidth="0" w:num="1">
            <w:col w:w="10800"/>
          </w:cols>
          <w:pgMar w:left="720" w:top="803" w:right="720" w:bottom="338" w:gutter="0" w:footer="0" w:header="0"/>
          <w:type w:val="continuous"/>
        </w:sectPr>
      </w:pPr>
    </w:p>
    <w:bookmarkStart w:id="1" w:name="page2"/>
    <w:bookmarkEnd w:id="1"/>
    <w:p>
      <w:pPr>
        <w:ind w:left="3320"/>
        <w:spacing w:after="0"/>
        <w:rPr>
          <w:sz w:val="20"/>
          <w:szCs w:val="20"/>
          <w:color w:val="auto"/>
        </w:rPr>
      </w:pPr>
      <w:r>
        <w:rPr>
          <w:rFonts w:ascii="Times New Roman" w:cs="Times New Roman" w:eastAsia="Times New Roman" w:hAnsi="Times New Roman"/>
          <w:sz w:val="20"/>
          <w:szCs w:val="20"/>
          <w:b w:val="1"/>
          <w:bCs w:val="1"/>
          <w:color w:val="231F20"/>
        </w:rPr>
        <w:t>SIXTH STREET SPECIALTY LENDING, INC.</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231F20"/>
        </w:rPr>
        <w:t>Index to Annual Report on Form 10-K for</w:t>
      </w:r>
    </w:p>
    <w:p>
      <w:pPr>
        <w:ind w:left="4060"/>
        <w:spacing w:after="0"/>
        <w:rPr>
          <w:sz w:val="20"/>
          <w:szCs w:val="20"/>
          <w:color w:val="auto"/>
        </w:rPr>
      </w:pPr>
      <w:r>
        <w:rPr>
          <w:rFonts w:ascii="Times New Roman" w:cs="Times New Roman" w:eastAsia="Times New Roman" w:hAnsi="Times New Roman"/>
          <w:sz w:val="20"/>
          <w:szCs w:val="20"/>
          <w:b w:val="1"/>
          <w:bCs w:val="1"/>
          <w:color w:val="231F20"/>
        </w:rPr>
        <w:t>Year Ended December 31, 2023</w:t>
      </w:r>
    </w:p>
    <w:p>
      <w:pPr>
        <w:spacing w:after="0" w:line="20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6278880</wp:posOffset>
                </wp:positionH>
                <wp:positionV relativeFrom="paragraph">
                  <wp:posOffset>15240</wp:posOffset>
                </wp:positionV>
                <wp:extent cx="57277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4pt,1.2pt" to="539.5pt,1.2pt" o:allowincell="f" strokecolor="#231F20" strokeweight="0.5pt"/>
            </w:pict>
          </mc:Fallback>
        </mc:AlternateConten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1" w:lineRule="exact"/>
        <w:rPr>
          <w:sz w:val="20"/>
          <w:szCs w:val="20"/>
          <w:color w:val="auto"/>
        </w:rPr>
      </w:pPr>
    </w:p>
    <w:p>
      <w:pPr>
        <w:ind w:left="20"/>
        <w:spacing w:after="0"/>
        <w:tabs>
          <w:tab w:leader="none" w:pos="1120" w:val="left"/>
          <w:tab w:leader="dot" w:pos="1068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231F20"/>
        </w:rPr>
        <w:t>Business</w:t>
      </w:r>
      <w:r>
        <w:rPr>
          <w:sz w:val="20"/>
          <w:szCs w:val="20"/>
          <w:color w:val="auto"/>
        </w:rPr>
        <w:tab/>
      </w:r>
      <w:r>
        <w:rPr>
          <w:rFonts w:ascii="Times New Roman" w:cs="Times New Roman" w:eastAsia="Times New Roman" w:hAnsi="Times New Roman"/>
          <w:sz w:val="20"/>
          <w:szCs w:val="20"/>
          <w:color w:val="231F20"/>
        </w:rPr>
        <w:t>4</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1A.</w:t>
        <w:tab/>
        <w:t>Risk Factors</w:t>
      </w:r>
      <w:r>
        <w:rPr>
          <w:sz w:val="20"/>
          <w:szCs w:val="20"/>
          <w:color w:val="auto"/>
        </w:rPr>
        <w:tab/>
      </w:r>
      <w:r>
        <w:rPr>
          <w:rFonts w:ascii="Times New Roman" w:cs="Times New Roman" w:eastAsia="Times New Roman" w:hAnsi="Times New Roman"/>
          <w:sz w:val="20"/>
          <w:szCs w:val="20"/>
          <w:color w:val="231F20"/>
        </w:rPr>
        <w:t>27</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1B.</w:t>
        <w:tab/>
        <w:t>Unresolved Staff Comments</w:t>
      </w:r>
      <w:r>
        <w:rPr>
          <w:sz w:val="20"/>
          <w:szCs w:val="20"/>
          <w:color w:val="auto"/>
        </w:rPr>
        <w:tab/>
      </w:r>
      <w:r>
        <w:rPr>
          <w:rFonts w:ascii="Times New Roman" w:cs="Times New Roman" w:eastAsia="Times New Roman" w:hAnsi="Times New Roman"/>
          <w:sz w:val="20"/>
          <w:szCs w:val="20"/>
          <w:color w:val="231F20"/>
        </w:rPr>
        <w:t>55</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1C.</w:t>
        <w:tab/>
        <w:t>Cybersecurity</w:t>
      </w:r>
      <w:r>
        <w:rPr>
          <w:sz w:val="20"/>
          <w:szCs w:val="20"/>
          <w:color w:val="auto"/>
        </w:rPr>
        <w:tab/>
      </w:r>
      <w:r>
        <w:rPr>
          <w:rFonts w:ascii="Times New Roman" w:cs="Times New Roman" w:eastAsia="Times New Roman" w:hAnsi="Times New Roman"/>
          <w:sz w:val="20"/>
          <w:szCs w:val="20"/>
          <w:color w:val="231F20"/>
        </w:rPr>
        <w:t>55</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color w:val="231F20"/>
        </w:rPr>
        <w:t>Properties</w:t>
      </w:r>
      <w:r>
        <w:rPr>
          <w:sz w:val="20"/>
          <w:szCs w:val="20"/>
          <w:color w:val="auto"/>
        </w:rPr>
        <w:tab/>
      </w:r>
      <w:r>
        <w:rPr>
          <w:rFonts w:ascii="Times New Roman" w:cs="Times New Roman" w:eastAsia="Times New Roman" w:hAnsi="Times New Roman"/>
          <w:sz w:val="20"/>
          <w:szCs w:val="20"/>
          <w:color w:val="231F20"/>
        </w:rPr>
        <w:t>56</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20"/>
          <w:szCs w:val="20"/>
          <w:color w:val="231F20"/>
        </w:rPr>
        <w:t>Legal Proceedings</w:t>
      </w:r>
      <w:r>
        <w:rPr>
          <w:sz w:val="20"/>
          <w:szCs w:val="20"/>
          <w:color w:val="auto"/>
        </w:rPr>
        <w:tab/>
      </w:r>
      <w:r>
        <w:rPr>
          <w:rFonts w:ascii="Times New Roman" w:cs="Times New Roman" w:eastAsia="Times New Roman" w:hAnsi="Times New Roman"/>
          <w:sz w:val="20"/>
          <w:szCs w:val="20"/>
          <w:color w:val="231F20"/>
        </w:rPr>
        <w:t>56</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color w:val="231F20"/>
        </w:rPr>
        <w:t>Mine Safety Disclosures</w:t>
      </w:r>
      <w:r>
        <w:rPr>
          <w:sz w:val="20"/>
          <w:szCs w:val="20"/>
          <w:color w:val="auto"/>
        </w:rPr>
        <w:tab/>
      </w:r>
      <w:r>
        <w:rPr>
          <w:rFonts w:ascii="Times New Roman" w:cs="Times New Roman" w:eastAsia="Times New Roman" w:hAnsi="Times New Roman"/>
          <w:sz w:val="20"/>
          <w:szCs w:val="20"/>
          <w:color w:val="231F20"/>
        </w:rPr>
        <w:t>56</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3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19"/>
          <w:szCs w:val="19"/>
          <w:color w:val="231F20"/>
        </w:rPr>
        <w:t>Market for Registrant’s Common Equity, Related Stockholder Matters and Issuer Purchases of Equity</w:t>
      </w:r>
    </w:p>
    <w:p>
      <w:pPr>
        <w:ind w:left="1160"/>
        <w:spacing w:after="0"/>
        <w:tabs>
          <w:tab w:leader="dot" w:pos="10580" w:val="left"/>
        </w:tabs>
        <w:rPr>
          <w:sz w:val="20"/>
          <w:szCs w:val="20"/>
          <w:color w:val="auto"/>
        </w:rPr>
      </w:pPr>
      <w:r>
        <w:rPr>
          <w:rFonts w:ascii="Times New Roman" w:cs="Times New Roman" w:eastAsia="Times New Roman" w:hAnsi="Times New Roman"/>
          <w:sz w:val="20"/>
          <w:szCs w:val="20"/>
          <w:color w:val="231F20"/>
        </w:rPr>
        <w:t>Securities</w:t>
      </w:r>
      <w:r>
        <w:rPr>
          <w:sz w:val="20"/>
          <w:szCs w:val="20"/>
          <w:color w:val="auto"/>
        </w:rPr>
        <w:tab/>
      </w:r>
      <w:r>
        <w:rPr>
          <w:rFonts w:ascii="Times New Roman" w:cs="Times New Roman" w:eastAsia="Times New Roman" w:hAnsi="Times New Roman"/>
          <w:sz w:val="20"/>
          <w:szCs w:val="20"/>
          <w:color w:val="231F20"/>
        </w:rPr>
        <w:t>57</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color w:val="231F20"/>
        </w:rPr>
        <w:t>Reserved</w:t>
      </w:r>
      <w:r>
        <w:rPr>
          <w:sz w:val="20"/>
          <w:szCs w:val="20"/>
          <w:color w:val="auto"/>
        </w:rPr>
        <w:tab/>
      </w:r>
      <w:r>
        <w:rPr>
          <w:rFonts w:ascii="Times New Roman" w:cs="Times New Roman" w:eastAsia="Times New Roman" w:hAnsi="Times New Roman"/>
          <w:sz w:val="20"/>
          <w:szCs w:val="20"/>
          <w:color w:val="231F20"/>
        </w:rPr>
        <w:t>59</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color w:val="231F20"/>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231F20"/>
        </w:rPr>
        <w:t>60</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7A.</w:t>
        <w:tab/>
        <w:t>Quantitative and Qualitative Disclosures About Market Risk</w:t>
      </w:r>
      <w:r>
        <w:rPr>
          <w:sz w:val="20"/>
          <w:szCs w:val="20"/>
          <w:color w:val="auto"/>
        </w:rPr>
        <w:tab/>
      </w:r>
      <w:r>
        <w:rPr>
          <w:rFonts w:ascii="Times New Roman" w:cs="Times New Roman" w:eastAsia="Times New Roman" w:hAnsi="Times New Roman"/>
          <w:sz w:val="20"/>
          <w:szCs w:val="20"/>
          <w:color w:val="231F20"/>
        </w:rPr>
        <w:t>84</w:t>
      </w:r>
    </w:p>
    <w:p>
      <w:pPr>
        <w:ind w:left="20"/>
        <w:spacing w:after="0"/>
        <w:tabs>
          <w:tab w:leader="none" w:pos="1120" w:val="left"/>
          <w:tab w:leader="dot" w:pos="1050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color w:val="231F20"/>
        </w:rPr>
        <w:t>Consolidated Financial Statements and Supplementary Data</w:t>
      </w:r>
      <w:r>
        <w:rPr>
          <w:sz w:val="20"/>
          <w:szCs w:val="20"/>
          <w:color w:val="auto"/>
        </w:rPr>
        <w:tab/>
      </w:r>
      <w:r>
        <w:rPr>
          <w:rFonts w:ascii="Times New Roman" w:cs="Times New Roman" w:eastAsia="Times New Roman" w:hAnsi="Times New Roman"/>
          <w:sz w:val="20"/>
          <w:szCs w:val="20"/>
          <w:color w:val="231F20"/>
        </w:rPr>
        <w:t>F-1</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color w:val="231F20"/>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231F20"/>
        </w:rPr>
        <w:t>86</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9A.</w:t>
        <w:tab/>
        <w:t>Controls and Procedures</w:t>
      </w:r>
      <w:r>
        <w:rPr>
          <w:sz w:val="20"/>
          <w:szCs w:val="20"/>
          <w:color w:val="auto"/>
        </w:rPr>
        <w:tab/>
      </w:r>
      <w:r>
        <w:rPr>
          <w:rFonts w:ascii="Times New Roman" w:cs="Times New Roman" w:eastAsia="Times New Roman" w:hAnsi="Times New Roman"/>
          <w:sz w:val="20"/>
          <w:szCs w:val="20"/>
          <w:color w:val="231F20"/>
        </w:rPr>
        <w:t>86</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9B.</w:t>
        <w:tab/>
        <w:t>Other Information</w:t>
      </w:r>
      <w:r>
        <w:rPr>
          <w:sz w:val="20"/>
          <w:szCs w:val="20"/>
          <w:color w:val="auto"/>
        </w:rPr>
        <w:tab/>
      </w:r>
      <w:r>
        <w:rPr>
          <w:rFonts w:ascii="Times New Roman" w:cs="Times New Roman" w:eastAsia="Times New Roman" w:hAnsi="Times New Roman"/>
          <w:sz w:val="20"/>
          <w:szCs w:val="20"/>
          <w:color w:val="231F20"/>
        </w:rPr>
        <w:t>86</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9C.</w:t>
        <w:tab/>
        <w:t>Disclosure Regarding Foreign Jurisdictions that Prevent Inspections</w:t>
      </w:r>
      <w:r>
        <w:rPr>
          <w:sz w:val="20"/>
          <w:szCs w:val="20"/>
          <w:color w:val="auto"/>
        </w:rPr>
        <w:tab/>
      </w:r>
      <w:r>
        <w:rPr>
          <w:rFonts w:ascii="Times New Roman" w:cs="Times New Roman" w:eastAsia="Times New Roman" w:hAnsi="Times New Roman"/>
          <w:sz w:val="20"/>
          <w:szCs w:val="20"/>
          <w:color w:val="231F20"/>
        </w:rPr>
        <w:t>86</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32" w:lineRule="exact"/>
        <w:rPr>
          <w:sz w:val="20"/>
          <w:szCs w:val="20"/>
          <w:color w:val="auto"/>
        </w:rPr>
      </w:pP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10.</w:t>
      </w:r>
      <w:r>
        <w:rPr>
          <w:sz w:val="20"/>
          <w:szCs w:val="20"/>
          <w:color w:val="auto"/>
        </w:rPr>
        <w:tab/>
      </w:r>
      <w:r>
        <w:rPr>
          <w:rFonts w:ascii="Times New Roman" w:cs="Times New Roman" w:eastAsia="Times New Roman" w:hAnsi="Times New Roman"/>
          <w:sz w:val="20"/>
          <w:szCs w:val="20"/>
          <w:color w:val="231F20"/>
        </w:rPr>
        <w:t>Directors, Executive Officers and Corporate Governance</w:t>
      </w:r>
      <w:r>
        <w:rPr>
          <w:sz w:val="20"/>
          <w:szCs w:val="20"/>
          <w:color w:val="auto"/>
        </w:rPr>
        <w:tab/>
      </w:r>
      <w:r>
        <w:rPr>
          <w:rFonts w:ascii="Times New Roman" w:cs="Times New Roman" w:eastAsia="Times New Roman" w:hAnsi="Times New Roman"/>
          <w:sz w:val="20"/>
          <w:szCs w:val="20"/>
          <w:color w:val="231F20"/>
        </w:rPr>
        <w:t>87</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11.</w:t>
      </w:r>
      <w:r>
        <w:rPr>
          <w:sz w:val="20"/>
          <w:szCs w:val="20"/>
          <w:color w:val="auto"/>
        </w:rPr>
        <w:tab/>
      </w:r>
      <w:r>
        <w:rPr>
          <w:rFonts w:ascii="Times New Roman" w:cs="Times New Roman" w:eastAsia="Times New Roman" w:hAnsi="Times New Roman"/>
          <w:sz w:val="20"/>
          <w:szCs w:val="20"/>
          <w:color w:val="231F20"/>
        </w:rPr>
        <w:t>Executive Compensation</w:t>
      </w:r>
      <w:r>
        <w:rPr>
          <w:sz w:val="20"/>
          <w:szCs w:val="20"/>
          <w:color w:val="auto"/>
        </w:rPr>
        <w:tab/>
      </w:r>
      <w:r>
        <w:rPr>
          <w:rFonts w:ascii="Times New Roman" w:cs="Times New Roman" w:eastAsia="Times New Roman" w:hAnsi="Times New Roman"/>
          <w:sz w:val="20"/>
          <w:szCs w:val="20"/>
          <w:color w:val="231F20"/>
        </w:rPr>
        <w:t>87</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12.</w:t>
      </w:r>
      <w:r>
        <w:rPr>
          <w:sz w:val="20"/>
          <w:szCs w:val="20"/>
          <w:color w:val="auto"/>
        </w:rPr>
        <w:tab/>
      </w:r>
      <w:r>
        <w:rPr>
          <w:rFonts w:ascii="Times New Roman" w:cs="Times New Roman" w:eastAsia="Times New Roman" w:hAnsi="Times New Roman"/>
          <w:sz w:val="20"/>
          <w:szCs w:val="20"/>
          <w:color w:val="231F20"/>
        </w:rPr>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231F20"/>
        </w:rPr>
        <w:t>87</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13.</w:t>
      </w:r>
      <w:r>
        <w:rPr>
          <w:sz w:val="20"/>
          <w:szCs w:val="20"/>
          <w:color w:val="auto"/>
        </w:rPr>
        <w:tab/>
      </w:r>
      <w:r>
        <w:rPr>
          <w:rFonts w:ascii="Times New Roman" w:cs="Times New Roman" w:eastAsia="Times New Roman" w:hAnsi="Times New Roman"/>
          <w:sz w:val="20"/>
          <w:szCs w:val="20"/>
          <w:color w:val="231F20"/>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231F20"/>
        </w:rPr>
        <w:t>87</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14.</w:t>
      </w:r>
      <w:r>
        <w:rPr>
          <w:sz w:val="20"/>
          <w:szCs w:val="20"/>
          <w:color w:val="auto"/>
        </w:rPr>
        <w:tab/>
      </w:r>
      <w:r>
        <w:rPr>
          <w:rFonts w:ascii="Times New Roman" w:cs="Times New Roman" w:eastAsia="Times New Roman" w:hAnsi="Times New Roman"/>
          <w:sz w:val="20"/>
          <w:szCs w:val="20"/>
          <w:color w:val="231F20"/>
        </w:rPr>
        <w:t>Principal Accountant Fees and Services</w:t>
      </w:r>
      <w:r>
        <w:rPr>
          <w:sz w:val="20"/>
          <w:szCs w:val="20"/>
          <w:color w:val="auto"/>
        </w:rPr>
        <w:tab/>
      </w:r>
      <w:r>
        <w:rPr>
          <w:rFonts w:ascii="Times New Roman" w:cs="Times New Roman" w:eastAsia="Times New Roman" w:hAnsi="Times New Roman"/>
          <w:sz w:val="20"/>
          <w:szCs w:val="20"/>
          <w:color w:val="231F20"/>
        </w:rPr>
        <w:t>87</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32" w:lineRule="exact"/>
        <w:rPr>
          <w:sz w:val="20"/>
          <w:szCs w:val="20"/>
          <w:color w:val="auto"/>
        </w:rPr>
      </w:pP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15.</w:t>
      </w:r>
      <w:r>
        <w:rPr>
          <w:sz w:val="20"/>
          <w:szCs w:val="20"/>
          <w:color w:val="auto"/>
        </w:rPr>
        <w:tab/>
      </w:r>
      <w:r>
        <w:rPr>
          <w:rFonts w:ascii="Times New Roman" w:cs="Times New Roman" w:eastAsia="Times New Roman" w:hAnsi="Times New Roman"/>
          <w:sz w:val="20"/>
          <w:szCs w:val="20"/>
          <w:color w:val="231F20"/>
        </w:rPr>
        <w:t>Exhibits and Financial Statement Schedules</w:t>
      </w:r>
      <w:r>
        <w:rPr>
          <w:sz w:val="20"/>
          <w:szCs w:val="20"/>
          <w:color w:val="auto"/>
        </w:rPr>
        <w:tab/>
      </w:r>
      <w:r>
        <w:rPr>
          <w:rFonts w:ascii="Times New Roman" w:cs="Times New Roman" w:eastAsia="Times New Roman" w:hAnsi="Times New Roman"/>
          <w:sz w:val="20"/>
          <w:szCs w:val="20"/>
          <w:color w:val="231F20"/>
        </w:rPr>
        <w:t>88</w:t>
      </w:r>
    </w:p>
    <w:p>
      <w:pPr>
        <w:ind w:left="20"/>
        <w:spacing w:after="0"/>
        <w:tabs>
          <w:tab w:leader="none" w:pos="1120" w:val="left"/>
          <w:tab w:leader="dot" w:pos="10580" w:val="left"/>
        </w:tabs>
        <w:rPr>
          <w:sz w:val="20"/>
          <w:szCs w:val="20"/>
          <w:color w:val="auto"/>
        </w:rPr>
      </w:pPr>
      <w:r>
        <w:rPr>
          <w:rFonts w:ascii="Times New Roman" w:cs="Times New Roman" w:eastAsia="Times New Roman" w:hAnsi="Times New Roman"/>
          <w:sz w:val="20"/>
          <w:szCs w:val="20"/>
          <w:color w:val="231F20"/>
        </w:rPr>
        <w:t>ITEM 16.</w:t>
      </w:r>
      <w:r>
        <w:rPr>
          <w:sz w:val="20"/>
          <w:szCs w:val="20"/>
          <w:color w:val="auto"/>
        </w:rPr>
        <w:tab/>
      </w:r>
      <w:r>
        <w:rPr>
          <w:rFonts w:ascii="Times New Roman" w:cs="Times New Roman" w:eastAsia="Times New Roman" w:hAnsi="Times New Roman"/>
          <w:sz w:val="20"/>
          <w:szCs w:val="20"/>
          <w:color w:val="231F20"/>
        </w:rPr>
        <w:t>Form 10-K Summary</w:t>
      </w:r>
      <w:r>
        <w:rPr>
          <w:sz w:val="20"/>
          <w:szCs w:val="20"/>
          <w:color w:val="auto"/>
        </w:rPr>
        <w:tab/>
      </w:r>
      <w:r>
        <w:rPr>
          <w:rFonts w:ascii="Times New Roman" w:cs="Times New Roman" w:eastAsia="Times New Roman" w:hAnsi="Times New Roman"/>
          <w:sz w:val="20"/>
          <w:szCs w:val="20"/>
          <w:color w:val="231F20"/>
        </w:rPr>
        <w:t>91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2240" w:h="15840" w:orient="portrait"/>
          <w:cols w:equalWidth="0" w:num="1">
            <w:col w:w="10800"/>
          </w:cols>
          <w:pgMar w:left="720" w:top="926" w:right="720" w:bottom="175"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CAUTIONARY STATEMENT REGARDING FORWARD-LOOKING STATEMENTS</w:t>
      </w:r>
    </w:p>
    <w:p>
      <w:pPr>
        <w:spacing w:after="0" w:line="244" w:lineRule="exact"/>
        <w:rPr>
          <w:sz w:val="20"/>
          <w:szCs w:val="20"/>
          <w:color w:val="auto"/>
        </w:rPr>
      </w:pPr>
    </w:p>
    <w:p>
      <w:pPr>
        <w:ind w:right="120" w:firstLine="245"/>
        <w:spacing w:after="0" w:line="246" w:lineRule="auto"/>
        <w:rPr>
          <w:sz w:val="20"/>
          <w:szCs w:val="20"/>
          <w:color w:val="auto"/>
        </w:rPr>
      </w:pPr>
      <w:r>
        <w:rPr>
          <w:rFonts w:ascii="Times New Roman" w:cs="Times New Roman" w:eastAsia="Times New Roman" w:hAnsi="Times New Roman"/>
          <w:sz w:val="20"/>
          <w:szCs w:val="20"/>
          <w:color w:val="231F20"/>
        </w:rPr>
        <w:t>This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200" w:lineRule="exact"/>
        <w:rPr>
          <w:sz w:val="20"/>
          <w:szCs w:val="20"/>
          <w:color w:val="auto"/>
        </w:rPr>
      </w:pPr>
    </w:p>
    <w:p>
      <w:pPr>
        <w:jc w:val="both"/>
        <w:ind w:right="160" w:firstLine="245"/>
        <w:spacing w:after="0" w:line="258" w:lineRule="auto"/>
        <w:rPr>
          <w:sz w:val="20"/>
          <w:szCs w:val="20"/>
          <w:color w:val="auto"/>
        </w:rPr>
      </w:pPr>
      <w:r>
        <w:rPr>
          <w:rFonts w:ascii="Times New Roman" w:cs="Times New Roman" w:eastAsia="Times New Roman" w:hAnsi="Times New Roman"/>
          <w:sz w:val="20"/>
          <w:szCs w:val="20"/>
          <w:color w:val="231F20"/>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83" w:lineRule="exact"/>
        <w:rPr>
          <w:sz w:val="20"/>
          <w:szCs w:val="20"/>
          <w:color w:val="auto"/>
        </w:rPr>
      </w:pPr>
    </w:p>
    <w:p>
      <w:pPr>
        <w:ind w:left="500" w:right="280" w:hanging="255"/>
        <w:spacing w:after="0" w:line="276" w:lineRule="auto"/>
        <w:tabs>
          <w:tab w:leader="none" w:pos="5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an economic downturn, could impair our portfolio companies’ abilities to continue to operate, which could lead to the loss of some or all of our investments in those portfolio companies;</w:t>
      </w:r>
    </w:p>
    <w:p>
      <w:pPr>
        <w:spacing w:after="0" w:line="64" w:lineRule="exact"/>
        <w:rPr>
          <w:rFonts w:ascii="Arial" w:cs="Arial" w:eastAsia="Arial" w:hAnsi="Arial"/>
          <w:sz w:val="20"/>
          <w:szCs w:val="20"/>
          <w:color w:val="231F20"/>
        </w:rPr>
      </w:pPr>
    </w:p>
    <w:p>
      <w:pPr>
        <w:ind w:left="500" w:hanging="255"/>
        <w:spacing w:after="0" w:line="258" w:lineRule="auto"/>
        <w:tabs>
          <w:tab w:leader="none" w:pos="5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Arial" w:cs="Arial" w:eastAsia="Arial" w:hAnsi="Arial"/>
          <w:sz w:val="20"/>
          <w:szCs w:val="20"/>
          <w:color w:val="231F20"/>
        </w:rPr>
      </w:pPr>
    </w:p>
    <w:p>
      <w:pPr>
        <w:ind w:left="500" w:hanging="255"/>
        <w:spacing w:after="0"/>
        <w:tabs>
          <w:tab w:leader="none" w:pos="5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such an economic downturn could also impact availability and pricing of our financing;</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an inability to access the capital markets could impair our ability to raise capital and our investment activities;</w:t>
      </w:r>
    </w:p>
    <w:p>
      <w:pPr>
        <w:spacing w:after="0" w:line="133" w:lineRule="exact"/>
        <w:rPr>
          <w:rFonts w:ascii="Arial" w:cs="Arial" w:eastAsia="Arial" w:hAnsi="Arial"/>
          <w:sz w:val="20"/>
          <w:szCs w:val="20"/>
          <w:color w:val="231F20"/>
        </w:rPr>
      </w:pPr>
    </w:p>
    <w:p>
      <w:pPr>
        <w:ind w:left="500" w:right="420" w:hanging="255"/>
        <w:spacing w:after="0" w:line="276" w:lineRule="auto"/>
        <w:tabs>
          <w:tab w:leader="none" w:pos="5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inflation could negatively impact our business, including our ability to access the debt markets on favorable terms, or could negatively impact our portfolio companies; and</w:t>
      </w:r>
    </w:p>
    <w:p>
      <w:pPr>
        <w:spacing w:after="0" w:line="64" w:lineRule="exact"/>
        <w:rPr>
          <w:rFonts w:ascii="Arial" w:cs="Arial" w:eastAsia="Arial" w:hAnsi="Arial"/>
          <w:sz w:val="20"/>
          <w:szCs w:val="20"/>
          <w:color w:val="231F20"/>
        </w:rPr>
      </w:pPr>
    </w:p>
    <w:p>
      <w:pPr>
        <w:ind w:left="500" w:right="180" w:hanging="255"/>
        <w:spacing w:after="0" w:line="276" w:lineRule="auto"/>
        <w:tabs>
          <w:tab w:leader="none" w:pos="50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risks, uncertainties and other factors we identify in the section entitled “Risk Factors” in this Annual Report and elsewhere in our filings with the SEC.</w:t>
      </w:r>
    </w:p>
    <w:p>
      <w:pPr>
        <w:spacing w:after="0" w:line="170"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231F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Annual Report should not be regarded as a representation by us that our plans and objectives will be achieved. You should not place undue reliance on these forward-looking statements, which apply only as of the date of this Annual Report. We do not undertake any obligation to update or revise any forward-looking statements or any other information contained herein, except as required by applicable law. The safe harbor provisions of Section 21E of the Securities Exchange Act of 1934, as amended (the “Exchange Act”), which preclude civil liability for certain forward-looking statements, do not apply to the forward-looking statements in this Annual Report because we are an investment company.</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“TSLX” and “TAO” marks are marks of Sixth Street.</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w:t>
      </w:r>
    </w:p>
    <w:p>
      <w:pPr>
        <w:sectPr>
          <w:pgSz w:w="12240" w:h="15840" w:orient="portrait"/>
          <w:cols w:equalWidth="0" w:num="1">
            <w:col w:w="10780"/>
          </w:cols>
          <w:pgMar w:left="720" w:top="926" w:right="740" w:bottom="175"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4" w:lineRule="exact"/>
        <w:rPr>
          <w:sz w:val="20"/>
          <w:szCs w:val="20"/>
          <w:color w:val="auto"/>
        </w:rPr>
      </w:pPr>
    </w:p>
    <w:p>
      <w:pPr>
        <w:ind w:right="220" w:firstLine="245"/>
        <w:spacing w:after="0" w:line="258" w:lineRule="auto"/>
        <w:rPr>
          <w:sz w:val="20"/>
          <w:szCs w:val="20"/>
          <w:color w:val="auto"/>
        </w:rPr>
      </w:pPr>
      <w:r>
        <w:rPr>
          <w:rFonts w:ascii="Times New Roman" w:cs="Times New Roman" w:eastAsia="Times New Roman" w:hAnsi="Times New Roman"/>
          <w:sz w:val="20"/>
          <w:szCs w:val="20"/>
          <w:color w:val="231F20"/>
        </w:rPr>
        <w:t>In this Annual Report, except where the context suggests otherwise, the terms “TSLX,” “we,” “us,” “our,” and “the Company” refer to Sixth Street Specialty Lending, Inc. The term “Adviser” refers to Sixth Street Specialty Lending Advisers, LLC, a Delaware limited liability company. The term “Sixth Street” refers to Sixth Street Partners, LLC.</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Company</w:t>
      </w:r>
    </w:p>
    <w:p>
      <w:pPr>
        <w:spacing w:after="0" w:line="124"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We are a specialty finance company focused on lending to middle-market companies. Since we began our investment activities in July 2011, through December 31, 2023, we have originated approximately $31.5 billion aggregate principal amount of investments and retained approximately $10.0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80"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231F20"/>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2023, our core portfolio companies, which exclude certain investments that fall outside of our typical borrower profile and represent 95.3% of our total investments based on fair value, had weighted average annual revenue of $230.3 million and weighted average annual EBITDA of $79.3 million.</w:t>
      </w:r>
    </w:p>
    <w:p>
      <w:pPr>
        <w:spacing w:after="0" w:line="197" w:lineRule="exact"/>
        <w:rPr>
          <w:sz w:val="20"/>
          <w:szCs w:val="20"/>
          <w:color w:val="auto"/>
        </w:rPr>
      </w:pPr>
    </w:p>
    <w:p>
      <w:pPr>
        <w:ind w:right="60" w:firstLine="245"/>
        <w:spacing w:after="0" w:line="277" w:lineRule="auto"/>
        <w:rPr>
          <w:sz w:val="20"/>
          <w:szCs w:val="20"/>
          <w:color w:val="auto"/>
        </w:rPr>
      </w:pPr>
      <w:r>
        <w:rPr>
          <w:rFonts w:ascii="Times New Roman" w:cs="Times New Roman" w:eastAsia="Times New Roman" w:hAnsi="Times New Roman"/>
          <w:sz w:val="20"/>
          <w:szCs w:val="20"/>
          <w:color w:val="231F20"/>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69" w:lineRule="exact"/>
        <w:rPr>
          <w:sz w:val="20"/>
          <w:szCs w:val="20"/>
          <w:color w:val="auto"/>
        </w:rPr>
      </w:pPr>
    </w:p>
    <w:p>
      <w:pPr>
        <w:jc w:val="both"/>
        <w:ind w:right="660" w:firstLine="245"/>
        <w:spacing w:after="0" w:line="258" w:lineRule="auto"/>
        <w:rPr>
          <w:sz w:val="20"/>
          <w:szCs w:val="20"/>
          <w:color w:val="auto"/>
        </w:rPr>
      </w:pPr>
      <w:r>
        <w:rPr>
          <w:rFonts w:ascii="Times New Roman" w:cs="Times New Roman" w:eastAsia="Times New Roman" w:hAnsi="Times New Roman"/>
          <w:sz w:val="20"/>
          <w:szCs w:val="20"/>
          <w:color w:val="231F20"/>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88" w:lineRule="exact"/>
        <w:rPr>
          <w:sz w:val="20"/>
          <w:szCs w:val="20"/>
          <w:color w:val="auto"/>
        </w:rPr>
      </w:pPr>
    </w:p>
    <w:p>
      <w:pPr>
        <w:ind w:right="140" w:firstLine="245"/>
        <w:spacing w:after="0" w:line="249" w:lineRule="auto"/>
        <w:rPr>
          <w:sz w:val="20"/>
          <w:szCs w:val="20"/>
          <w:color w:val="auto"/>
        </w:rPr>
      </w:pPr>
      <w:r>
        <w:rPr>
          <w:rFonts w:ascii="Times New Roman" w:cs="Times New Roman" w:eastAsia="Times New Roman" w:hAnsi="Times New Roman"/>
          <w:sz w:val="20"/>
          <w:szCs w:val="20"/>
          <w:color w:val="231F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97" w:lineRule="exact"/>
        <w:rPr>
          <w:sz w:val="20"/>
          <w:szCs w:val="20"/>
          <w:color w:val="auto"/>
        </w:rPr>
      </w:pPr>
    </w:p>
    <w:p>
      <w:pPr>
        <w:jc w:val="both"/>
        <w:ind w:right="460" w:firstLine="245"/>
        <w:spacing w:after="0" w:line="258" w:lineRule="auto"/>
        <w:rPr>
          <w:sz w:val="20"/>
          <w:szCs w:val="20"/>
          <w:color w:val="auto"/>
        </w:rPr>
      </w:pPr>
      <w:r>
        <w:rPr>
          <w:rFonts w:ascii="Times New Roman" w:cs="Times New Roman" w:eastAsia="Times New Roman" w:hAnsi="Times New Roman"/>
          <w:sz w:val="20"/>
          <w:szCs w:val="20"/>
          <w:color w:val="231F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8" w:lineRule="exact"/>
        <w:rPr>
          <w:sz w:val="20"/>
          <w:szCs w:val="20"/>
          <w:color w:val="auto"/>
        </w:rPr>
      </w:pPr>
    </w:p>
    <w:p>
      <w:pPr>
        <w:ind w:right="40" w:firstLine="245"/>
        <w:spacing w:after="0" w:line="245" w:lineRule="auto"/>
        <w:rPr>
          <w:sz w:val="20"/>
          <w:szCs w:val="20"/>
          <w:color w:val="auto"/>
        </w:rPr>
      </w:pPr>
      <w:r>
        <w:rPr>
          <w:rFonts w:ascii="Times New Roman" w:cs="Times New Roman" w:eastAsia="Times New Roman" w:hAnsi="Times New Roman"/>
          <w:sz w:val="20"/>
          <w:szCs w:val="20"/>
          <w:color w:val="231F20"/>
        </w:rPr>
        <w:t>As of December 31, 2023, we had investments in 136 portfolio companies (including 42 structured credit investments, which include each series of collateralized loan obligation as a separate portfolio company investment), the average investment size in each of our portfolio companies was approximately $24.1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$34.3 million as of December 31, 2023. The companies in which we invest use our capital to support organic growth, acquisitions, market or product expansion and recapitalizations (including restructurings). As of December 31, 2023, the largest single investment based on fair value represented 2.6% of our total investment portfolio.</w:t>
      </w:r>
    </w:p>
    <w:p>
      <w:pPr>
        <w:spacing w:after="0" w:line="202" w:lineRule="exact"/>
        <w:rPr>
          <w:sz w:val="20"/>
          <w:szCs w:val="20"/>
          <w:color w:val="auto"/>
        </w:rPr>
      </w:pPr>
    </w:p>
    <w:p>
      <w:pPr>
        <w:ind w:right="180" w:firstLine="245"/>
        <w:spacing w:after="0" w:line="258" w:lineRule="auto"/>
        <w:rPr>
          <w:sz w:val="20"/>
          <w:szCs w:val="20"/>
          <w:color w:val="auto"/>
        </w:rPr>
      </w:pPr>
      <w:r>
        <w:rPr>
          <w:rFonts w:ascii="Times New Roman" w:cs="Times New Roman" w:eastAsia="Times New Roman" w:hAnsi="Times New Roman"/>
          <w:sz w:val="20"/>
          <w:szCs w:val="20"/>
          <w:color w:val="231F20"/>
        </w:rPr>
        <w:t>As of December 31, 2023, our portfolio was invested across 18 different industries. The largest industry in our portfolio as of December 31, 2022 was Business Services, which represented, as a percentage of our portfolio, 18.0% of the total portfolio based on fair value.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Relationship with our Adviser, and Sixth Street</w:t>
      </w:r>
    </w:p>
    <w:p>
      <w:pPr>
        <w:spacing w:after="0" w:line="124" w:lineRule="exact"/>
        <w:rPr>
          <w:sz w:val="20"/>
          <w:szCs w:val="20"/>
          <w:color w:val="auto"/>
        </w:rPr>
      </w:pPr>
    </w:p>
    <w:p>
      <w:pPr>
        <w:ind w:right="100" w:firstLine="245"/>
        <w:spacing w:after="0" w:line="258" w:lineRule="auto"/>
        <w:rPr>
          <w:sz w:val="20"/>
          <w:szCs w:val="20"/>
          <w:color w:val="auto"/>
        </w:rPr>
      </w:pPr>
      <w:r>
        <w:rPr>
          <w:rFonts w:ascii="Times New Roman" w:cs="Times New Roman" w:eastAsia="Times New Roman" w:hAnsi="Times New Roman"/>
          <w:sz w:val="20"/>
          <w:szCs w:val="20"/>
          <w:color w:val="231F20"/>
        </w:rPr>
        <w:t>Our Adviser is a Delaware limited liability company. Our Adviser acts as our investment adviser and administrator, and is a registered investment adviser with the SEC under the Investment Advisers Act of 1940, as amended (the “Advisers Act”). Our Adviser sources and manages our portfolio through a dedicated team of investment professionals predominately focused on us, which</w:t>
      </w:r>
    </w:p>
    <w:p>
      <w:pPr>
        <w:sectPr>
          <w:pgSz w:w="12240" w:h="15840" w:orient="portrait"/>
          <w:cols w:equalWidth="0" w:num="1">
            <w:col w:w="10800"/>
          </w:cols>
          <w:pgMar w:left="720" w:top="926" w:right="720" w:bottom="175"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2240" w:h="15840" w:orient="portrait"/>
          <w:cols w:equalWidth="0" w:num="1">
            <w:col w:w="10800"/>
          </w:cols>
          <w:pgMar w:left="720" w:top="926" w:right="720" w:bottom="175" w:gutter="0" w:footer="0" w:header="0"/>
          <w:type w:val="continuous"/>
        </w:sectPr>
      </w:pPr>
    </w:p>
    <w:bookmarkStart w:id="4" w:name="page5"/>
    <w:bookmarkEnd w:id="4"/>
    <w:p>
      <w:pPr>
        <w:ind w:right="80"/>
        <w:spacing w:after="0" w:line="252" w:lineRule="auto"/>
        <w:rPr>
          <w:sz w:val="20"/>
          <w:szCs w:val="20"/>
          <w:color w:val="auto"/>
        </w:rPr>
      </w:pPr>
      <w:r>
        <w:rPr>
          <w:rFonts w:ascii="Times New Roman" w:cs="Times New Roman" w:eastAsia="Times New Roman" w:hAnsi="Times New Roman"/>
          <w:sz w:val="20"/>
          <w:szCs w:val="20"/>
          <w:color w:val="231F20"/>
        </w:rPr>
        <w:t>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94" w:lineRule="exact"/>
        <w:rPr>
          <w:sz w:val="20"/>
          <w:szCs w:val="20"/>
          <w:color w:val="auto"/>
        </w:rPr>
      </w:pPr>
    </w:p>
    <w:p>
      <w:pPr>
        <w:ind w:right="40" w:firstLine="245"/>
        <w:spacing w:after="0" w:line="243" w:lineRule="auto"/>
        <w:rPr>
          <w:sz w:val="20"/>
          <w:szCs w:val="20"/>
          <w:color w:val="auto"/>
        </w:rPr>
      </w:pPr>
      <w:r>
        <w:rPr>
          <w:rFonts w:ascii="Times New Roman" w:cs="Times New Roman" w:eastAsia="Times New Roman" w:hAnsi="Times New Roman"/>
          <w:sz w:val="20"/>
          <w:szCs w:val="20"/>
          <w:color w:val="231F20"/>
        </w:rPr>
        <w:t>Sixth Street is a global investment business with over $75 billion of assets under management as of December 31, 2023.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580 investment and operating professionals. As of December 31, 2023, seventy (70) of these personnel are dedicated to direct lending, including fifty-five (55) investment professionals.</w:t>
      </w:r>
    </w:p>
    <w:p>
      <w:pPr>
        <w:spacing w:after="0" w:line="203" w:lineRule="exact"/>
        <w:rPr>
          <w:sz w:val="20"/>
          <w:szCs w:val="20"/>
          <w:color w:val="auto"/>
        </w:rPr>
      </w:pPr>
    </w:p>
    <w:p>
      <w:pPr>
        <w:ind w:right="140" w:firstLine="245"/>
        <w:spacing w:after="0" w:line="246" w:lineRule="auto"/>
        <w:rPr>
          <w:sz w:val="20"/>
          <w:szCs w:val="20"/>
          <w:color w:val="auto"/>
        </w:rPr>
      </w:pPr>
      <w:r>
        <w:rPr>
          <w:rFonts w:ascii="Times New Roman" w:cs="Times New Roman" w:eastAsia="Times New Roman" w:hAnsi="Times New Roman"/>
          <w:sz w:val="20"/>
          <w:szCs w:val="20"/>
          <w:color w:val="231F20"/>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00"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200"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20"/>
          <w:szCs w:val="20"/>
          <w:color w:val="231F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20"/>
          <w:szCs w:val="20"/>
          <w:i w:val="1"/>
          <w:iCs w:val="1"/>
          <w:color w:val="231F20"/>
        </w:rPr>
        <w:t>Regulation as a Business Development Company—Transactions with our Affiliates.”</w:t>
      </w:r>
    </w:p>
    <w:p>
      <w:pPr>
        <w:spacing w:after="0" w:line="197" w:lineRule="exact"/>
        <w:rPr>
          <w:sz w:val="20"/>
          <w:szCs w:val="20"/>
          <w:color w:val="auto"/>
        </w:rPr>
      </w:pPr>
    </w:p>
    <w:p>
      <w:pPr>
        <w:jc w:val="both"/>
        <w:ind w:right="100" w:firstLine="245"/>
        <w:spacing w:after="0" w:line="305" w:lineRule="auto"/>
        <w:rPr>
          <w:sz w:val="20"/>
          <w:szCs w:val="20"/>
          <w:color w:val="auto"/>
        </w:rPr>
      </w:pPr>
      <w:r>
        <w:rPr>
          <w:rFonts w:ascii="Times New Roman" w:cs="Times New Roman" w:eastAsia="Times New Roman" w:hAnsi="Times New Roman"/>
          <w:sz w:val="19"/>
          <w:szCs w:val="19"/>
          <w:color w:val="231F20"/>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41" w:lineRule="exact"/>
        <w:rPr>
          <w:sz w:val="20"/>
          <w:szCs w:val="20"/>
          <w:color w:val="auto"/>
        </w:rPr>
      </w:pPr>
    </w:p>
    <w:p>
      <w:pPr>
        <w:ind w:right="300" w:firstLine="245"/>
        <w:spacing w:after="0" w:line="253" w:lineRule="auto"/>
        <w:rPr>
          <w:sz w:val="20"/>
          <w:szCs w:val="20"/>
          <w:color w:val="auto"/>
        </w:rPr>
      </w:pPr>
      <w:r>
        <w:rPr>
          <w:rFonts w:ascii="Times New Roman" w:cs="Times New Roman" w:eastAsia="Times New Roman" w:hAnsi="Times New Roman"/>
          <w:sz w:val="20"/>
          <w:szCs w:val="20"/>
          <w:color w:val="231F20"/>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88" w:lineRule="exact"/>
        <w:rPr>
          <w:sz w:val="20"/>
          <w:szCs w:val="20"/>
          <w:color w:val="auto"/>
        </w:rPr>
      </w:pPr>
    </w:p>
    <w:p>
      <w:pPr>
        <w:ind w:right="100" w:firstLine="245"/>
        <w:spacing w:after="0" w:line="241" w:lineRule="auto"/>
        <w:rPr>
          <w:sz w:val="20"/>
          <w:szCs w:val="20"/>
          <w:color w:val="auto"/>
        </w:rPr>
      </w:pPr>
      <w:r>
        <w:rPr>
          <w:rFonts w:ascii="Times New Roman" w:cs="Times New Roman" w:eastAsia="Times New Roman" w:hAnsi="Times New Roman"/>
          <w:sz w:val="20"/>
          <w:szCs w:val="20"/>
          <w:color w:val="231F20"/>
        </w:rPr>
        <w:t>Under the terms of the Investment Advisory Agreement, the Adviser’s services under the Investment Advisory Agreement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 For a discussion of the Management Fee and Incentive Fee payable by us to the Adviser, see “</w:t>
      </w:r>
      <w:r>
        <w:rPr>
          <w:rFonts w:ascii="Times New Roman" w:cs="Times New Roman" w:eastAsia="Times New Roman" w:hAnsi="Times New Roman"/>
          <w:sz w:val="20"/>
          <w:szCs w:val="20"/>
          <w:i w:val="1"/>
          <w:iCs w:val="1"/>
          <w:color w:val="231F20"/>
        </w:rPr>
        <w:t>Management Agreements—Investment Advisory Agreement; Administration Agreement; License Agreement</w:t>
      </w:r>
      <w:r>
        <w:rPr>
          <w:rFonts w:ascii="Times New Roman" w:cs="Times New Roman" w:eastAsia="Times New Roman" w:hAnsi="Times New Roman"/>
          <w:sz w:val="20"/>
          <w:szCs w:val="20"/>
          <w:color w:val="231F20"/>
        </w:rPr>
        <w:t>.” Our Board monitors the mix and performance of our investments over time and seeks to satisfy itself that the Adviser is acting in our interests and that our fee structure appropriately incentivizes the Adviser to do so.</w:t>
      </w:r>
    </w:p>
    <w:p>
      <w:pPr>
        <w:spacing w:after="0" w:line="204" w:lineRule="exact"/>
        <w:rPr>
          <w:sz w:val="20"/>
          <w:szCs w:val="20"/>
          <w:color w:val="auto"/>
        </w:rPr>
      </w:pPr>
    </w:p>
    <w:p>
      <w:pPr>
        <w:ind w:right="180" w:firstLine="245"/>
        <w:spacing w:after="0" w:line="258" w:lineRule="auto"/>
        <w:rPr>
          <w:sz w:val="20"/>
          <w:szCs w:val="20"/>
          <w:color w:val="auto"/>
        </w:rPr>
      </w:pPr>
      <w:r>
        <w:rPr>
          <w:rFonts w:ascii="Times New Roman" w:cs="Times New Roman" w:eastAsia="Times New Roman" w:hAnsi="Times New Roman"/>
          <w:sz w:val="20"/>
          <w:szCs w:val="20"/>
          <w:color w:val="231F20"/>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w:t>
      </w:r>
    </w:p>
    <w:p>
      <w:pPr>
        <w:sectPr>
          <w:pgSz w:w="12240" w:h="15840" w:orient="portrait"/>
          <w:cols w:equalWidth="0" w:num="1">
            <w:col w:w="10800"/>
          </w:cols>
          <w:pgMar w:left="720" w:top="930" w:right="720" w:bottom="175"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2240" w:h="15840" w:orient="portrait"/>
          <w:cols w:equalWidth="0" w:num="1">
            <w:col w:w="10800"/>
          </w:cols>
          <w:pgMar w:left="720" w:top="930" w:right="720" w:bottom="175" w:gutter="0" w:footer="0" w:header="0"/>
          <w:type w:val="continuous"/>
        </w:sectPr>
      </w:pPr>
    </w:p>
    <w:bookmarkStart w:id="5" w:name="page6"/>
    <w:bookmarkEnd w:id="5"/>
    <w:p>
      <w:pPr>
        <w:ind w:right="920"/>
        <w:spacing w:after="0" w:line="277" w:lineRule="auto"/>
        <w:rPr>
          <w:sz w:val="20"/>
          <w:szCs w:val="20"/>
          <w:color w:val="auto"/>
        </w:rPr>
      </w:pPr>
      <w:r>
        <w:rPr>
          <w:rFonts w:ascii="Times New Roman" w:cs="Times New Roman" w:eastAsia="Times New Roman" w:hAnsi="Times New Roman"/>
          <w:sz w:val="20"/>
          <w:szCs w:val="20"/>
          <w:color w:val="231F20"/>
        </w:rPr>
        <w:t>services rendered by others. Certain of these services are reimbursable to the Adviser under the terms of the Administration Agreement.</w:t>
      </w:r>
    </w:p>
    <w:p>
      <w:pPr>
        <w:spacing w:after="0" w:line="165" w:lineRule="exact"/>
        <w:rPr>
          <w:sz w:val="20"/>
          <w:szCs w:val="20"/>
          <w:color w:val="auto"/>
        </w:rPr>
      </w:pPr>
    </w:p>
    <w:p>
      <w:pPr>
        <w:ind w:right="260" w:firstLine="245"/>
        <w:spacing w:after="0" w:line="272" w:lineRule="auto"/>
        <w:rPr>
          <w:sz w:val="20"/>
          <w:szCs w:val="20"/>
          <w:color w:val="auto"/>
        </w:rPr>
      </w:pPr>
      <w:r>
        <w:rPr>
          <w:rFonts w:ascii="Times New Roman" w:cs="Times New Roman" w:eastAsia="Times New Roman" w:hAnsi="Times New Roman"/>
          <w:sz w:val="20"/>
          <w:szCs w:val="20"/>
          <w:color w:val="231F20"/>
        </w:rPr>
        <w:t>In November 2023, our Board renewed the Investment Advisory Agreement. Unless earlier terminated, the Investment Advisory Agreement will remain in effect until November 2024, and may be extended subject to required approvals.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Investment Criteria/Guidelines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Investment Decision Process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Our investment approach involves, among other things:</w:t>
      </w:r>
    </w:p>
    <w:p>
      <w:pPr>
        <w:spacing w:after="0" w:line="130" w:lineRule="exact"/>
        <w:rPr>
          <w:sz w:val="20"/>
          <w:szCs w:val="20"/>
          <w:color w:val="auto"/>
        </w:rPr>
      </w:pPr>
    </w:p>
    <w:p>
      <w:pPr>
        <w:ind w:left="500" w:right="20" w:hanging="255"/>
        <w:spacing w:after="0" w:line="271" w:lineRule="auto"/>
        <w:tabs>
          <w:tab w:leader="none" w:pos="50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an assessment of the markets, overall macroeconomic environment and how the assessment may impact industry and investment selection;</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substantial company-specific research and analysis; and</w:t>
      </w:r>
    </w:p>
    <w:p>
      <w:pPr>
        <w:spacing w:after="0" w:line="128" w:lineRule="exact"/>
        <w:rPr>
          <w:rFonts w:ascii="Arial" w:cs="Arial" w:eastAsia="Arial" w:hAnsi="Arial"/>
          <w:sz w:val="20"/>
          <w:szCs w:val="20"/>
          <w:color w:val="231F20"/>
        </w:rPr>
      </w:pPr>
    </w:p>
    <w:p>
      <w:pPr>
        <w:ind w:left="500" w:hanging="255"/>
        <w:spacing w:after="0"/>
        <w:tabs>
          <w:tab w:leader="none" w:pos="50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with respect to each individual company, an emphasis on capital preservation, low volatility and management of downside risk.</w:t>
      </w:r>
    </w:p>
    <w:p>
      <w:pPr>
        <w:spacing w:after="0" w:line="234" w:lineRule="exact"/>
        <w:rPr>
          <w:sz w:val="20"/>
          <w:szCs w:val="20"/>
          <w:color w:val="auto"/>
        </w:rPr>
      </w:pPr>
    </w:p>
    <w:p>
      <w:pPr>
        <w:ind w:right="400" w:firstLine="245"/>
        <w:spacing w:after="0" w:line="253" w:lineRule="auto"/>
        <w:rPr>
          <w:sz w:val="20"/>
          <w:szCs w:val="20"/>
          <w:color w:val="auto"/>
        </w:rPr>
      </w:pPr>
      <w:r>
        <w:rPr>
          <w:rFonts w:ascii="Times New Roman" w:cs="Times New Roman" w:eastAsia="Times New Roman" w:hAnsi="Times New Roman"/>
          <w:sz w:val="20"/>
          <w:szCs w:val="20"/>
          <w:color w:val="231F20"/>
        </w:rPr>
        <w:t>The foundation of our investment philosophy incorporates intensive analysis, a management discipline based on both market technical and fundamental value-oriented research, and consideration of diversification within our portfolio. We follow a rigorous investment process based on:</w:t>
      </w:r>
    </w:p>
    <w:p>
      <w:pPr>
        <w:spacing w:after="0" w:line="83" w:lineRule="exact"/>
        <w:rPr>
          <w:sz w:val="20"/>
          <w:szCs w:val="20"/>
          <w:color w:val="auto"/>
        </w:rPr>
      </w:pPr>
    </w:p>
    <w:p>
      <w:pPr>
        <w:ind w:left="500" w:hanging="255"/>
        <w:spacing w:after="0"/>
        <w:tabs>
          <w:tab w:leader="none" w:pos="50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a comprehensive analysis of issuer creditworthiness, including a quantitative and qualitative assessment of the issuer’s business;</w:t>
      </w:r>
    </w:p>
    <w:p>
      <w:pPr>
        <w:spacing w:after="0" w:line="128" w:lineRule="exact"/>
        <w:rPr>
          <w:rFonts w:ascii="Arial" w:cs="Arial" w:eastAsia="Arial" w:hAnsi="Arial"/>
          <w:sz w:val="20"/>
          <w:szCs w:val="20"/>
          <w:color w:val="231F20"/>
        </w:rPr>
      </w:pPr>
    </w:p>
    <w:p>
      <w:pPr>
        <w:ind w:left="500" w:hanging="255"/>
        <w:spacing w:after="0"/>
        <w:tabs>
          <w:tab w:leader="none" w:pos="50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an evaluation of management and its economic incentives;</w:t>
      </w:r>
    </w:p>
    <w:p>
      <w:pPr>
        <w:spacing w:after="0" w:line="128" w:lineRule="exact"/>
        <w:rPr>
          <w:rFonts w:ascii="Arial" w:cs="Arial" w:eastAsia="Arial" w:hAnsi="Arial"/>
          <w:sz w:val="20"/>
          <w:szCs w:val="20"/>
          <w:color w:val="231F20"/>
        </w:rPr>
      </w:pPr>
    </w:p>
    <w:p>
      <w:pPr>
        <w:ind w:left="500" w:hanging="255"/>
        <w:spacing w:after="0"/>
        <w:tabs>
          <w:tab w:leader="none" w:pos="50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an analysis of business strategy and industry trends; and</w:t>
      </w:r>
    </w:p>
    <w:p>
      <w:pPr>
        <w:spacing w:after="0" w:line="128" w:lineRule="exact"/>
        <w:rPr>
          <w:rFonts w:ascii="Arial" w:cs="Arial" w:eastAsia="Arial" w:hAnsi="Arial"/>
          <w:sz w:val="20"/>
          <w:szCs w:val="20"/>
          <w:color w:val="231F20"/>
        </w:rPr>
      </w:pPr>
    </w:p>
    <w:p>
      <w:pPr>
        <w:ind w:left="500" w:hanging="255"/>
        <w:spacing w:after="0"/>
        <w:tabs>
          <w:tab w:leader="none" w:pos="50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an in-depth examination of a prospective portfolio company’s capital structure, financial results and projections.</w:t>
      </w:r>
    </w:p>
    <w:p>
      <w:pPr>
        <w:spacing w:after="0" w:line="234" w:lineRule="exact"/>
        <w:rPr>
          <w:sz w:val="20"/>
          <w:szCs w:val="20"/>
          <w:color w:val="auto"/>
        </w:rPr>
      </w:pPr>
    </w:p>
    <w:p>
      <w:pPr>
        <w:ind w:right="880" w:firstLine="245"/>
        <w:spacing w:after="0" w:line="272" w:lineRule="auto"/>
        <w:rPr>
          <w:sz w:val="20"/>
          <w:szCs w:val="20"/>
          <w:color w:val="auto"/>
        </w:rPr>
      </w:pPr>
      <w:r>
        <w:rPr>
          <w:rFonts w:ascii="Times New Roman" w:cs="Times New Roman" w:eastAsia="Times New Roman" w:hAnsi="Times New Roman"/>
          <w:sz w:val="20"/>
          <w:szCs w:val="20"/>
          <w:color w:val="231F20"/>
        </w:rPr>
        <w:t>We seek to identify those companies exhibiting superior fundamental risk-reward profiles and strong defensible business franchises, while focusing on the absolute and relative value of the investment.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Investment Process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Origination and Sourcing</w:t>
      </w:r>
    </w:p>
    <w:p>
      <w:pPr>
        <w:spacing w:after="0" w:line="113"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231F20"/>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Due Diligence Process</w:t>
      </w:r>
    </w:p>
    <w:p>
      <w:pPr>
        <w:spacing w:after="0" w:line="113" w:lineRule="exact"/>
        <w:rPr>
          <w:sz w:val="20"/>
          <w:szCs w:val="20"/>
          <w:color w:val="auto"/>
        </w:rPr>
      </w:pPr>
    </w:p>
    <w:p>
      <w:pPr>
        <w:ind w:right="60" w:firstLine="245"/>
        <w:spacing w:after="0" w:line="247" w:lineRule="auto"/>
        <w:rPr>
          <w:sz w:val="20"/>
          <w:szCs w:val="20"/>
          <w:color w:val="auto"/>
        </w:rPr>
      </w:pPr>
      <w:r>
        <w:rPr>
          <w:rFonts w:ascii="Times New Roman" w:cs="Times New Roman" w:eastAsia="Times New Roman" w:hAnsi="Times New Roman"/>
          <w:sz w:val="20"/>
          <w:szCs w:val="20"/>
          <w:color w:val="231F20"/>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88" w:lineRule="exact"/>
        <w:rPr>
          <w:sz w:val="20"/>
          <w:szCs w:val="20"/>
          <w:color w:val="auto"/>
        </w:rPr>
      </w:pPr>
    </w:p>
    <w:p>
      <w:pPr>
        <w:ind w:left="500" w:right="400" w:hanging="255"/>
        <w:spacing w:after="0" w:line="271" w:lineRule="auto"/>
        <w:tabs>
          <w:tab w:leader="none" w:pos="50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understanding the purpose of the capital requirement, the key personnel and variables, as well as the sources and uses of the proceeds;</w:t>
      </w:r>
    </w:p>
    <w:p>
      <w:pPr>
        <w:spacing w:after="0" w:line="64" w:lineRule="exact"/>
        <w:rPr>
          <w:rFonts w:ascii="Arial" w:cs="Arial" w:eastAsia="Arial" w:hAnsi="Arial"/>
          <w:sz w:val="20"/>
          <w:szCs w:val="20"/>
          <w:color w:val="231F20"/>
        </w:rPr>
      </w:pPr>
    </w:p>
    <w:p>
      <w:pPr>
        <w:ind w:left="500" w:right="120" w:hanging="255"/>
        <w:spacing w:after="0" w:line="271" w:lineRule="auto"/>
        <w:tabs>
          <w:tab w:leader="none" w:pos="50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meeting the company’s management, including top and middle-level executives, to get an insider’s view of the business, and to probe for potential weaknesses in business prospects;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2240" w:h="15840" w:orient="portrait"/>
          <w:cols w:equalWidth="0" w:num="1">
            <w:col w:w="10800"/>
          </w:cols>
          <w:pgMar w:left="720" w:top="930" w:right="720" w:bottom="175" w:gutter="0" w:footer="0" w:header="0"/>
          <w:type w:val="continuous"/>
        </w:sectPr>
      </w:pPr>
    </w:p>
    <w:bookmarkStart w:id="6" w:name="page7"/>
    <w:bookmarkEnd w:id="6"/>
    <w:p>
      <w:pPr>
        <w:ind w:left="500" w:hanging="255"/>
        <w:spacing w:after="0"/>
        <w:tabs>
          <w:tab w:leader="none" w:pos="5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checking management’s backgrounds and references;</w:t>
      </w:r>
    </w:p>
    <w:p>
      <w:pPr>
        <w:spacing w:after="0" w:line="133" w:lineRule="exact"/>
        <w:rPr>
          <w:rFonts w:ascii="Arial" w:cs="Arial" w:eastAsia="Arial" w:hAnsi="Arial"/>
          <w:sz w:val="20"/>
          <w:szCs w:val="20"/>
          <w:color w:val="231F20"/>
        </w:rPr>
      </w:pPr>
    </w:p>
    <w:p>
      <w:pPr>
        <w:ind w:left="500" w:right="180" w:hanging="255"/>
        <w:spacing w:after="0" w:line="276" w:lineRule="auto"/>
        <w:tabs>
          <w:tab w:leader="none" w:pos="5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performing a detailed review of historical financial performance, including performance through various economic cycles, and the quality of earnings;</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contacting customers and vendors to assess both business prospects and standard practices;</w:t>
      </w:r>
    </w:p>
    <w:p>
      <w:pPr>
        <w:spacing w:after="0" w:line="133" w:lineRule="exact"/>
        <w:rPr>
          <w:rFonts w:ascii="Arial" w:cs="Arial" w:eastAsia="Arial" w:hAnsi="Arial"/>
          <w:sz w:val="20"/>
          <w:szCs w:val="20"/>
          <w:color w:val="231F20"/>
        </w:rPr>
      </w:pPr>
    </w:p>
    <w:p>
      <w:pPr>
        <w:ind w:left="500" w:right="120" w:hanging="255"/>
        <w:spacing w:after="0" w:line="276" w:lineRule="auto"/>
        <w:tabs>
          <w:tab w:leader="none" w:pos="5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conducting a competitive analysis, and comparing the company to its main competitors on an operating, financial, market share and valuation basis;</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researching the industry for historic growth trends and future prospects as well as to identify future exit alternatives;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assessing asset value and the ability of physical infrastructure and information systems to handle anticipated growth;</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leveraging Sixth Street internal resources with institutional knowledge of the company’s business; and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investigating legal and regulatory risks and financial and accounting systems and practices.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Selective Investment Process</w:t>
      </w:r>
    </w:p>
    <w:p>
      <w:pPr>
        <w:spacing w:after="0" w:line="118"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20"/>
          <w:szCs w:val="20"/>
          <w:color w:val="231F20"/>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Issuance of Formal Commitment</w:t>
      </w:r>
    </w:p>
    <w:p>
      <w:pPr>
        <w:spacing w:after="0" w:line="118" w:lineRule="exact"/>
        <w:rPr>
          <w:sz w:val="20"/>
          <w:szCs w:val="20"/>
          <w:color w:val="auto"/>
        </w:rPr>
      </w:pPr>
    </w:p>
    <w:p>
      <w:pPr>
        <w:ind w:right="140" w:firstLine="245"/>
        <w:spacing w:after="0" w:line="252" w:lineRule="auto"/>
        <w:rPr>
          <w:sz w:val="20"/>
          <w:szCs w:val="20"/>
          <w:color w:val="auto"/>
        </w:rPr>
      </w:pPr>
      <w:r>
        <w:rPr>
          <w:rFonts w:ascii="Times New Roman" w:cs="Times New Roman" w:eastAsia="Times New Roman" w:hAnsi="Times New Roman"/>
          <w:sz w:val="20"/>
          <w:szCs w:val="20"/>
          <w:color w:val="231F20"/>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Portfolio Monitoring</w:t>
      </w:r>
    </w:p>
    <w:p>
      <w:pPr>
        <w:spacing w:after="0" w:line="118" w:lineRule="exact"/>
        <w:rPr>
          <w:sz w:val="20"/>
          <w:szCs w:val="20"/>
          <w:color w:val="auto"/>
        </w:rPr>
      </w:pPr>
    </w:p>
    <w:p>
      <w:pPr>
        <w:ind w:right="360" w:firstLine="245"/>
        <w:spacing w:after="0" w:line="277" w:lineRule="auto"/>
        <w:rPr>
          <w:sz w:val="20"/>
          <w:szCs w:val="20"/>
          <w:color w:val="auto"/>
        </w:rPr>
      </w:pPr>
      <w:r>
        <w:rPr>
          <w:rFonts w:ascii="Times New Roman" w:cs="Times New Roman" w:eastAsia="Times New Roman" w:hAnsi="Times New Roman"/>
          <w:sz w:val="20"/>
          <w:szCs w:val="20"/>
          <w:color w:val="231F20"/>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9" w:lineRule="exact"/>
        <w:rPr>
          <w:sz w:val="20"/>
          <w:szCs w:val="20"/>
          <w:color w:val="auto"/>
        </w:rPr>
      </w:pPr>
    </w:p>
    <w:p>
      <w:pPr>
        <w:ind w:right="320" w:firstLine="245"/>
        <w:spacing w:after="0" w:line="277" w:lineRule="auto"/>
        <w:rPr>
          <w:sz w:val="20"/>
          <w:szCs w:val="20"/>
          <w:color w:val="auto"/>
        </w:rPr>
      </w:pPr>
      <w:r>
        <w:rPr>
          <w:rFonts w:ascii="Times New Roman" w:cs="Times New Roman" w:eastAsia="Times New Roman" w:hAnsi="Times New Roman"/>
          <w:sz w:val="20"/>
          <w:szCs w:val="20"/>
          <w:color w:val="231F20"/>
        </w:rPr>
        <w:t>The Adviser has a number of methods of evaluating and monitoring the performance of our investments, which may include the following:</w:t>
      </w:r>
    </w:p>
    <w:p>
      <w:pPr>
        <w:spacing w:after="0" w:line="63" w:lineRule="exact"/>
        <w:rPr>
          <w:sz w:val="20"/>
          <w:szCs w:val="20"/>
          <w:color w:val="auto"/>
        </w:rPr>
      </w:pPr>
    </w:p>
    <w:p>
      <w:pPr>
        <w:ind w:left="500" w:hanging="255"/>
        <w:spacing w:after="0"/>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assessment of success of the portfolio company in adhering to its business plan and compliance with covenants;</w:t>
      </w:r>
    </w:p>
    <w:p>
      <w:pPr>
        <w:spacing w:after="0" w:line="133" w:lineRule="exact"/>
        <w:rPr>
          <w:rFonts w:ascii="Arial" w:cs="Arial" w:eastAsia="Arial" w:hAnsi="Arial"/>
          <w:sz w:val="20"/>
          <w:szCs w:val="20"/>
          <w:color w:val="231F20"/>
        </w:rPr>
      </w:pPr>
    </w:p>
    <w:p>
      <w:pPr>
        <w:ind w:left="500" w:right="580" w:hanging="255"/>
        <w:spacing w:after="0" w:line="276"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periodic and regular contact with portfolio company management and, if appropriate, the financial or strategic sponsor, to discuss financial position, requirements and accomplishments;</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comparisons to other companies in the industry;</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attendance at, and participation in, board meetings; and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review of monthly and quarterly financial statements and financial projections for portfolio companies.</w:t>
      </w:r>
    </w:p>
    <w:p>
      <w:pPr>
        <w:spacing w:after="0" w:line="239"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231F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3" w:lineRule="exact"/>
        <w:rPr>
          <w:sz w:val="20"/>
          <w:szCs w:val="20"/>
          <w:color w:val="auto"/>
        </w:rPr>
      </w:pPr>
    </w:p>
    <w:p>
      <w:pPr>
        <w:ind w:left="500" w:hanging="255"/>
        <w:spacing w:after="0" w:line="258" w:lineRule="auto"/>
        <w:tabs>
          <w:tab w:leader="none" w:pos="50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1" w:lineRule="exact"/>
        <w:rPr>
          <w:rFonts w:ascii="Arial" w:cs="Arial" w:eastAsia="Arial" w:hAnsi="Arial"/>
          <w:sz w:val="20"/>
          <w:szCs w:val="20"/>
          <w:color w:val="231F20"/>
        </w:rPr>
      </w:pPr>
    </w:p>
    <w:p>
      <w:pPr>
        <w:ind w:left="500" w:right="160" w:hanging="255"/>
        <w:spacing w:after="0" w:line="252" w:lineRule="auto"/>
        <w:tabs>
          <w:tab w:leader="none" w:pos="50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ectPr>
          <w:pgSz w:w="12240" w:h="15840" w:orient="portrait"/>
          <w:cols w:equalWidth="0" w:num="1">
            <w:col w:w="10800"/>
          </w:cols>
          <w:pgMar w:left="720" w:top="944" w:right="720" w:bottom="175"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2240" w:h="15840" w:orient="portrait"/>
          <w:cols w:equalWidth="0" w:num="1">
            <w:col w:w="10800"/>
          </w:cols>
          <w:pgMar w:left="720" w:top="944" w:right="720" w:bottom="175" w:gutter="0" w:footer="0" w:header="0"/>
          <w:type w:val="continuous"/>
        </w:sectPr>
      </w:pPr>
    </w:p>
    <w:bookmarkStart w:id="7" w:name="page8"/>
    <w:bookmarkEnd w:id="7"/>
    <w:p>
      <w:pPr>
        <w:ind w:left="500" w:hanging="255"/>
        <w:spacing w:after="0" w:line="278" w:lineRule="auto"/>
        <w:tabs>
          <w:tab w:leader="none" w:pos="500" w:val="left"/>
        </w:tabs>
        <w:numPr>
          <w:ilvl w:val="0"/>
          <w:numId w:val="10"/>
        </w:numPr>
        <w:rPr>
          <w:rFonts w:ascii="Arial" w:cs="Arial" w:eastAsia="Arial" w:hAnsi="Arial"/>
          <w:sz w:val="19"/>
          <w:szCs w:val="19"/>
          <w:color w:val="231F20"/>
        </w:rPr>
      </w:pPr>
      <w:r>
        <w:rPr>
          <w:rFonts w:ascii="Times New Roman" w:cs="Times New Roman" w:eastAsia="Times New Roman" w:hAnsi="Times New Roman"/>
          <w:sz w:val="19"/>
          <w:szCs w:val="19"/>
          <w:color w:val="231F20"/>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4" w:lineRule="exact"/>
        <w:rPr>
          <w:rFonts w:ascii="Arial" w:cs="Arial" w:eastAsia="Arial" w:hAnsi="Arial"/>
          <w:sz w:val="19"/>
          <w:szCs w:val="19"/>
          <w:color w:val="231F20"/>
        </w:rPr>
      </w:pPr>
    </w:p>
    <w:p>
      <w:pPr>
        <w:ind w:left="500" w:right="60" w:hanging="255"/>
        <w:spacing w:after="0" w:line="246" w:lineRule="auto"/>
        <w:tabs>
          <w:tab w:leader="none" w:pos="50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3" w:lineRule="exact"/>
        <w:rPr>
          <w:rFonts w:ascii="Arial" w:cs="Arial" w:eastAsia="Arial" w:hAnsi="Arial"/>
          <w:sz w:val="20"/>
          <w:szCs w:val="20"/>
          <w:color w:val="231F20"/>
        </w:rPr>
      </w:pPr>
    </w:p>
    <w:p>
      <w:pPr>
        <w:ind w:left="500" w:right="200" w:hanging="255"/>
        <w:spacing w:after="0" w:line="249" w:lineRule="auto"/>
        <w:tabs>
          <w:tab w:leader="none" w:pos="50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96" w:lineRule="exact"/>
        <w:rPr>
          <w:sz w:val="20"/>
          <w:szCs w:val="20"/>
          <w:color w:val="auto"/>
        </w:rPr>
      </w:pPr>
    </w:p>
    <w:p>
      <w:pPr>
        <w:ind w:right="40" w:firstLine="245"/>
        <w:spacing w:after="0" w:line="277" w:lineRule="auto"/>
        <w:rPr>
          <w:sz w:val="20"/>
          <w:szCs w:val="20"/>
          <w:color w:val="auto"/>
        </w:rPr>
      </w:pPr>
      <w:r>
        <w:rPr>
          <w:rFonts w:ascii="Times New Roman" w:cs="Times New Roman" w:eastAsia="Times New Roman" w:hAnsi="Times New Roman"/>
          <w:sz w:val="20"/>
          <w:szCs w:val="20"/>
          <w:color w:val="231F20"/>
        </w:rPr>
        <w:t xml:space="preserve">For more information on the investment performance ratings of our portfolio, see </w:t>
      </w:r>
      <w:r>
        <w:rPr>
          <w:rFonts w:ascii="Times New Roman" w:cs="Times New Roman" w:eastAsia="Times New Roman" w:hAnsi="Times New Roman"/>
          <w:sz w:val="20"/>
          <w:szCs w:val="20"/>
          <w:i w:val="1"/>
          <w:iCs w:val="1"/>
          <w:color w:val="231F20"/>
        </w:rPr>
        <w:t>“ITEM 7. MANAGEMENT’S DISCUSSION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ANALYSIS OF FINANCIAL CONDITION AND RESULTS OF OPERATIONS—Portfolio and Investment Activity.”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Investment Review Committee</w:t>
      </w:r>
    </w:p>
    <w:p>
      <w:pPr>
        <w:spacing w:after="0" w:line="124" w:lineRule="exact"/>
        <w:rPr>
          <w:sz w:val="20"/>
          <w:szCs w:val="20"/>
          <w:color w:val="auto"/>
        </w:rPr>
      </w:pPr>
    </w:p>
    <w:p>
      <w:pPr>
        <w:ind w:right="160" w:firstLine="245"/>
        <w:spacing w:after="0" w:line="252" w:lineRule="auto"/>
        <w:rPr>
          <w:sz w:val="20"/>
          <w:szCs w:val="20"/>
          <w:color w:val="auto"/>
        </w:rPr>
      </w:pPr>
      <w:r>
        <w:rPr>
          <w:rFonts w:ascii="Times New Roman" w:cs="Times New Roman" w:eastAsia="Times New Roman" w:hAnsi="Times New Roman"/>
          <w:sz w:val="20"/>
          <w:szCs w:val="20"/>
          <w:color w:val="231F20"/>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Structure of Investments</w:t>
      </w:r>
    </w:p>
    <w:p>
      <w:pPr>
        <w:spacing w:after="0" w:line="124" w:lineRule="exact"/>
        <w:rPr>
          <w:sz w:val="20"/>
          <w:szCs w:val="20"/>
          <w:color w:val="auto"/>
        </w:rPr>
      </w:pPr>
    </w:p>
    <w:p>
      <w:pPr>
        <w:jc w:val="both"/>
        <w:ind w:right="360" w:firstLine="245"/>
        <w:spacing w:after="0" w:line="258" w:lineRule="auto"/>
        <w:rPr>
          <w:sz w:val="20"/>
          <w:szCs w:val="20"/>
          <w:color w:val="auto"/>
        </w:rPr>
      </w:pPr>
      <w:r>
        <w:rPr>
          <w:rFonts w:ascii="Times New Roman" w:cs="Times New Roman" w:eastAsia="Times New Roman" w:hAnsi="Times New Roman"/>
          <w:sz w:val="20"/>
          <w:szCs w:val="20"/>
          <w:color w:val="231F20"/>
        </w:rPr>
        <w:t>Since beginning our investment activities in July 2011, we have sought to generate current income primarily in U.S.-domiciled middle-market companies through direct originations of senior secured loans and, to a lesser extent, originations of mezzanine and unsecured loans and investments in corporate bonds and equity and other investments.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Debt Investments</w:t>
      </w:r>
    </w:p>
    <w:p>
      <w:pPr>
        <w:spacing w:after="0" w:line="118" w:lineRule="exact"/>
        <w:rPr>
          <w:sz w:val="20"/>
          <w:szCs w:val="20"/>
          <w:color w:val="auto"/>
        </w:rPr>
      </w:pPr>
    </w:p>
    <w:p>
      <w:pPr>
        <w:ind w:right="100" w:firstLine="245"/>
        <w:spacing w:after="0" w:line="258" w:lineRule="auto"/>
        <w:rPr>
          <w:sz w:val="20"/>
          <w:szCs w:val="20"/>
          <w:color w:val="auto"/>
        </w:rPr>
      </w:pPr>
      <w:r>
        <w:rPr>
          <w:rFonts w:ascii="Times New Roman" w:cs="Times New Roman" w:eastAsia="Times New Roman" w:hAnsi="Times New Roman"/>
          <w:sz w:val="20"/>
          <w:szCs w:val="20"/>
          <w:color w:val="231F20"/>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79" w:lineRule="exact"/>
        <w:rPr>
          <w:sz w:val="20"/>
          <w:szCs w:val="20"/>
          <w:color w:val="auto"/>
        </w:rPr>
      </w:pPr>
    </w:p>
    <w:p>
      <w:pPr>
        <w:ind w:left="500" w:right="300" w:hanging="255"/>
        <w:spacing w:after="0" w:line="253" w:lineRule="auto"/>
        <w:tabs>
          <w:tab w:leader="none" w:pos="50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First-lien debt. </w:t>
      </w:r>
      <w:r>
        <w:rPr>
          <w:rFonts w:ascii="Times New Roman" w:cs="Times New Roman" w:eastAsia="Times New Roman" w:hAnsi="Times New Roman"/>
          <w:sz w:val="20"/>
          <w:szCs w:val="20"/>
          <w:color w:val="231F20"/>
        </w:rPr>
        <w:t>First-lien debt is typically senior on a lien basis to other liabilities in the issuer’s capital structure and has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83" w:lineRule="exact"/>
        <w:rPr>
          <w:rFonts w:ascii="Arial" w:cs="Arial" w:eastAsia="Arial" w:hAnsi="Arial"/>
          <w:sz w:val="20"/>
          <w:szCs w:val="20"/>
          <w:color w:val="231F20"/>
        </w:rPr>
      </w:pPr>
    </w:p>
    <w:p>
      <w:pPr>
        <w:ind w:left="500" w:right="360" w:hanging="255"/>
        <w:spacing w:after="0" w:line="281" w:lineRule="auto"/>
        <w:tabs>
          <w:tab w:leader="none" w:pos="50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Stand-alone first-lien loans. </w:t>
      </w:r>
      <w:r>
        <w:rPr>
          <w:rFonts w:ascii="Times New Roman" w:cs="Times New Roman" w:eastAsia="Times New Roman" w:hAnsi="Times New Roman"/>
          <w:sz w:val="20"/>
          <w:szCs w:val="20"/>
          <w:color w:val="231F20"/>
        </w:rPr>
        <w:t>Stand-alone first-lien loans are traditional first-lien loans. All lenders in the facility have equal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rights to the collateral that is subject to the first-priority security interest.</w:t>
      </w:r>
    </w:p>
    <w:p>
      <w:pPr>
        <w:spacing w:after="0" w:line="54" w:lineRule="exact"/>
        <w:rPr>
          <w:rFonts w:ascii="Arial" w:cs="Arial" w:eastAsia="Arial" w:hAnsi="Arial"/>
          <w:sz w:val="20"/>
          <w:szCs w:val="20"/>
          <w:color w:val="231F20"/>
        </w:rPr>
      </w:pPr>
    </w:p>
    <w:p>
      <w:pPr>
        <w:ind w:left="500" w:hanging="255"/>
        <w:spacing w:after="0" w:line="245" w:lineRule="auto"/>
        <w:tabs>
          <w:tab w:leader="none" w:pos="50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“Last out” first-lien loans. </w:t>
      </w:r>
      <w:r>
        <w:rPr>
          <w:rFonts w:ascii="Times New Roman" w:cs="Times New Roman" w:eastAsia="Times New Roman" w:hAnsi="Times New Roman"/>
          <w:sz w:val="20"/>
          <w:szCs w:val="20"/>
          <w:color w:val="231F20"/>
        </w:rPr>
        <w:t>“Last out” first-lien loans have a secondary priority behind super-senior “first out” first-lien loans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0" w:lineRule="exact"/>
        <w:rPr>
          <w:rFonts w:ascii="Arial" w:cs="Arial" w:eastAsia="Arial" w:hAnsi="Arial"/>
          <w:sz w:val="20"/>
          <w:szCs w:val="20"/>
          <w:color w:val="231F20"/>
        </w:rPr>
      </w:pPr>
    </w:p>
    <w:p>
      <w:pPr>
        <w:ind w:left="500" w:right="220" w:hanging="255"/>
        <w:spacing w:after="0" w:line="253" w:lineRule="auto"/>
        <w:tabs>
          <w:tab w:leader="none" w:pos="50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“Unitranche” loans. </w:t>
      </w:r>
      <w:r>
        <w:rPr>
          <w:rFonts w:ascii="Times New Roman" w:cs="Times New Roman" w:eastAsia="Times New Roman" w:hAnsi="Times New Roman"/>
          <w:sz w:val="20"/>
          <w:szCs w:val="20"/>
          <w:color w:val="231F20"/>
        </w:rPr>
        <w:t>Unitranche loans combine features of first-lien, second-lien and mezzanine debt, generally in a first-lien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position. In many cases, we may provide the borrower most, if not all, of the capital structure above the equity. The primary advantages to the borrower are the ability to negotiate the entire debt financing with one lender and the elimination of intercreditor issues.</w:t>
      </w:r>
    </w:p>
    <w:p>
      <w:pPr>
        <w:sectPr>
          <w:pgSz w:w="12240" w:h="15840" w:orient="portrait"/>
          <w:cols w:equalWidth="0" w:num="1">
            <w:col w:w="10800"/>
          </w:cols>
          <w:pgMar w:left="720" w:top="944" w:right="720" w:bottom="175"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2240" w:h="15840" w:orient="portrait"/>
          <w:cols w:equalWidth="0" w:num="1">
            <w:col w:w="10800"/>
          </w:cols>
          <w:pgMar w:left="720" w:top="944" w:right="720" w:bottom="175" w:gutter="0" w:footer="0" w:header="0"/>
          <w:type w:val="continuous"/>
        </w:sectPr>
      </w:pPr>
    </w:p>
    <w:bookmarkStart w:id="8" w:name="page9"/>
    <w:bookmarkEnd w:id="8"/>
    <w:p>
      <w:pPr>
        <w:ind w:left="500" w:hanging="255"/>
        <w:spacing w:after="0" w:line="250" w:lineRule="auto"/>
        <w:tabs>
          <w:tab w:leader="none" w:pos="50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Second-lien debt. </w:t>
      </w:r>
      <w:r>
        <w:rPr>
          <w:rFonts w:ascii="Times New Roman" w:cs="Times New Roman" w:eastAsia="Times New Roman" w:hAnsi="Times New Roman"/>
          <w:sz w:val="20"/>
          <w:szCs w:val="20"/>
          <w:color w:val="231F20"/>
        </w:rPr>
        <w:t>Our second-lien debt may include secured loans, and, to a lesser extent, secured corporate bonds, with a</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secondary priority 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85" w:lineRule="exact"/>
        <w:rPr>
          <w:rFonts w:ascii="Arial" w:cs="Arial" w:eastAsia="Arial" w:hAnsi="Arial"/>
          <w:sz w:val="20"/>
          <w:szCs w:val="20"/>
          <w:color w:val="231F20"/>
        </w:rPr>
      </w:pPr>
    </w:p>
    <w:p>
      <w:pPr>
        <w:ind w:left="500" w:right="20" w:hanging="255"/>
        <w:spacing w:after="0" w:line="244" w:lineRule="auto"/>
        <w:tabs>
          <w:tab w:leader="none" w:pos="50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“Mezzanine” and “Unsecured” debt. </w:t>
      </w:r>
      <w:r>
        <w:rPr>
          <w:rFonts w:ascii="Times New Roman" w:cs="Times New Roman" w:eastAsia="Times New Roman" w:hAnsi="Times New Roman"/>
          <w:sz w:val="20"/>
          <w:szCs w:val="20"/>
          <w:color w:val="231F20"/>
        </w:rPr>
        <w:t>Structurally, mezzanine debt usually ranks subordinate in priority of payment to first-lien and second-lien 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205" w:lineRule="exact"/>
        <w:rPr>
          <w:sz w:val="20"/>
          <w:szCs w:val="20"/>
          <w:color w:val="auto"/>
        </w:rPr>
      </w:pPr>
    </w:p>
    <w:p>
      <w:pPr>
        <w:ind w:right="580" w:firstLine="245"/>
        <w:spacing w:after="0" w:line="277" w:lineRule="auto"/>
        <w:rPr>
          <w:sz w:val="20"/>
          <w:szCs w:val="20"/>
          <w:color w:val="auto"/>
        </w:rPr>
      </w:pPr>
      <w:r>
        <w:rPr>
          <w:rFonts w:ascii="Times New Roman" w:cs="Times New Roman" w:eastAsia="Times New Roman" w:hAnsi="Times New Roman"/>
          <w:sz w:val="20"/>
          <w:szCs w:val="20"/>
          <w:color w:val="231F20"/>
        </w:rPr>
        <w:t>Our debt investments are typically structured with the maximum seniority and collateral that we can reasonably obtain while seeking to achieve our total return target. We seek to limit the downside potential of our investments by:</w:t>
      </w:r>
    </w:p>
    <w:p>
      <w:pPr>
        <w:spacing w:after="0" w:line="63" w:lineRule="exact"/>
        <w:rPr>
          <w:sz w:val="20"/>
          <w:szCs w:val="20"/>
          <w:color w:val="auto"/>
        </w:rPr>
      </w:pPr>
    </w:p>
    <w:p>
      <w:pPr>
        <w:ind w:left="500" w:right="340" w:hanging="255"/>
        <w:spacing w:after="0" w:line="276" w:lineRule="auto"/>
        <w:tabs>
          <w:tab w:leader="none" w:pos="50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requiring a total return on our investments (including both interest and potential equity appreciation) that compensates us for credit risk; and</w:t>
      </w:r>
    </w:p>
    <w:p>
      <w:pPr>
        <w:spacing w:after="0" w:line="64" w:lineRule="exact"/>
        <w:rPr>
          <w:rFonts w:ascii="Arial" w:cs="Arial" w:eastAsia="Arial" w:hAnsi="Arial"/>
          <w:sz w:val="20"/>
          <w:szCs w:val="20"/>
          <w:color w:val="231F20"/>
        </w:rPr>
      </w:pPr>
    </w:p>
    <w:p>
      <w:pPr>
        <w:ind w:left="500" w:right="240" w:hanging="255"/>
        <w:spacing w:after="0" w:line="252" w:lineRule="auto"/>
        <w:tabs>
          <w:tab w:leader="none" w:pos="50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93" w:lineRule="exact"/>
        <w:rPr>
          <w:sz w:val="20"/>
          <w:szCs w:val="20"/>
          <w:color w:val="auto"/>
        </w:rPr>
      </w:pPr>
    </w:p>
    <w:p>
      <w:pPr>
        <w:ind w:right="220" w:firstLine="245"/>
        <w:spacing w:after="0" w:line="249" w:lineRule="auto"/>
        <w:rPr>
          <w:sz w:val="20"/>
          <w:szCs w:val="20"/>
          <w:color w:val="auto"/>
        </w:rPr>
      </w:pPr>
      <w:r>
        <w:rPr>
          <w:rFonts w:ascii="Times New Roman" w:cs="Times New Roman" w:eastAsia="Times New Roman" w:hAnsi="Times New Roman"/>
          <w:sz w:val="20"/>
          <w:szCs w:val="20"/>
          <w:color w:val="231F20"/>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Equity and Other Investments</w:t>
      </w:r>
    </w:p>
    <w:p>
      <w:pPr>
        <w:spacing w:after="0" w:line="118" w:lineRule="exact"/>
        <w:rPr>
          <w:sz w:val="20"/>
          <w:szCs w:val="20"/>
          <w:color w:val="auto"/>
        </w:rPr>
      </w:pPr>
    </w:p>
    <w:p>
      <w:pPr>
        <w:jc w:val="both"/>
        <w:ind w:right="200" w:firstLine="245"/>
        <w:spacing w:after="0" w:line="258" w:lineRule="auto"/>
        <w:rPr>
          <w:sz w:val="20"/>
          <w:szCs w:val="20"/>
          <w:color w:val="auto"/>
        </w:rPr>
      </w:pPr>
      <w:r>
        <w:rPr>
          <w:rFonts w:ascii="Times New Roman" w:cs="Times New Roman" w:eastAsia="Times New Roman" w:hAnsi="Times New Roman"/>
          <w:sz w:val="20"/>
          <w:szCs w:val="20"/>
          <w:color w:val="231F20"/>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Investments</w:t>
      </w:r>
    </w:p>
    <w:p>
      <w:pPr>
        <w:spacing w:after="0" w:line="124" w:lineRule="exact"/>
        <w:rPr>
          <w:sz w:val="20"/>
          <w:szCs w:val="20"/>
          <w:color w:val="auto"/>
        </w:rPr>
      </w:pPr>
    </w:p>
    <w:p>
      <w:pPr>
        <w:ind w:right="580" w:firstLine="245"/>
        <w:spacing w:after="0" w:line="277" w:lineRule="auto"/>
        <w:rPr>
          <w:sz w:val="20"/>
          <w:szCs w:val="20"/>
          <w:color w:val="auto"/>
        </w:rPr>
      </w:pPr>
      <w:r>
        <w:rPr>
          <w:rFonts w:ascii="Times New Roman" w:cs="Times New Roman" w:eastAsia="Times New Roman" w:hAnsi="Times New Roman"/>
          <w:sz w:val="20"/>
          <w:szCs w:val="20"/>
          <w:color w:val="231F20"/>
        </w:rPr>
        <w:t>As of December 31, 2023 and 2022, we had made investments with an aggregate fair value of $3,283.1 million and $2,787.9 million, respectively, in 136 and 121 portfolio companies, respectively.</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Investments consisted of the following at December 31, 2023 and 2022:</w:t>
      </w:r>
    </w:p>
    <w:p>
      <w:pPr>
        <w:spacing w:after="0" w:line="1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231F20"/>
            </w:tcBorders>
          </w:tcPr>
          <w:p>
            <w:pPr>
              <w:spacing w:after="0"/>
              <w:rPr>
                <w:sz w:val="16"/>
                <w:szCs w:val="16"/>
                <w:color w:val="auto"/>
              </w:rPr>
            </w:pPr>
          </w:p>
        </w:tc>
        <w:tc>
          <w:tcPr>
            <w:tcW w:w="2120" w:type="dxa"/>
            <w:vAlign w:val="bottom"/>
            <w:tcBorders>
              <w:bottom w:val="single" w:sz="8" w:color="231F20"/>
            </w:tcBorders>
            <w:gridSpan w:val="5"/>
          </w:tcPr>
          <w:p>
            <w:pPr>
              <w:ind w:left="78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6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spacing w:after="0"/>
              <w:rPr>
                <w:sz w:val="16"/>
                <w:szCs w:val="16"/>
                <w:color w:val="auto"/>
              </w:rPr>
            </w:pPr>
          </w:p>
        </w:tc>
        <w:tc>
          <w:tcPr>
            <w:tcW w:w="80" w:type="dxa"/>
            <w:vAlign w:val="bottom"/>
          </w:tcPr>
          <w:p>
            <w:pPr>
              <w:spacing w:after="0"/>
              <w:rPr>
                <w:sz w:val="16"/>
                <w:szCs w:val="16"/>
                <w:color w:val="auto"/>
              </w:rPr>
            </w:pPr>
          </w:p>
        </w:tc>
      </w:tr>
      <w:tr>
        <w:trPr>
          <w:trHeight w:val="166"/>
        </w:trPr>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spacing w:after="0" w:line="166" w:lineRule="exact"/>
              <w:rPr>
                <w:sz w:val="20"/>
                <w:szCs w:val="20"/>
                <w:color w:val="auto"/>
              </w:rPr>
            </w:pPr>
            <w:r>
              <w:rPr>
                <w:rFonts w:ascii="Times New Roman" w:cs="Times New Roman" w:eastAsia="Times New Roman" w:hAnsi="Times New Roman"/>
                <w:sz w:val="16"/>
                <w:szCs w:val="16"/>
                <w:b w:val="1"/>
                <w:bCs w:val="1"/>
                <w:color w:val="231F20"/>
                <w:w w:val="99"/>
              </w:rPr>
              <w:t>Net Unrealized</w:t>
            </w:r>
          </w:p>
        </w:tc>
        <w:tc>
          <w:tcPr>
            <w:tcW w:w="80" w:type="dxa"/>
            <w:vAlign w:val="bottom"/>
          </w:tcPr>
          <w:p>
            <w:pPr>
              <w:spacing w:after="0"/>
              <w:rPr>
                <w:sz w:val="14"/>
                <w:szCs w:val="14"/>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7"/>
              </w:rPr>
              <w:t xml:space="preserve">Amortized Cost </w:t>
            </w:r>
            <w:r>
              <w:rPr>
                <w:rFonts w:ascii="Times New Roman" w:cs="Times New Roman" w:eastAsia="Times New Roman" w:hAnsi="Times New Roman"/>
                <w:sz w:val="10"/>
                <w:szCs w:val="10"/>
                <w:b w:val="1"/>
                <w:bCs w:val="1"/>
                <w:color w:val="231F20"/>
                <w:w w:val="97"/>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7"/>
              </w:rPr>
              <w:t>Gain (Loss)</w:t>
            </w:r>
          </w:p>
        </w:tc>
      </w:tr>
      <w:tr>
        <w:trPr>
          <w:trHeight w:val="220"/>
        </w:trPr>
        <w:tc>
          <w:tcPr>
            <w:tcW w:w="452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First-lien debt investments</w:t>
            </w:r>
          </w:p>
        </w:tc>
        <w:tc>
          <w:tcPr>
            <w:tcW w:w="44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360" w:type="dxa"/>
            <w:vAlign w:val="bottom"/>
            <w:tcBorders>
              <w:top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2,956.1</w:t>
            </w:r>
          </w:p>
        </w:tc>
        <w:tc>
          <w:tcPr>
            <w:tcW w:w="16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2,996.2</w:t>
            </w:r>
          </w:p>
        </w:tc>
        <w:tc>
          <w:tcPr>
            <w:tcW w:w="100" w:type="dxa"/>
            <w:vAlign w:val="bottom"/>
            <w:tcBorders>
              <w:top w:val="single" w:sz="8" w:color="CFEDF9"/>
            </w:tcBorders>
            <w:shd w:val="clear" w:color="auto" w:fill="CFEDF9"/>
          </w:tcPr>
          <w:p>
            <w:pPr>
              <w:spacing w:after="0"/>
              <w:rPr>
                <w:sz w:val="19"/>
                <w:szCs w:val="19"/>
                <w:color w:val="auto"/>
              </w:rPr>
            </w:pPr>
          </w:p>
        </w:tc>
        <w:tc>
          <w:tcPr>
            <w:tcW w:w="6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9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40.1</w:t>
            </w:r>
          </w:p>
        </w:tc>
        <w:tc>
          <w:tcPr>
            <w:tcW w:w="80" w:type="dxa"/>
            <w:vAlign w:val="bottom"/>
            <w:tcBorders>
              <w:top w:val="single" w:sz="8" w:color="CFEDF9"/>
            </w:tcBorders>
            <w:shd w:val="clear" w:color="auto" w:fill="CFEDF9"/>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231F20"/>
              </w:rPr>
              <w:t>Second-lien debt investments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(15.4)</w:t>
            </w:r>
          </w:p>
        </w:tc>
      </w:t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Mezzanine debt investments</w:t>
            </w:r>
          </w:p>
        </w:tc>
        <w:tc>
          <w:tcPr>
            <w:tcW w:w="4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6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38.0</w:t>
            </w:r>
          </w:p>
        </w:tc>
        <w:tc>
          <w:tcPr>
            <w:tcW w:w="1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39.5</w:t>
            </w:r>
          </w:p>
        </w:tc>
        <w:tc>
          <w:tcPr>
            <w:tcW w:w="10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80" w:type="dxa"/>
            <w:vAlign w:val="bottom"/>
            <w:shd w:val="clear" w:color="auto" w:fill="CFEDF9"/>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231F20"/>
              </w:rPr>
              <w:t>Equity and other investments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80" w:type="dxa"/>
            <w:vAlign w:val="bottom"/>
          </w:tcPr>
          <w:p>
            <w:pPr>
              <w:spacing w:after="0"/>
              <w:rPr>
                <w:sz w:val="19"/>
                <w:szCs w:val="19"/>
                <w:color w:val="auto"/>
              </w:rPr>
            </w:pPr>
          </w:p>
        </w:tc>
      </w:t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Structured credit investments</w:t>
            </w:r>
          </w:p>
        </w:tc>
        <w:tc>
          <w:tcPr>
            <w:tcW w:w="4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60" w:type="dxa"/>
            <w:vAlign w:val="bottom"/>
            <w:tcBorders>
              <w:bottom w:val="single" w:sz="8" w:color="231F20"/>
            </w:tcBorders>
            <w:shd w:val="clear" w:color="auto" w:fill="CFEDF9"/>
          </w:tcPr>
          <w:p>
            <w:pPr>
              <w:spacing w:after="0"/>
              <w:rPr>
                <w:sz w:val="19"/>
                <w:szCs w:val="19"/>
                <w:color w:val="auto"/>
              </w:rPr>
            </w:pPr>
          </w:p>
        </w:tc>
        <w:tc>
          <w:tcPr>
            <w:tcW w:w="8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52.9</w:t>
            </w:r>
          </w:p>
        </w:tc>
        <w:tc>
          <w:tcPr>
            <w:tcW w:w="160" w:type="dxa"/>
            <w:vAlign w:val="bottom"/>
            <w:shd w:val="clear" w:color="auto" w:fill="CFEDF9"/>
          </w:tcPr>
          <w:p>
            <w:pPr>
              <w:spacing w:after="0"/>
              <w:rPr>
                <w:sz w:val="19"/>
                <w:szCs w:val="19"/>
                <w:color w:val="auto"/>
              </w:rPr>
            </w:pPr>
          </w:p>
        </w:tc>
        <w:tc>
          <w:tcPr>
            <w:tcW w:w="120" w:type="dxa"/>
            <w:vAlign w:val="bottom"/>
            <w:tcBorders>
              <w:bottom w:val="single" w:sz="8" w:color="231F20"/>
            </w:tcBorders>
            <w:shd w:val="clear" w:color="auto" w:fill="CFEDF9"/>
          </w:tcPr>
          <w:p>
            <w:pPr>
              <w:spacing w:after="0"/>
              <w:rPr>
                <w:sz w:val="19"/>
                <w:szCs w:val="19"/>
                <w:color w:val="auto"/>
              </w:rPr>
            </w:pPr>
          </w:p>
        </w:tc>
        <w:tc>
          <w:tcPr>
            <w:tcW w:w="8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55.8</w:t>
            </w:r>
          </w:p>
        </w:tc>
        <w:tc>
          <w:tcPr>
            <w:tcW w:w="10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120" w:type="dxa"/>
            <w:vAlign w:val="bottom"/>
            <w:tcBorders>
              <w:bottom w:val="single" w:sz="8" w:color="231F20"/>
            </w:tcBorders>
            <w:shd w:val="clear" w:color="auto" w:fill="CFEDF9"/>
          </w:tcPr>
          <w:p>
            <w:pPr>
              <w:spacing w:after="0"/>
              <w:rPr>
                <w:sz w:val="19"/>
                <w:szCs w:val="19"/>
                <w:color w:val="auto"/>
              </w:rPr>
            </w:pPr>
          </w:p>
        </w:tc>
        <w:tc>
          <w:tcPr>
            <w:tcW w:w="9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80" w:type="dxa"/>
            <w:vAlign w:val="bottom"/>
            <w:shd w:val="clear" w:color="auto" w:fill="CFEDF9"/>
          </w:tcPr>
          <w:p>
            <w:pPr>
              <w:spacing w:after="0"/>
              <w:rPr>
                <w:sz w:val="19"/>
                <w:szCs w:val="19"/>
                <w:color w:val="auto"/>
              </w:rPr>
            </w:pPr>
          </w:p>
        </w:tc>
      </w:tr>
      <w:tr>
        <w:trPr>
          <w:trHeight w:val="220"/>
        </w:trPr>
        <w:tc>
          <w:tcPr>
            <w:tcW w:w="45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Investments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231F20"/>
            </w:tcBorders>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3,251.0</w:t>
            </w:r>
          </w:p>
        </w:tc>
        <w:tc>
          <w:tcPr>
            <w:tcW w:w="16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3,283.</w:t>
            </w:r>
            <w:r>
              <w:rPr>
                <w:rFonts w:ascii="Times New Roman" w:cs="Times New Roman" w:eastAsia="Times New Roman" w:hAnsi="Times New Roman"/>
                <w:sz w:val="20"/>
                <w:szCs w:val="20"/>
                <w:u w:val="single" w:color="auto"/>
                <w:color w:val="231F20"/>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231F20"/>
            </w:tcBorders>
          </w:tcPr>
          <w:p>
            <w:pPr>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9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32.1</w:t>
            </w:r>
          </w:p>
        </w:tc>
        <w:tc>
          <w:tcPr>
            <w:tcW w:w="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4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2240" w:h="15840" w:orient="portrait"/>
          <w:cols w:equalWidth="0" w:num="1">
            <w:col w:w="10800"/>
          </w:cols>
          <w:pgMar w:left="720" w:top="940" w:right="720" w:bottom="175" w:gutter="0" w:footer="0" w:header="0"/>
          <w:type w:val="continuous"/>
        </w:sectPr>
      </w:pPr>
    </w:p>
    <w:bookmarkStart w:id="9" w:name="page10"/>
    <w:bookmarkEnd w:id="9"/>
    <w:tbl>
      <w:tblPr>
        <w:tblLayout w:type="fixed"/>
        <w:tblInd w:w="108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2180" w:type="dxa"/>
            <w:vAlign w:val="bottom"/>
            <w:tcBorders>
              <w:bottom w:val="single" w:sz="8" w:color="231F20"/>
            </w:tcBorders>
            <w:gridSpan w:val="5"/>
          </w:tcPr>
          <w:p>
            <w:pPr>
              <w:ind w:left="78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55"/>
        </w:trPr>
        <w:tc>
          <w:tcPr>
            <w:tcW w:w="4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Net Unrealized</w:t>
            </w:r>
          </w:p>
        </w:tc>
        <w:tc>
          <w:tcPr>
            <w:tcW w:w="80" w:type="dxa"/>
            <w:vAlign w:val="bottom"/>
          </w:tcPr>
          <w:p>
            <w:pPr>
              <w:spacing w:after="0"/>
              <w:rPr>
                <w:sz w:val="13"/>
                <w:szCs w:val="13"/>
                <w:color w:val="auto"/>
              </w:rPr>
            </w:pPr>
          </w:p>
        </w:tc>
      </w:tr>
      <w:tr>
        <w:trPr>
          <w:trHeight w:val="203"/>
        </w:trPr>
        <w:tc>
          <w:tcPr>
            <w:tcW w:w="452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44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22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w w:val="97"/>
              </w:rPr>
              <w:t xml:space="preserve">Amortized Cost </w:t>
            </w:r>
            <w:r>
              <w:rPr>
                <w:rFonts w:ascii="Times New Roman" w:cs="Times New Roman" w:eastAsia="Times New Roman" w:hAnsi="Times New Roman"/>
                <w:sz w:val="10"/>
                <w:szCs w:val="10"/>
                <w:b w:val="1"/>
                <w:bCs w:val="1"/>
                <w:color w:val="231F20"/>
                <w:w w:val="97"/>
              </w:rPr>
              <w:t>(1)</w:t>
            </w:r>
          </w:p>
        </w:tc>
        <w:tc>
          <w:tcPr>
            <w:tcW w:w="16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16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231F20"/>
                <w:w w:val="97"/>
              </w:rPr>
              <w:t>Gain (Loss)</w:t>
            </w:r>
          </w:p>
        </w:tc>
        <w:tc>
          <w:tcPr>
            <w:tcW w:w="80" w:type="dxa"/>
            <w:vAlign w:val="bottom"/>
          </w:tcPr>
          <w:p>
            <w:pPr>
              <w:spacing w:after="0"/>
              <w:rPr>
                <w:sz w:val="17"/>
                <w:szCs w:val="17"/>
                <w:color w:val="auto"/>
              </w:rPr>
            </w:pPr>
          </w:p>
        </w:tc>
      </w:tr>
      <w:tr>
        <w:trPr>
          <w:trHeight w:val="220"/>
        </w:trPr>
        <w:tc>
          <w:tcPr>
            <w:tcW w:w="452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First-lien debt investments</w:t>
            </w:r>
          </w:p>
        </w:tc>
        <w:tc>
          <w:tcPr>
            <w:tcW w:w="4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6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2,529.3</w:t>
            </w:r>
          </w:p>
        </w:tc>
        <w:tc>
          <w:tcPr>
            <w:tcW w:w="160" w:type="dxa"/>
            <w:vAlign w:val="bottom"/>
            <w:shd w:val="clear" w:color="auto" w:fill="CFEDF9"/>
          </w:tcPr>
          <w:p>
            <w:pPr>
              <w:spacing w:after="0"/>
              <w:rPr>
                <w:sz w:val="19"/>
                <w:szCs w:val="19"/>
                <w:color w:val="auto"/>
              </w:rPr>
            </w:pPr>
          </w:p>
        </w:tc>
        <w:tc>
          <w:tcPr>
            <w:tcW w:w="1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2,517.9</w:t>
            </w:r>
          </w:p>
        </w:tc>
        <w:tc>
          <w:tcPr>
            <w:tcW w:w="160" w:type="dxa"/>
            <w:vAlign w:val="bottom"/>
            <w:tcBorders>
              <w:right w:val="single" w:sz="8" w:color="CFEDF9"/>
            </w:tcBorders>
            <w:shd w:val="clear" w:color="auto" w:fill="CFEDF9"/>
          </w:tcPr>
          <w:p>
            <w:pPr>
              <w:spacing w:after="0"/>
              <w:rPr>
                <w:sz w:val="19"/>
                <w:szCs w:val="19"/>
                <w:color w:val="auto"/>
              </w:rPr>
            </w:pPr>
          </w:p>
        </w:tc>
        <w:tc>
          <w:tcPr>
            <w:tcW w:w="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100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(11.4)</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231F20"/>
              </w:rPr>
              <w:t>Second-lien debt investments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(1.9)</w:t>
            </w:r>
          </w:p>
        </w:tc>
      </w:t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Mezzanine debt investments</w:t>
            </w:r>
          </w:p>
        </w:tc>
        <w:tc>
          <w:tcPr>
            <w:tcW w:w="4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6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1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160" w:type="dxa"/>
            <w:vAlign w:val="bottom"/>
            <w:tcBorders>
              <w:right w:val="single" w:sz="8" w:color="CFEDF9"/>
            </w:tcBorders>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80" w:type="dxa"/>
            <w:vAlign w:val="bottom"/>
            <w:shd w:val="clear" w:color="auto" w:fill="CFEDF9"/>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231F20"/>
              </w:rPr>
              <w:t>Equity and other investments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w:t>
            </w:r>
          </w:p>
        </w:tc>
        <w:tc>
          <w:tcPr>
            <w:tcW w:w="80" w:type="dxa"/>
            <w:vAlign w:val="bottom"/>
          </w:tcPr>
          <w:p>
            <w:pPr>
              <w:spacing w:after="0"/>
              <w:rPr>
                <w:sz w:val="19"/>
                <w:szCs w:val="19"/>
                <w:color w:val="auto"/>
              </w:rPr>
            </w:pPr>
          </w:p>
        </w:tc>
      </w:t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Structured credit investments</w:t>
            </w:r>
          </w:p>
        </w:tc>
        <w:tc>
          <w:tcPr>
            <w:tcW w:w="4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6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53.1</w:t>
            </w:r>
          </w:p>
        </w:tc>
        <w:tc>
          <w:tcPr>
            <w:tcW w:w="1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51.4</w:t>
            </w:r>
          </w:p>
        </w:tc>
        <w:tc>
          <w:tcPr>
            <w:tcW w:w="160" w:type="dxa"/>
            <w:vAlign w:val="bottom"/>
            <w:tcBorders>
              <w:right w:val="single" w:sz="8" w:color="CFEDF9"/>
            </w:tcBorders>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00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(1.7)</w:t>
            </w:r>
          </w:p>
        </w:tc>
      </w:tr>
      <w:tr>
        <w:trPr>
          <w:trHeight w:val="220"/>
        </w:trPr>
        <w:tc>
          <w:tcPr>
            <w:tcW w:w="45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Investments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231F20"/>
              <w:bottom w:val="single" w:sz="8" w:color="231F20"/>
            </w:tcBorders>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2,774.7</w:t>
            </w:r>
          </w:p>
        </w:tc>
        <w:tc>
          <w:tcPr>
            <w:tcW w:w="16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2,787.</w:t>
            </w:r>
            <w:r>
              <w:rPr>
                <w:rFonts w:ascii="Times New Roman" w:cs="Times New Roman" w:eastAsia="Times New Roman" w:hAnsi="Times New Roman"/>
                <w:sz w:val="20"/>
                <w:szCs w:val="20"/>
                <w:u w:val="single" w:color="auto"/>
                <w:color w:val="231F20"/>
              </w:rPr>
              <w:t>9</w:t>
            </w:r>
          </w:p>
        </w:tc>
        <w:tc>
          <w:tcPr>
            <w:tcW w:w="16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9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13.2</w:t>
            </w:r>
          </w:p>
        </w:tc>
        <w:tc>
          <w:tcPr>
            <w:tcW w:w="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5466715</wp:posOffset>
                </wp:positionH>
                <wp:positionV relativeFrom="paragraph">
                  <wp:posOffset>-910590</wp:posOffset>
                </wp:positionV>
                <wp:extent cx="652145" cy="14605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145" cy="146050"/>
                        </a:xfrm>
                        <a:prstGeom prst="rect">
                          <a:avLst/>
                        </a:prstGeom>
                        <a:solidFill>
                          <a:srgbClr val="CFEDF9"/>
                        </a:solidFill>
                      </wps:spPr>
                      <wps:bodyPr/>
                    </wps:wsp>
                  </a:graphicData>
                </a:graphic>
              </wp:anchor>
            </w:drawing>
          </mc:Choice>
          <mc:Fallback>
            <w:pict>
              <v:rect id="Shape 9" o:spid="_x0000_s1034" style="position:absolute;margin-left:430.45pt;margin-top:-71.6999pt;width:51.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pacing w:after="0" w:line="191" w:lineRule="exact"/>
        <w:rPr>
          <w:sz w:val="20"/>
          <w:szCs w:val="20"/>
          <w:color w:val="auto"/>
        </w:rPr>
      </w:pPr>
    </w:p>
    <w:p>
      <w:pPr>
        <w:ind w:left="500" w:right="260" w:hanging="500"/>
        <w:spacing w:after="0" w:line="277" w:lineRule="auto"/>
        <w:tabs>
          <w:tab w:leader="none" w:pos="50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Amortized cost represents the original cost adjusted for the amortization of discounts or premiums, as applicable, on debt investments using the effective interest method.</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industry composition of investments at fair value at December 31, 2023 and 2022 was as follows:</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CFEDF9"/>
            </w:tcBorders>
          </w:tcPr>
          <w:p>
            <w:pPr>
              <w:spacing w:after="0"/>
              <w:rPr>
                <w:sz w:val="17"/>
                <w:szCs w:val="17"/>
                <w:color w:val="auto"/>
              </w:rPr>
            </w:pPr>
          </w:p>
        </w:tc>
        <w:tc>
          <w:tcPr>
            <w:tcW w:w="116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60" w:type="dxa"/>
            <w:vAlign w:val="bottom"/>
          </w:tcPr>
          <w:p>
            <w:pPr>
              <w:spacing w:after="0"/>
              <w:rPr>
                <w:sz w:val="17"/>
                <w:szCs w:val="17"/>
                <w:color w:val="auto"/>
              </w:rPr>
            </w:pPr>
          </w:p>
        </w:tc>
        <w:tc>
          <w:tcPr>
            <w:tcW w:w="118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8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Automotive</w:t>
            </w:r>
          </w:p>
        </w:tc>
        <w:tc>
          <w:tcPr>
            <w:tcW w:w="142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1.3%</w:t>
            </w:r>
          </w:p>
        </w:tc>
        <w:tc>
          <w:tcPr>
            <w:tcW w:w="13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Business Services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0" w:type="dxa"/>
            <w:vAlign w:val="bottom"/>
          </w:tcPr>
          <w:p>
            <w:pPr>
              <w:spacing w:after="0"/>
              <w:rPr>
                <w:sz w:val="1"/>
                <w:szCs w:val="1"/>
                <w:color w:val="auto"/>
              </w:rPr>
            </w:pPr>
          </w:p>
        </w:tc>
      </w:tr>
      <w:tr>
        <w:trPr>
          <w:trHeight w:val="230"/>
        </w:trPr>
        <w:tc>
          <w:tcPr>
            <w:tcW w:w="58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Chemicals</w:t>
            </w:r>
          </w:p>
        </w:tc>
        <w:tc>
          <w:tcPr>
            <w:tcW w:w="14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0.8%</w:t>
            </w:r>
          </w:p>
        </w:tc>
        <w:tc>
          <w:tcPr>
            <w:tcW w:w="13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Communications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230"/>
        </w:trPr>
        <w:tc>
          <w:tcPr>
            <w:tcW w:w="58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Education</w:t>
            </w:r>
          </w:p>
        </w:tc>
        <w:tc>
          <w:tcPr>
            <w:tcW w:w="14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5.3%</w:t>
            </w:r>
          </w:p>
        </w:tc>
        <w:tc>
          <w:tcPr>
            <w:tcW w:w="13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Financial Services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0" w:type="dxa"/>
            <w:vAlign w:val="bottom"/>
          </w:tcPr>
          <w:p>
            <w:pPr>
              <w:spacing w:after="0"/>
              <w:rPr>
                <w:sz w:val="1"/>
                <w:szCs w:val="1"/>
                <w:color w:val="auto"/>
              </w:rPr>
            </w:pPr>
          </w:p>
        </w:tc>
      </w:tr>
      <w:tr>
        <w:trPr>
          <w:trHeight w:val="230"/>
        </w:trPr>
        <w:tc>
          <w:tcPr>
            <w:tcW w:w="58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Healthcare</w:t>
            </w:r>
          </w:p>
        </w:tc>
        <w:tc>
          <w:tcPr>
            <w:tcW w:w="14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8.9%</w:t>
            </w:r>
          </w:p>
        </w:tc>
        <w:tc>
          <w:tcPr>
            <w:tcW w:w="13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Hotel, Gaming and Leisure</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230"/>
        </w:trPr>
        <w:tc>
          <w:tcPr>
            <w:tcW w:w="58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Human Resource Support Services</w:t>
            </w:r>
          </w:p>
        </w:tc>
        <w:tc>
          <w:tcPr>
            <w:tcW w:w="14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11.2%</w:t>
            </w:r>
          </w:p>
        </w:tc>
        <w:tc>
          <w:tcPr>
            <w:tcW w:w="13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11.9%</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Insurance</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0.1%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58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Internet Services</w:t>
            </w:r>
          </w:p>
        </w:tc>
        <w:tc>
          <w:tcPr>
            <w:tcW w:w="14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15.1%</w:t>
            </w:r>
          </w:p>
        </w:tc>
        <w:tc>
          <w:tcPr>
            <w:tcW w:w="13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Manufacturing</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30"/>
        </w:trPr>
        <w:tc>
          <w:tcPr>
            <w:tcW w:w="58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Marketing Services</w:t>
            </w:r>
          </w:p>
        </w:tc>
        <w:tc>
          <w:tcPr>
            <w:tcW w:w="14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0.3%</w:t>
            </w:r>
          </w:p>
        </w:tc>
        <w:tc>
          <w:tcPr>
            <w:tcW w:w="13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Office Products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0.5%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30"/>
        </w:trPr>
        <w:tc>
          <w:tcPr>
            <w:tcW w:w="58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Oil, Gas and Consumable Fuels</w:t>
            </w:r>
          </w:p>
        </w:tc>
        <w:tc>
          <w:tcPr>
            <w:tcW w:w="14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4.7%</w:t>
            </w:r>
          </w:p>
        </w:tc>
        <w:tc>
          <w:tcPr>
            <w:tcW w:w="13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0" w:type="dxa"/>
            <w:vAlign w:val="bottom"/>
          </w:tcPr>
          <w:p>
            <w:pPr>
              <w:spacing w:after="0"/>
              <w:rPr>
                <w:sz w:val="1"/>
                <w:szCs w:val="1"/>
                <w:color w:val="auto"/>
              </w:rPr>
            </w:pPr>
          </w:p>
        </w:tc>
      </w:tr>
      <w:tr>
        <w:trPr>
          <w:trHeight w:val="230"/>
        </w:trPr>
        <w:tc>
          <w:tcPr>
            <w:tcW w:w="5880" w:type="dxa"/>
            <w:vAlign w:val="bottom"/>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Pharmaceuticals </w:t>
            </w:r>
            <w:r>
              <w:rPr>
                <w:rFonts w:ascii="Times New Roman" w:cs="Times New Roman" w:eastAsia="Times New Roman" w:hAnsi="Times New Roman"/>
                <w:sz w:val="26"/>
                <w:szCs w:val="26"/>
                <w:color w:val="231F20"/>
                <w:vertAlign w:val="superscript"/>
              </w:rPr>
              <w:t>(1)</w:t>
            </w:r>
          </w:p>
        </w:tc>
        <w:tc>
          <w:tcPr>
            <w:tcW w:w="1420" w:type="dxa"/>
            <w:vAlign w:val="bottom"/>
            <w:gridSpan w:val="2"/>
            <w:shd w:val="clear" w:color="auto" w:fill="CFEDF9"/>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231F20"/>
              </w:rPr>
              <w:t>Retail and Consumer Products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0" w:type="dxa"/>
            <w:vAlign w:val="bottom"/>
          </w:tcPr>
          <w:p>
            <w:pPr>
              <w:spacing w:after="0"/>
              <w:rPr>
                <w:sz w:val="1"/>
                <w:szCs w:val="1"/>
                <w:color w:val="auto"/>
              </w:rPr>
            </w:pPr>
          </w:p>
        </w:tc>
      </w:tr>
      <w:tr>
        <w:trPr>
          <w:trHeight w:val="230"/>
        </w:trPr>
        <w:tc>
          <w:tcPr>
            <w:tcW w:w="58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Transportation</w:t>
            </w:r>
          </w:p>
        </w:tc>
        <w:tc>
          <w:tcPr>
            <w:tcW w:w="14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2.1%</w:t>
            </w:r>
          </w:p>
        </w:tc>
        <w:tc>
          <w:tcPr>
            <w:tcW w:w="13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0"/>
        </w:trPr>
        <w:tc>
          <w:tcPr>
            <w:tcW w:w="5880" w:type="dxa"/>
            <w:vAlign w:val="bottom"/>
            <w:tcBorders>
              <w:top w:val="single" w:sz="8" w:color="CFEDF9"/>
            </w:tcBorders>
            <w:vMerge w:val="restart"/>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160" w:type="dxa"/>
            <w:vAlign w:val="bottom"/>
            <w:tcBorders>
              <w:top w:val="single" w:sz="8" w:color="231F20"/>
            </w:tcBorders>
            <w:shd w:val="clear" w:color="auto" w:fill="231F20"/>
          </w:tcPr>
          <w:p>
            <w:pPr>
              <w:spacing w:after="0" w:line="20" w:lineRule="exact"/>
              <w:rPr>
                <w:sz w:val="1"/>
                <w:szCs w:val="1"/>
                <w:color w:val="auto"/>
              </w:rPr>
            </w:pPr>
          </w:p>
        </w:tc>
        <w:tc>
          <w:tcPr>
            <w:tcW w:w="260" w:type="dxa"/>
            <w:vAlign w:val="bottom"/>
            <w:tcBorders>
              <w:top w:val="single" w:sz="8" w:color="CFEDF9"/>
            </w:tcBorders>
          </w:tcPr>
          <w:p>
            <w:pPr>
              <w:spacing w:after="0" w:line="20" w:lineRule="exact"/>
              <w:rPr>
                <w:sz w:val="1"/>
                <w:szCs w:val="1"/>
                <w:color w:val="auto"/>
              </w:rPr>
            </w:pPr>
          </w:p>
        </w:tc>
        <w:tc>
          <w:tcPr>
            <w:tcW w:w="118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CFED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80" w:type="dxa"/>
            <w:vAlign w:val="bottom"/>
            <w:vMerge w:val="continue"/>
          </w:tcPr>
          <w:p>
            <w:pPr>
              <w:spacing w:after="0"/>
              <w:rPr>
                <w:sz w:val="17"/>
                <w:szCs w:val="17"/>
                <w:color w:val="auto"/>
              </w:rPr>
            </w:pPr>
          </w:p>
        </w:tc>
        <w:tc>
          <w:tcPr>
            <w:tcW w:w="142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20"/>
                <w:szCs w:val="20"/>
                <w:color w:val="231F20"/>
              </w:rPr>
              <w:t>100.0%</w:t>
            </w:r>
          </w:p>
        </w:tc>
        <w:tc>
          <w:tcPr>
            <w:tcW w:w="13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4414520</wp:posOffset>
                </wp:positionH>
                <wp:positionV relativeFrom="paragraph">
                  <wp:posOffset>-2955290</wp:posOffset>
                </wp:positionV>
                <wp:extent cx="739775" cy="14605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775" cy="146050"/>
                        </a:xfrm>
                        <a:prstGeom prst="rect">
                          <a:avLst/>
                        </a:prstGeom>
                        <a:solidFill>
                          <a:srgbClr val="CFEDF9"/>
                        </a:solidFill>
                      </wps:spPr>
                      <wps:bodyPr/>
                    </wps:wsp>
                  </a:graphicData>
                </a:graphic>
              </wp:anchor>
            </w:drawing>
          </mc:Choice>
          <mc:Fallback>
            <w:pict>
              <v:rect id="Shape 10" o:spid="_x0000_s1035" style="position:absolute;margin-left:347.6pt;margin-top:-232.6999pt;width:58.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5154295</wp:posOffset>
                </wp:positionH>
                <wp:positionV relativeFrom="paragraph">
                  <wp:posOffset>-2961640</wp:posOffset>
                </wp:positionV>
                <wp:extent cx="171450" cy="15240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 cy="152400"/>
                        </a:xfrm>
                        <a:prstGeom prst="rect">
                          <a:avLst/>
                        </a:prstGeom>
                        <a:solidFill>
                          <a:srgbClr val="CFEDF9"/>
                        </a:solidFill>
                      </wps:spPr>
                      <wps:bodyPr/>
                    </wps:wsp>
                  </a:graphicData>
                </a:graphic>
              </wp:anchor>
            </w:drawing>
          </mc:Choice>
          <mc:Fallback>
            <w:pict>
              <v:rect id="Shape 11" o:spid="_x0000_s1036" style="position:absolute;margin-left:405.85pt;margin-top:-233.1999pt;width:13.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5325745</wp:posOffset>
                </wp:positionH>
                <wp:positionV relativeFrom="paragraph">
                  <wp:posOffset>-2955290</wp:posOffset>
                </wp:positionV>
                <wp:extent cx="740410" cy="14605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0410" cy="146050"/>
                        </a:xfrm>
                        <a:prstGeom prst="rect">
                          <a:avLst/>
                        </a:prstGeom>
                        <a:solidFill>
                          <a:srgbClr val="CFEDF9"/>
                        </a:solidFill>
                      </wps:spPr>
                      <wps:bodyPr/>
                    </wps:wsp>
                  </a:graphicData>
                </a:graphic>
              </wp:anchor>
            </w:drawing>
          </mc:Choice>
          <mc:Fallback>
            <w:pict>
              <v:rect id="Shape 12" o:spid="_x0000_s1037" style="position:absolute;margin-left:419.35pt;margin-top:-232.6999pt;width:58.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pacing w:after="0"/>
        <w:rPr>
          <w:sz w:val="20"/>
          <w:szCs w:val="20"/>
          <w:color w:val="auto"/>
        </w:rPr>
      </w:pPr>
      <w:r>
        <w:rPr>
          <w:rFonts w:ascii="Times New Roman" w:cs="Times New Roman" w:eastAsia="Times New Roman" w:hAnsi="Times New Roman"/>
          <w:sz w:val="20"/>
          <w:szCs w:val="20"/>
          <w:color w:val="231F20"/>
        </w:rPr>
        <w:t>(1) Value sums to less than 0.1%</w:t>
      </w:r>
    </w:p>
    <w:p>
      <w:pPr>
        <w:spacing w:after="0" w:line="210" w:lineRule="exact"/>
        <w:rPr>
          <w:sz w:val="20"/>
          <w:szCs w:val="20"/>
          <w:color w:val="auto"/>
        </w:rPr>
      </w:pPr>
    </w:p>
    <w:p>
      <w:pPr>
        <w:ind w:firstLine="245"/>
        <w:spacing w:after="0" w:line="277" w:lineRule="auto"/>
        <w:rPr>
          <w:sz w:val="20"/>
          <w:szCs w:val="20"/>
          <w:color w:val="auto"/>
        </w:rPr>
      </w:pPr>
      <w:r>
        <w:rPr>
          <w:rFonts w:ascii="Times New Roman" w:cs="Times New Roman" w:eastAsia="Times New Roman" w:hAnsi="Times New Roman"/>
          <w:sz w:val="20"/>
          <w:szCs w:val="20"/>
          <w:color w:val="231F20"/>
        </w:rPr>
        <w:t>We classify the industries of our portfolio companies by end-market (such as Healthcare, and Business Services) and not by the product or services (such as Software) directed to those end-markets.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231F20"/>
        </w:rPr>
        <w:t>10</w:t>
      </w:r>
    </w:p>
    <w:p>
      <w:pPr>
        <w:sectPr>
          <w:pgSz w:w="12240" w:h="15840" w:orient="portrait"/>
          <w:cols w:equalWidth="0" w:num="1">
            <w:col w:w="10460"/>
          </w:cols>
          <w:pgMar w:left="720" w:top="1160" w:right="1060" w:bottom="175"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20"/>
          <w:szCs w:val="20"/>
          <w:color w:val="231F20"/>
        </w:rPr>
        <w:t>The geographic composition of investments at fair value at December 31, 2023 and 2022 was as follows:</w:t>
      </w:r>
    </w:p>
    <w:p>
      <w:pPr>
        <w:spacing w:after="0" w:line="276"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EDF9"/>
            </w:tcBorders>
          </w:tcPr>
          <w:p>
            <w:pPr>
              <w:spacing w:after="0"/>
              <w:rPr>
                <w:sz w:val="17"/>
                <w:szCs w:val="17"/>
                <w:color w:val="auto"/>
              </w:rPr>
            </w:pPr>
          </w:p>
        </w:tc>
        <w:tc>
          <w:tcPr>
            <w:tcW w:w="122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60" w:type="dxa"/>
            <w:vAlign w:val="bottom"/>
            <w:tcBorders>
              <w:bottom w:val="single" w:sz="8" w:color="CFEDF9"/>
            </w:tcBorders>
          </w:tcPr>
          <w:p>
            <w:pPr>
              <w:spacing w:after="0"/>
              <w:rPr>
                <w:sz w:val="17"/>
                <w:szCs w:val="17"/>
                <w:color w:val="auto"/>
              </w:rPr>
            </w:pPr>
          </w:p>
        </w:tc>
        <w:tc>
          <w:tcPr>
            <w:tcW w:w="124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CFEDF9"/>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76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United States</w:t>
            </w:r>
          </w:p>
        </w:tc>
        <w:tc>
          <w:tcPr>
            <w:tcW w:w="122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24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Midwest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0" w:type="dxa"/>
            <w:vAlign w:val="bottom"/>
          </w:tcPr>
          <w:p>
            <w:pPr>
              <w:spacing w:after="0"/>
              <w:rPr>
                <w:sz w:val="1"/>
                <w:szCs w:val="1"/>
                <w:color w:val="auto"/>
              </w:rPr>
            </w:pPr>
          </w:p>
        </w:tc>
      </w:tr>
      <w:tr>
        <w:trPr>
          <w:trHeight w:val="230"/>
        </w:trPr>
        <w:tc>
          <w:tcPr>
            <w:tcW w:w="5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Northeast</w:t>
            </w:r>
          </w:p>
        </w:tc>
        <w:tc>
          <w:tcPr>
            <w:tcW w:w="148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25.4%</w:t>
            </w:r>
          </w:p>
        </w:tc>
        <w:tc>
          <w:tcPr>
            <w:tcW w:w="14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0" w:type="dxa"/>
            <w:vAlign w:val="bottom"/>
          </w:tcPr>
          <w:p>
            <w:pPr>
              <w:spacing w:after="0"/>
              <w:rPr>
                <w:sz w:val="1"/>
                <w:szCs w:val="1"/>
                <w:color w:val="auto"/>
              </w:rPr>
            </w:pPr>
          </w:p>
        </w:tc>
      </w:tr>
      <w:tr>
        <w:trPr>
          <w:trHeight w:val="230"/>
        </w:trPr>
        <w:tc>
          <w:tcPr>
            <w:tcW w:w="5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South</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0" w:type="dxa"/>
            <w:vAlign w:val="bottom"/>
          </w:tcPr>
          <w:p>
            <w:pPr>
              <w:spacing w:after="0"/>
              <w:rPr>
                <w:sz w:val="1"/>
                <w:szCs w:val="1"/>
                <w:color w:val="auto"/>
              </w:rPr>
            </w:pPr>
          </w:p>
        </w:tc>
      </w:tr>
      <w:tr>
        <w:trPr>
          <w:trHeight w:val="230"/>
        </w:trPr>
        <w:tc>
          <w:tcPr>
            <w:tcW w:w="5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West</w:t>
            </w:r>
          </w:p>
        </w:tc>
        <w:tc>
          <w:tcPr>
            <w:tcW w:w="148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32.0%</w:t>
            </w:r>
          </w:p>
        </w:tc>
        <w:tc>
          <w:tcPr>
            <w:tcW w:w="14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231F20"/>
              </w:rPr>
              <w:t>Australia</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30"/>
        </w:trPr>
        <w:tc>
          <w:tcPr>
            <w:tcW w:w="57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Canada</w:t>
            </w:r>
          </w:p>
        </w:tc>
        <w:tc>
          <w:tcPr>
            <w:tcW w:w="148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4.5%</w:t>
            </w:r>
          </w:p>
        </w:tc>
        <w:tc>
          <w:tcPr>
            <w:tcW w:w="14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230"/>
        </w:trPr>
        <w:tc>
          <w:tcPr>
            <w:tcW w:w="576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Finland </w:t>
            </w:r>
            <w:r>
              <w:rPr>
                <w:rFonts w:ascii="Times New Roman" w:cs="Times New Roman" w:eastAsia="Times New Roman" w:hAnsi="Times New Roman"/>
                <w:sz w:val="26"/>
                <w:szCs w:val="26"/>
                <w:color w:val="231F20"/>
                <w:vertAlign w:val="superscript"/>
              </w:rPr>
              <w:t>(1)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0.0%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57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Germany</w:t>
            </w:r>
          </w:p>
        </w:tc>
        <w:tc>
          <w:tcPr>
            <w:tcW w:w="148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0.3%</w:t>
            </w:r>
          </w:p>
        </w:tc>
        <w:tc>
          <w:tcPr>
            <w:tcW w:w="14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231F20"/>
              </w:rPr>
              <w:t>Luxembourg</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30"/>
        </w:trPr>
        <w:tc>
          <w:tcPr>
            <w:tcW w:w="57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Netherlands</w:t>
            </w:r>
          </w:p>
        </w:tc>
        <w:tc>
          <w:tcPr>
            <w:tcW w:w="148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0.1%</w:t>
            </w:r>
          </w:p>
        </w:tc>
        <w:tc>
          <w:tcPr>
            <w:tcW w:w="140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231F20"/>
              </w:rPr>
              <w:t>Norway</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30"/>
        </w:trPr>
        <w:tc>
          <w:tcPr>
            <w:tcW w:w="57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United Kingdom</w:t>
            </w:r>
          </w:p>
        </w:tc>
        <w:tc>
          <w:tcPr>
            <w:tcW w:w="148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2.9%</w:t>
            </w:r>
          </w:p>
        </w:tc>
        <w:tc>
          <w:tcPr>
            <w:tcW w:w="14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122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60" w:type="dxa"/>
            <w:vAlign w:val="bottom"/>
            <w:vMerge w:val="continue"/>
          </w:tcPr>
          <w:p>
            <w:pPr>
              <w:spacing w:after="0"/>
              <w:rPr>
                <w:sz w:val="19"/>
                <w:szCs w:val="19"/>
                <w:color w:val="auto"/>
              </w:rPr>
            </w:pPr>
          </w:p>
        </w:tc>
        <w:tc>
          <w:tcPr>
            <w:tcW w:w="148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14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 Value sums to less than 0.1%</w:t>
      </w:r>
    </w:p>
    <w:p>
      <w:pPr>
        <w:sectPr>
          <w:pgSz w:w="12240" w:h="15840" w:orient="portrait"/>
          <w:cols w:equalWidth="0" w:num="1">
            <w:col w:w="10080"/>
          </w:cols>
          <w:pgMar w:left="720" w:top="93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231F20"/>
        </w:rPr>
        <w:t>11</w:t>
      </w:r>
    </w:p>
    <w:p>
      <w:pPr>
        <w:sectPr>
          <w:pgSz w:w="12240" w:h="15840" w:orient="portrait"/>
          <w:cols w:equalWidth="0" w:num="1">
            <w:col w:w="10080"/>
          </w:cols>
          <w:pgMar w:left="720" w:top="930" w:right="1440" w:bottom="17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231F20"/>
        </w:rPr>
        <w:t>Investment Commitments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As of December 31, 2023 and 2022, we had the following commitments to fund investments in current portfolio companies:</w:t>
      </w:r>
    </w:p>
    <w:p>
      <w:pPr>
        <w:spacing w:after="0" w:line="372"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52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50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54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220" w:type="dxa"/>
            <w:vAlign w:val="bottom"/>
            <w:tcBorders>
              <w:bottom w:val="single" w:sz="8" w:color="CFEDF9"/>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52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Borders>
              <w:bottom w:val="single" w:sz="8" w:color="CFEDF9"/>
            </w:tcBorders>
          </w:tcPr>
          <w:p>
            <w:pPr>
              <w:spacing w:after="0"/>
              <w:rPr>
                <w:sz w:val="17"/>
                <w:szCs w:val="17"/>
                <w:color w:val="auto"/>
              </w:rPr>
            </w:pPr>
          </w:p>
        </w:tc>
      </w:tr>
      <w:tr>
        <w:trPr>
          <w:trHeight w:val="174"/>
        </w:trPr>
        <w:tc>
          <w:tcPr>
            <w:tcW w:w="5260" w:type="dxa"/>
            <w:vAlign w:val="bottom"/>
            <w:shd w:val="clear" w:color="auto" w:fill="CFEDF9"/>
          </w:tcPr>
          <w:p>
            <w:pPr>
              <w:ind w:left="40"/>
              <w:spacing w:after="0" w:line="174" w:lineRule="exact"/>
              <w:rPr>
                <w:sz w:val="20"/>
                <w:szCs w:val="20"/>
                <w:color w:val="auto"/>
              </w:rPr>
            </w:pPr>
            <w:r>
              <w:rPr>
                <w:rFonts w:ascii="Times New Roman" w:cs="Times New Roman" w:eastAsia="Times New Roman" w:hAnsi="Times New Roman"/>
                <w:sz w:val="16"/>
                <w:szCs w:val="16"/>
                <w:color w:val="231F20"/>
              </w:rPr>
              <w:t>Alaska Bidco Oy - Delayed Draw &amp;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54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0.2</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52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Alpha Midco, Inc.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0.9</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American Achievement, Corp.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2.4</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2.4</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Arrow Buyer, Inc.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Artisan Bidco, Inc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5.7</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ASG II, LLC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7.0</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Avalara, Inc.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3.9</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3.9</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Axonify, Inc.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6.1</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Banyan Software Holdings, LLC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10.0</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Bayshore Intermediate #2, L.P. -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BCTO Ace Purchaser, Inc.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0.5</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6.6</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BCTO Bluebill Buyer, Inc.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Bear OpCo, LLC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2.6</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BlueSnap, Inc. -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BTRS Holdings, Inc. - Delayed Draw &amp;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8.6</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Carlstar Group, LLC -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8.5</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Cordance Operations, LLC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12.0</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Coupa Holdings, LLC - Delayed Draw &amp; Revolver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6"/>
                <w:szCs w:val="16"/>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CrunchTime Information Systems, Inc.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7.1</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Crewline Buyer, Inc. - Revolver &amp; Partnership Interest</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Disco Parent, Inc.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0.5</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Dye &amp; Durham Corp. -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EDB Parent, LLC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11.4</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18.0</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Edge Bidco B.V. - Delayed Draw &amp;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Elysian Finco Ltd. - Delayed Draw &amp;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4.7</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6.8</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Employment Hero Holdings Pty Ltd. - Delayed Draw &amp;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8.8</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EMS Linq, Inc.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8.8</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8.8</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Erling Lux Bidco SARL - Delayed Draw &amp;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ExtraHop Networks, Inc.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9.8</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17.1</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Fullsteam Operations, LLC - Delayed Draw &amp;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ForeScout Technologies, Inc. - Delayed Draw &amp;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G Treasury SS, LLC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Galileo Parent, Inc.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6.8</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Hirevue, Inc. -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Hornetsecurity Holding GmbH - Delayed Draw &amp;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2.1</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Ibis Intermediate Co.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IRGSE Holding Corp.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0.9</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0.3</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Kangaroo Bidco AS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 xml:space="preserve">Kyriba Corp. - Delayed Draw &amp; Revolver </w:t>
            </w:r>
            <w:r>
              <w:rPr>
                <w:rFonts w:ascii="Times New Roman" w:cs="Times New Roman" w:eastAsia="Times New Roman" w:hAnsi="Times New Roman"/>
                <w:sz w:val="10"/>
                <w:szCs w:val="10"/>
                <w:color w:val="231F20"/>
              </w:rPr>
              <w:t>(1)</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0.0</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Laramie Energy, LLC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LeanTaaS Holdings, Inc.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38.0</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47.2</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Lithium Technologies, LLC -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Lucidworks, Inc.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0.8</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0.8</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Marcura Equities LTD - Delayed Draw &amp;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Murchison Oil and Gas, LLC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9.8</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Netwrix Corp. - Delayed Draw &amp;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13.9</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Neuintel, LLC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4.2</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OutSystems Luxco SARL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PageUp People, Ltd. - Delayed Draw &amp;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5.8</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Passport Labs, Inc. - Delayed Draw &amp; Revolver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Ping Identity Holding Corp.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2.3</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2.3</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PrimePay Intermediate, LLC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PrimeRevenue, Inc.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Project44, Inc.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19.9</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Rapid Data GmbH Unternehmensberatung - Delayed Draw &amp;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ReliaQuest Holdings, LLC - Delayed Draw, Revolver &amp; Preferred Equity</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22.7</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SkyLark UK DebtCo - Delayed Draw</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7.1</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SL Buyer Corp. - Delayed Draw</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Tango Management Consulting, LLC - Delayed Draw &amp;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11.0</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26.6</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TRP Assets, LLC - Delayed Draw &amp; Membership Interest</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7.8</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WideOrbit, Inc. - Revolver</w:t>
            </w:r>
          </w:p>
        </w:tc>
        <w:tc>
          <w:tcPr>
            <w:tcW w:w="5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5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4.8</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Borders>
              <w:bottom w:val="single" w:sz="8" w:color="CFEDF9"/>
            </w:tcBorders>
          </w:tcPr>
          <w:p>
            <w:pPr>
              <w:ind w:left="40"/>
              <w:spacing w:after="0"/>
              <w:rPr>
                <w:sz w:val="20"/>
                <w:szCs w:val="20"/>
                <w:color w:val="auto"/>
              </w:rPr>
            </w:pPr>
            <w:r>
              <w:rPr>
                <w:rFonts w:ascii="Times New Roman" w:cs="Times New Roman" w:eastAsia="Times New Roman" w:hAnsi="Times New Roman"/>
                <w:sz w:val="16"/>
                <w:szCs w:val="16"/>
                <w:color w:val="231F20"/>
              </w:rPr>
              <w:t>Wrangler TopCo, LLC - Revolver</w:t>
            </w:r>
          </w:p>
        </w:tc>
        <w:tc>
          <w:tcPr>
            <w:tcW w:w="500" w:type="dxa"/>
            <w:vAlign w:val="bottom"/>
            <w:tcBorders>
              <w:bottom w:val="single" w:sz="8" w:color="CFEDF9"/>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0.4</w:t>
            </w:r>
          </w:p>
        </w:tc>
        <w:tc>
          <w:tcPr>
            <w:tcW w:w="220" w:type="dxa"/>
            <w:vAlign w:val="bottom"/>
            <w:tcBorders>
              <w:bottom w:val="single" w:sz="8" w:color="CFEDF9"/>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CFEDF9"/>
            </w:tcBorders>
          </w:tcPr>
          <w:p>
            <w:pPr>
              <w:spacing w:after="0"/>
              <w:rPr>
                <w:sz w:val="15"/>
                <w:szCs w:val="15"/>
                <w:color w:val="auto"/>
              </w:rPr>
            </w:pPr>
          </w:p>
        </w:tc>
      </w:tr>
      <w:tr>
        <w:trPr>
          <w:trHeight w:val="174"/>
        </w:trPr>
        <w:tc>
          <w:tcPr>
            <w:tcW w:w="5260" w:type="dxa"/>
            <w:vAlign w:val="bottom"/>
            <w:shd w:val="clear" w:color="auto" w:fill="CFEDF9"/>
          </w:tcPr>
          <w:p>
            <w:pPr>
              <w:ind w:left="100"/>
              <w:spacing w:after="0" w:line="174" w:lineRule="exact"/>
              <w:rPr>
                <w:sz w:val="20"/>
                <w:szCs w:val="20"/>
                <w:color w:val="auto"/>
              </w:rPr>
            </w:pPr>
            <w:r>
              <w:rPr>
                <w:rFonts w:ascii="Times New Roman" w:cs="Times New Roman" w:eastAsia="Times New Roman" w:hAnsi="Times New Roman"/>
                <w:sz w:val="16"/>
                <w:szCs w:val="16"/>
                <w:b w:val="1"/>
                <w:bCs w:val="1"/>
                <w:color w:val="231F20"/>
              </w:rPr>
              <w:t xml:space="preserve">Total Portfolio Company Commitments </w:t>
            </w:r>
            <w:r>
              <w:rPr>
                <w:rFonts w:ascii="Times New Roman" w:cs="Times New Roman" w:eastAsia="Times New Roman" w:hAnsi="Times New Roman"/>
                <w:sz w:val="10"/>
                <w:szCs w:val="10"/>
                <w:b w:val="1"/>
                <w:bCs w:val="1"/>
                <w:color w:val="231F20"/>
              </w:rPr>
              <w:t>(2)(3)</w:t>
            </w:r>
          </w:p>
        </w:tc>
        <w:tc>
          <w:tcPr>
            <w:tcW w:w="500" w:type="dxa"/>
            <w:vAlign w:val="bottom"/>
            <w:shd w:val="clear" w:color="auto" w:fill="CFEDF9"/>
          </w:tcPr>
          <w:p>
            <w:pPr>
              <w:spacing w:after="0"/>
              <w:rPr>
                <w:sz w:val="15"/>
                <w:szCs w:val="15"/>
                <w:color w:val="auto"/>
              </w:rPr>
            </w:pPr>
          </w:p>
        </w:tc>
        <w:tc>
          <w:tcPr>
            <w:tcW w:w="12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54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316.1</w:t>
            </w:r>
          </w:p>
        </w:tc>
        <w:tc>
          <w:tcPr>
            <w:tcW w:w="220" w:type="dxa"/>
            <w:vAlign w:val="bottom"/>
            <w:shd w:val="clear" w:color="auto" w:fill="CFEDF9"/>
          </w:tcPr>
          <w:p>
            <w:pPr>
              <w:spacing w:after="0"/>
              <w:rPr>
                <w:sz w:val="15"/>
                <w:szCs w:val="15"/>
                <w:color w:val="auto"/>
              </w:rPr>
            </w:pPr>
          </w:p>
        </w:tc>
        <w:tc>
          <w:tcPr>
            <w:tcW w:w="14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52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338.0</w:t>
            </w:r>
          </w:p>
        </w:tc>
        <w:tc>
          <w:tcPr>
            <w:tcW w:w="100" w:type="dxa"/>
            <w:vAlign w:val="bottom"/>
            <w:shd w:val="clear" w:color="auto" w:fill="CFEDF9"/>
          </w:tcPr>
          <w:p>
            <w:pPr>
              <w:spacing w:after="0"/>
              <w:rPr>
                <w:sz w:val="15"/>
                <w:szCs w:val="15"/>
                <w:color w:val="auto"/>
              </w:rPr>
            </w:pPr>
          </w:p>
        </w:tc>
      </w:tr>
      <w:tr>
        <w:trPr>
          <w:trHeight w:val="20"/>
        </w:trPr>
        <w:tc>
          <w:tcPr>
            <w:tcW w:w="5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hanging="500"/>
        <w:spacing w:after="0"/>
        <w:tabs>
          <w:tab w:leader="none" w:pos="50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Value sums to less than $0.1 million.</w:t>
      </w:r>
    </w:p>
    <w:p>
      <w:pPr>
        <w:sectPr>
          <w:pgSz w:w="12240" w:h="15840" w:orient="portrait"/>
          <w:cols w:equalWidth="0" w:num="1">
            <w:col w:w="10180"/>
          </w:cols>
          <w:pgMar w:left="720" w:top="932" w:right="13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231F20"/>
        </w:rPr>
        <w:t>12</w:t>
      </w:r>
    </w:p>
    <w:p>
      <w:pPr>
        <w:sectPr>
          <w:pgSz w:w="12240" w:h="15840" w:orient="portrait"/>
          <w:cols w:equalWidth="0" w:num="1">
            <w:col w:w="10180"/>
          </w:cols>
          <w:pgMar w:left="720" w:top="932" w:right="1340" w:bottom="175" w:gutter="0" w:footer="0" w:header="0"/>
          <w:type w:val="continuous"/>
        </w:sectPr>
      </w:pPr>
    </w:p>
    <w:bookmarkStart w:id="12" w:name="page13"/>
    <w:bookmarkEnd w:id="12"/>
    <w:p>
      <w:pPr>
        <w:ind w:left="500" w:right="220" w:hanging="500"/>
        <w:spacing w:after="0" w:line="249" w:lineRule="auto"/>
        <w:tabs>
          <w:tab w:leader="none" w:pos="50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20"/>
          <w:szCs w:val="20"/>
          <w:color w:val="231F20"/>
        </w:rPr>
      </w:pPr>
    </w:p>
    <w:p>
      <w:pPr>
        <w:ind w:left="500" w:hanging="500"/>
        <w:spacing w:after="0" w:line="248" w:lineRule="auto"/>
        <w:tabs>
          <w:tab w:leader="none" w:pos="50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estimate of the fair value of the current investments in these portfolio companies includes as analysis of the fair value of any unfunded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Commitments and Contingencies</w:t>
      </w:r>
    </w:p>
    <w:p>
      <w:pPr>
        <w:spacing w:after="0" w:line="118" w:lineRule="exact"/>
        <w:rPr>
          <w:sz w:val="20"/>
          <w:szCs w:val="20"/>
          <w:color w:val="auto"/>
        </w:rPr>
      </w:pPr>
    </w:p>
    <w:p>
      <w:pPr>
        <w:ind w:right="180" w:firstLine="245"/>
        <w:spacing w:after="0" w:line="277" w:lineRule="auto"/>
        <w:rPr>
          <w:sz w:val="20"/>
          <w:szCs w:val="20"/>
          <w:color w:val="auto"/>
        </w:rPr>
      </w:pPr>
      <w:r>
        <w:rPr>
          <w:rFonts w:ascii="Times New Roman" w:cs="Times New Roman" w:eastAsia="Times New Roman" w:hAnsi="Times New Roman"/>
          <w:sz w:val="20"/>
          <w:szCs w:val="20"/>
          <w:color w:val="231F20"/>
        </w:rPr>
        <w:t>As of December 31, 2023 and 2022, we did not have any unfunded commitments to fund investments to new borrowers that were not current portfolio companies as of such date.</w:t>
      </w:r>
    </w:p>
    <w:p>
      <w:pPr>
        <w:spacing w:after="0" w:line="169" w:lineRule="exact"/>
        <w:rPr>
          <w:sz w:val="20"/>
          <w:szCs w:val="20"/>
          <w:color w:val="auto"/>
        </w:rPr>
      </w:pPr>
    </w:p>
    <w:p>
      <w:pPr>
        <w:ind w:right="520" w:firstLine="245"/>
        <w:spacing w:after="0" w:line="258" w:lineRule="auto"/>
        <w:rPr>
          <w:sz w:val="20"/>
          <w:szCs w:val="20"/>
          <w:color w:val="auto"/>
        </w:rPr>
      </w:pPr>
      <w:r>
        <w:rPr>
          <w:rFonts w:ascii="Times New Roman" w:cs="Times New Roman" w:eastAsia="Times New Roman" w:hAnsi="Times New Roman"/>
          <w:sz w:val="20"/>
          <w:szCs w:val="20"/>
          <w:color w:val="231F20"/>
        </w:rPr>
        <w:t>From time to time, we may become a party to certain legal proceedings incidental to the normal course of our business. As of December 31, 2023, management is not aware of any material pending or threatened litigation that would require accounting recognition or financial statement disclosure.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Competition</w:t>
      </w:r>
    </w:p>
    <w:p>
      <w:pPr>
        <w:spacing w:after="0" w:line="118" w:lineRule="exact"/>
        <w:rPr>
          <w:sz w:val="20"/>
          <w:szCs w:val="20"/>
          <w:color w:val="auto"/>
        </w:rPr>
      </w:pPr>
    </w:p>
    <w:p>
      <w:pPr>
        <w:ind w:right="40" w:firstLine="245"/>
        <w:spacing w:after="0" w:line="245" w:lineRule="auto"/>
        <w:rPr>
          <w:sz w:val="20"/>
          <w:szCs w:val="20"/>
          <w:color w:val="auto"/>
        </w:rPr>
      </w:pPr>
      <w:r>
        <w:rPr>
          <w:rFonts w:ascii="Times New Roman" w:cs="Times New Roman" w:eastAsia="Times New Roman" w:hAnsi="Times New Roman"/>
          <w:sz w:val="20"/>
          <w:szCs w:val="20"/>
          <w:color w:val="231F20"/>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20"/>
          <w:szCs w:val="20"/>
          <w:i w:val="1"/>
          <w:iCs w:val="1"/>
          <w:color w:val="231F20"/>
        </w:rPr>
        <w:t>ITEM 1A. RISK FACTORS—Risks Related to Our Business and Structure—We operate in a highly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competitive market for investment opportunities.</w:t>
      </w:r>
      <w:r>
        <w:rPr>
          <w:rFonts w:ascii="Times New Roman" w:cs="Times New Roman" w:eastAsia="Times New Roman" w:hAnsi="Times New Roman"/>
          <w:sz w:val="20"/>
          <w:szCs w:val="20"/>
          <w:color w:val="231F20"/>
        </w:rPr>
        <w: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Capital Resources and Borrowings</w:t>
      </w:r>
    </w:p>
    <w:p>
      <w:pPr>
        <w:spacing w:after="0" w:line="118"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231F20"/>
        </w:rPr>
        <w:t>We anticipate generating cash in the future from cash flows from operations, including interest received on our cash and cash equivalents, U.S. government securities and other high-quality debt investments that mature in one year or less, and through issuances of common stock.</w:t>
      </w:r>
    </w:p>
    <w:p>
      <w:pPr>
        <w:spacing w:after="0" w:line="188" w:lineRule="exact"/>
        <w:rPr>
          <w:sz w:val="20"/>
          <w:szCs w:val="20"/>
          <w:color w:val="auto"/>
        </w:rPr>
      </w:pPr>
    </w:p>
    <w:p>
      <w:pPr>
        <w:ind w:right="80" w:firstLine="245"/>
        <w:spacing w:after="0" w:line="252" w:lineRule="auto"/>
        <w:rPr>
          <w:sz w:val="20"/>
          <w:szCs w:val="20"/>
          <w:color w:val="auto"/>
        </w:rPr>
      </w:pPr>
      <w:r>
        <w:rPr>
          <w:rFonts w:ascii="Times New Roman" w:cs="Times New Roman" w:eastAsia="Times New Roman" w:hAnsi="Times New Roman"/>
          <w:sz w:val="20"/>
          <w:szCs w:val="20"/>
          <w:color w:val="231F20"/>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2023 and 2022, our asset coverage was 181.6% and 188.6%, respectively. See “</w:t>
      </w:r>
      <w:r>
        <w:rPr>
          <w:rFonts w:ascii="Times New Roman" w:cs="Times New Roman" w:eastAsia="Times New Roman" w:hAnsi="Times New Roman"/>
          <w:sz w:val="20"/>
          <w:szCs w:val="20"/>
          <w:i w:val="1"/>
          <w:iCs w:val="1"/>
          <w:color w:val="231F20"/>
        </w:rPr>
        <w:t>Regulation as a Business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Development Company—Senior Securities</w:t>
      </w:r>
      <w:r>
        <w:rPr>
          <w:rFonts w:ascii="Times New Roman" w:cs="Times New Roman" w:eastAsia="Times New Roman" w:hAnsi="Times New Roman"/>
          <w:sz w:val="20"/>
          <w:szCs w:val="20"/>
          <w:color w:val="231F20"/>
        </w:rPr>
        <w:t>” below.</w:t>
      </w:r>
    </w:p>
    <w:p>
      <w:pPr>
        <w:spacing w:after="0" w:line="194" w:lineRule="exact"/>
        <w:rPr>
          <w:sz w:val="20"/>
          <w:szCs w:val="20"/>
          <w:color w:val="auto"/>
        </w:rPr>
      </w:pPr>
    </w:p>
    <w:p>
      <w:pPr>
        <w:ind w:right="100" w:firstLine="245"/>
        <w:spacing w:after="0" w:line="252" w:lineRule="auto"/>
        <w:rPr>
          <w:sz w:val="20"/>
          <w:szCs w:val="20"/>
          <w:color w:val="auto"/>
        </w:rPr>
      </w:pPr>
      <w:r>
        <w:rPr>
          <w:rFonts w:ascii="Times New Roman" w:cs="Times New Roman" w:eastAsia="Times New Roman" w:hAnsi="Times New Roman"/>
          <w:sz w:val="20"/>
          <w:szCs w:val="20"/>
          <w:color w:val="231F20"/>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Debt obligations consisted of the following as of December 31, 2023 and 2022:</w:t>
      </w:r>
    </w:p>
    <w:p>
      <w:pPr>
        <w:spacing w:after="0" w:line="276"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040" w:type="dxa"/>
            <w:vAlign w:val="bottom"/>
            <w:tcBorders>
              <w:bottom w:val="single" w:sz="8" w:color="231F20"/>
            </w:tcBorders>
            <w:gridSpan w:val="4"/>
          </w:tcPr>
          <w:p>
            <w:pPr>
              <w:jc w:val="right"/>
              <w:ind w:right="583"/>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2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231F20"/>
              </w:rPr>
              <w:t>Aggregate Principal</w:t>
            </w:r>
          </w:p>
        </w:tc>
        <w:tc>
          <w:tcPr>
            <w:tcW w:w="22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231F20"/>
              </w:rPr>
              <w:t>Outstanding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03"/>
              <w:spacing w:after="0" w:line="155"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91"/>
              <w:spacing w:after="0" w:line="155"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100" w:type="dxa"/>
            <w:vAlign w:val="bottom"/>
          </w:tcPr>
          <w:p>
            <w:pPr>
              <w:spacing w:after="0"/>
              <w:rPr>
                <w:sz w:val="13"/>
                <w:szCs w:val="13"/>
                <w:color w:val="auto"/>
              </w:rPr>
            </w:pPr>
          </w:p>
        </w:tc>
      </w:tr>
      <w:tr>
        <w:trPr>
          <w:trHeight w:val="203"/>
        </w:trPr>
        <w:tc>
          <w:tcPr>
            <w:tcW w:w="334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120" w:type="dxa"/>
            <w:vAlign w:val="bottom"/>
            <w:tcBorders>
              <w:bottom w:val="single" w:sz="8" w:color="CFEDF9"/>
            </w:tcBorders>
          </w:tcPr>
          <w:p>
            <w:pPr>
              <w:spacing w:after="0"/>
              <w:rPr>
                <w:sz w:val="17"/>
                <w:szCs w:val="17"/>
                <w:color w:val="auto"/>
              </w:rPr>
            </w:pPr>
          </w:p>
        </w:tc>
        <w:tc>
          <w:tcPr>
            <w:tcW w:w="14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Amount Committed</w:t>
            </w:r>
          </w:p>
        </w:tc>
        <w:tc>
          <w:tcPr>
            <w:tcW w:w="220" w:type="dxa"/>
            <w:vAlign w:val="bottom"/>
            <w:tcBorders>
              <w:bottom w:val="single" w:sz="8" w:color="CFEDF9"/>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220" w:type="dxa"/>
            <w:vAlign w:val="bottom"/>
            <w:tcBorders>
              <w:bottom w:val="single" w:sz="8" w:color="CFEDF9"/>
            </w:tcBorders>
          </w:tcPr>
          <w:p>
            <w:pPr>
              <w:spacing w:after="0"/>
              <w:rPr>
                <w:sz w:val="17"/>
                <w:szCs w:val="17"/>
                <w:color w:val="auto"/>
              </w:rPr>
            </w:pPr>
          </w:p>
        </w:tc>
        <w:tc>
          <w:tcPr>
            <w:tcW w:w="9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 xml:space="preserve">Available </w:t>
            </w:r>
            <w:r>
              <w:rPr>
                <w:rFonts w:ascii="Times New Roman" w:cs="Times New Roman" w:eastAsia="Times New Roman" w:hAnsi="Times New Roman"/>
                <w:sz w:val="10"/>
                <w:szCs w:val="10"/>
                <w:b w:val="1"/>
                <w:bCs w:val="1"/>
                <w:color w:val="231F20"/>
              </w:rPr>
              <w:t>(1)</w:t>
            </w:r>
          </w:p>
        </w:tc>
        <w:tc>
          <w:tcPr>
            <w:tcW w:w="220" w:type="dxa"/>
            <w:vAlign w:val="bottom"/>
            <w:tcBorders>
              <w:bottom w:val="single" w:sz="8" w:color="CFEDF9"/>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ind w:right="71"/>
              <w:spacing w:after="0" w:line="203" w:lineRule="exact"/>
              <w:rPr>
                <w:sz w:val="20"/>
                <w:szCs w:val="20"/>
                <w:color w:val="auto"/>
              </w:rPr>
            </w:pPr>
            <w:r>
              <w:rPr>
                <w:rFonts w:ascii="Times New Roman" w:cs="Times New Roman" w:eastAsia="Times New Roman" w:hAnsi="Times New Roman"/>
                <w:sz w:val="23"/>
                <w:szCs w:val="23"/>
                <w:b w:val="1"/>
                <w:bCs w:val="1"/>
                <w:color w:val="231F20"/>
                <w:vertAlign w:val="subscript"/>
              </w:rPr>
              <w:t>Value</w:t>
            </w:r>
            <w:r>
              <w:rPr>
                <w:rFonts w:ascii="Times New Roman" w:cs="Times New Roman" w:eastAsia="Times New Roman" w:hAnsi="Times New Roman"/>
                <w:sz w:val="9"/>
                <w:szCs w:val="9"/>
                <w:b w:val="1"/>
                <w:bCs w:val="1"/>
                <w:color w:val="231F20"/>
              </w:rPr>
              <w:t xml:space="preserve"> (2)(3)</w:t>
            </w:r>
          </w:p>
        </w:tc>
        <w:tc>
          <w:tcPr>
            <w:tcW w:w="100" w:type="dxa"/>
            <w:vAlign w:val="bottom"/>
            <w:tcBorders>
              <w:bottom w:val="single" w:sz="8" w:color="CFEDF9"/>
            </w:tcBorders>
          </w:tcPr>
          <w:p>
            <w:pPr>
              <w:spacing w:after="0"/>
              <w:rPr>
                <w:sz w:val="17"/>
                <w:szCs w:val="17"/>
                <w:color w:val="auto"/>
              </w:rPr>
            </w:pPr>
          </w:p>
        </w:tc>
      </w:tr>
      <w:tr>
        <w:trPr>
          <w:trHeight w:val="220"/>
        </w:trPr>
        <w:tc>
          <w:tcPr>
            <w:tcW w:w="334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Revolving Credit Facility</w:t>
            </w:r>
          </w:p>
        </w:tc>
        <w:tc>
          <w:tcPr>
            <w:tcW w:w="120" w:type="dxa"/>
            <w:vAlign w:val="bottom"/>
            <w:shd w:val="clear" w:color="auto" w:fill="CFEDF9"/>
          </w:tcPr>
          <w:p>
            <w:pPr>
              <w:spacing w:after="0"/>
              <w:rPr>
                <w:sz w:val="19"/>
                <w:szCs w:val="19"/>
                <w:color w:val="auto"/>
              </w:rPr>
            </w:pPr>
          </w:p>
        </w:tc>
        <w:tc>
          <w:tcPr>
            <w:tcW w:w="480" w:type="dxa"/>
            <w:vAlign w:val="bottom"/>
            <w:shd w:val="clear" w:color="auto" w:fill="CFEDF9"/>
          </w:tcPr>
          <w:p>
            <w:pPr>
              <w:jc w:val="right"/>
              <w:ind w:right="29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1,710.0</w:t>
            </w:r>
          </w:p>
        </w:tc>
        <w:tc>
          <w:tcPr>
            <w:tcW w:w="220" w:type="dxa"/>
            <w:vAlign w:val="bottom"/>
            <w:shd w:val="clear" w:color="auto" w:fill="CFEDF9"/>
          </w:tcPr>
          <w:p>
            <w:pPr>
              <w:spacing w:after="0"/>
              <w:rPr>
                <w:sz w:val="19"/>
                <w:szCs w:val="19"/>
                <w:color w:val="auto"/>
              </w:rPr>
            </w:pPr>
          </w:p>
        </w:tc>
        <w:tc>
          <w:tcPr>
            <w:tcW w:w="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889.7</w:t>
            </w:r>
          </w:p>
        </w:tc>
        <w:tc>
          <w:tcPr>
            <w:tcW w:w="220" w:type="dxa"/>
            <w:vAlign w:val="bottom"/>
            <w:shd w:val="clear" w:color="auto" w:fill="CFEDF9"/>
          </w:tcPr>
          <w:p>
            <w:pPr>
              <w:spacing w:after="0"/>
              <w:rPr>
                <w:sz w:val="19"/>
                <w:szCs w:val="19"/>
                <w:color w:val="auto"/>
              </w:rPr>
            </w:pPr>
          </w:p>
        </w:tc>
        <w:tc>
          <w:tcPr>
            <w:tcW w:w="1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820.2</w:t>
            </w:r>
          </w:p>
        </w:tc>
        <w:tc>
          <w:tcPr>
            <w:tcW w:w="220" w:type="dxa"/>
            <w:vAlign w:val="bottom"/>
            <w:shd w:val="clear" w:color="auto" w:fill="CFEDF9"/>
          </w:tcPr>
          <w:p>
            <w:pPr>
              <w:spacing w:after="0"/>
              <w:rPr>
                <w:sz w:val="19"/>
                <w:szCs w:val="19"/>
                <w:color w:val="auto"/>
              </w:rPr>
            </w:pPr>
          </w:p>
        </w:tc>
        <w:tc>
          <w:tcPr>
            <w:tcW w:w="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874.5</w:t>
            </w:r>
          </w:p>
        </w:tc>
        <w:tc>
          <w:tcPr>
            <w:tcW w:w="100" w:type="dxa"/>
            <w:vAlign w:val="bottom"/>
            <w:shd w:val="clear" w:color="auto" w:fill="CFEDF9"/>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231F20"/>
              </w:rPr>
              <w:t>2024 Notes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335.9</w:t>
            </w:r>
          </w:p>
        </w:tc>
        <w:tc>
          <w:tcPr>
            <w:tcW w:w="100" w:type="dxa"/>
            <w:vAlign w:val="bottom"/>
          </w:tcPr>
          <w:p>
            <w:pPr>
              <w:spacing w:after="0"/>
              <w:rPr>
                <w:sz w:val="19"/>
                <w:szCs w:val="19"/>
                <w:color w:val="auto"/>
              </w:rPr>
            </w:pPr>
          </w:p>
        </w:tc>
      </w:tr>
      <w:tr>
        <w:trPr>
          <w:trHeight w:val="230"/>
        </w:trPr>
        <w:tc>
          <w:tcPr>
            <w:tcW w:w="33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2026 Notes</w:t>
            </w:r>
          </w:p>
        </w:tc>
        <w:tc>
          <w:tcPr>
            <w:tcW w:w="120" w:type="dxa"/>
            <w:vAlign w:val="bottom"/>
            <w:shd w:val="clear" w:color="auto" w:fill="CFEDF9"/>
          </w:tcPr>
          <w:p>
            <w:pPr>
              <w:spacing w:after="0"/>
              <w:rPr>
                <w:sz w:val="19"/>
                <w:szCs w:val="19"/>
                <w:color w:val="auto"/>
              </w:rPr>
            </w:pPr>
          </w:p>
        </w:tc>
        <w:tc>
          <w:tcPr>
            <w:tcW w:w="480" w:type="dxa"/>
            <w:vAlign w:val="bottom"/>
            <w:shd w:val="clear" w:color="auto" w:fill="CFEDF9"/>
          </w:tcPr>
          <w:p>
            <w:pPr>
              <w:spacing w:after="0"/>
              <w:rPr>
                <w:sz w:val="19"/>
                <w:szCs w:val="19"/>
                <w:color w:val="auto"/>
              </w:rPr>
            </w:pPr>
          </w:p>
        </w:tc>
        <w:tc>
          <w:tcPr>
            <w:tcW w:w="9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8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270.9</w:t>
            </w:r>
          </w:p>
        </w:tc>
        <w:tc>
          <w:tcPr>
            <w:tcW w:w="100" w:type="dxa"/>
            <w:vAlign w:val="bottom"/>
            <w:shd w:val="clear" w:color="auto" w:fill="CFEDF9"/>
          </w:tcPr>
          <w:p>
            <w:pPr>
              <w:spacing w:after="0"/>
              <w:rPr>
                <w:sz w:val="19"/>
                <w:szCs w:val="19"/>
                <w:color w:val="auto"/>
              </w:rPr>
            </w:pPr>
          </w:p>
        </w:tc>
      </w:tr>
      <w:tr>
        <w:trPr>
          <w:trHeight w:val="230"/>
        </w:trPr>
        <w:tc>
          <w:tcPr>
            <w:tcW w:w="334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2028 Notes</w:t>
            </w:r>
          </w:p>
        </w:tc>
        <w:tc>
          <w:tcPr>
            <w:tcW w:w="120" w:type="dxa"/>
            <w:vAlign w:val="bottom"/>
            <w:tcBorders>
              <w:bottom w:val="single" w:sz="8" w:color="CFEDF9"/>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299.0</w:t>
            </w:r>
          </w:p>
        </w:tc>
        <w:tc>
          <w:tcPr>
            <w:tcW w:w="100" w:type="dxa"/>
            <w:vAlign w:val="bottom"/>
            <w:tcBorders>
              <w:bottom w:val="single" w:sz="8" w:color="CFEDF9"/>
            </w:tcBorders>
          </w:tcPr>
          <w:p>
            <w:pPr>
              <w:spacing w:after="0"/>
              <w:rPr>
                <w:sz w:val="19"/>
                <w:szCs w:val="19"/>
                <w:color w:val="auto"/>
              </w:rPr>
            </w:pPr>
          </w:p>
        </w:tc>
      </w:tr>
      <w:tr>
        <w:trPr>
          <w:trHeight w:val="220"/>
        </w:trPr>
        <w:tc>
          <w:tcPr>
            <w:tcW w:w="334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Debt</w:t>
            </w:r>
          </w:p>
        </w:tc>
        <w:tc>
          <w:tcPr>
            <w:tcW w:w="120" w:type="dxa"/>
            <w:vAlign w:val="bottom"/>
            <w:shd w:val="clear" w:color="auto" w:fill="CFEDF9"/>
          </w:tcPr>
          <w:p>
            <w:pPr>
              <w:spacing w:after="0"/>
              <w:rPr>
                <w:sz w:val="19"/>
                <w:szCs w:val="19"/>
                <w:color w:val="auto"/>
              </w:rPr>
            </w:pPr>
          </w:p>
        </w:tc>
        <w:tc>
          <w:tcPr>
            <w:tcW w:w="480" w:type="dxa"/>
            <w:vAlign w:val="bottom"/>
            <w:tcBorders>
              <w:bottom w:val="single" w:sz="8" w:color="231F20"/>
            </w:tcBorders>
            <w:shd w:val="clear" w:color="auto" w:fill="CFEDF9"/>
          </w:tcPr>
          <w:p>
            <w:pPr>
              <w:jc w:val="right"/>
              <w:ind w:right="29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2,657.5</w:t>
            </w:r>
          </w:p>
        </w:tc>
        <w:tc>
          <w:tcPr>
            <w:tcW w:w="220" w:type="dxa"/>
            <w:vAlign w:val="bottom"/>
            <w:shd w:val="clear" w:color="auto" w:fill="CFEDF9"/>
          </w:tcPr>
          <w:p>
            <w:pPr>
              <w:spacing w:after="0"/>
              <w:rPr>
                <w:sz w:val="19"/>
                <w:szCs w:val="19"/>
                <w:color w:val="auto"/>
              </w:rPr>
            </w:pPr>
          </w:p>
        </w:tc>
        <w:tc>
          <w:tcPr>
            <w:tcW w:w="1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1,837.</w:t>
            </w:r>
            <w:r>
              <w:rPr>
                <w:rFonts w:ascii="Times New Roman" w:cs="Times New Roman" w:eastAsia="Times New Roman" w:hAnsi="Times New Roman"/>
                <w:sz w:val="20"/>
                <w:szCs w:val="20"/>
                <w:u w:val="single" w:color="auto"/>
                <w:color w:val="231F20"/>
                <w:shd w:val="clear" w:color="auto" w:fill="CFEDF9"/>
              </w:rPr>
              <w:t>2</w:t>
            </w:r>
          </w:p>
        </w:tc>
        <w:tc>
          <w:tcPr>
            <w:tcW w:w="220" w:type="dxa"/>
            <w:vAlign w:val="bottom"/>
            <w:shd w:val="clear" w:color="auto" w:fill="CFEDF9"/>
          </w:tcPr>
          <w:p>
            <w:pPr>
              <w:spacing w:after="0"/>
              <w:rPr>
                <w:sz w:val="19"/>
                <w:szCs w:val="19"/>
                <w:color w:val="auto"/>
              </w:rPr>
            </w:pPr>
          </w:p>
        </w:tc>
        <w:tc>
          <w:tcPr>
            <w:tcW w:w="1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820.2</w:t>
            </w:r>
          </w:p>
        </w:tc>
        <w:tc>
          <w:tcPr>
            <w:tcW w:w="220" w:type="dxa"/>
            <w:vAlign w:val="bottom"/>
            <w:shd w:val="clear" w:color="auto" w:fill="CFEDF9"/>
          </w:tcPr>
          <w:p>
            <w:pPr>
              <w:spacing w:after="0"/>
              <w:rPr>
                <w:sz w:val="19"/>
                <w:szCs w:val="19"/>
                <w:color w:val="auto"/>
              </w:rPr>
            </w:pPr>
          </w:p>
        </w:tc>
        <w:tc>
          <w:tcPr>
            <w:tcW w:w="1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1,780.</w:t>
            </w:r>
            <w:r>
              <w:rPr>
                <w:rFonts w:ascii="Times New Roman" w:cs="Times New Roman" w:eastAsia="Times New Roman" w:hAnsi="Times New Roman"/>
                <w:sz w:val="20"/>
                <w:szCs w:val="20"/>
                <w:u w:val="single" w:color="auto"/>
                <w:color w:val="231F20"/>
                <w:shd w:val="clear" w:color="auto" w:fill="CFEDF9"/>
              </w:rPr>
              <w:t>3</w:t>
            </w:r>
          </w:p>
        </w:tc>
        <w:tc>
          <w:tcPr>
            <w:tcW w:w="100" w:type="dxa"/>
            <w:vAlign w:val="bottom"/>
            <w:shd w:val="clear" w:color="auto" w:fill="CFEDF9"/>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ind w:left="500" w:right="880" w:hanging="500"/>
        <w:spacing w:after="0" w:line="254" w:lineRule="auto"/>
        <w:tabs>
          <w:tab w:leader="none" w:pos="5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available may be subject to limitations related to the borrowing base under the Revolving Credit Facility, outstanding letters of credit issued and asset coverage requirements.</w:t>
      </w:r>
    </w:p>
    <w:p>
      <w:pPr>
        <w:spacing w:after="0" w:line="1" w:lineRule="exact"/>
        <w:rPr>
          <w:rFonts w:ascii="Times New Roman" w:cs="Times New Roman" w:eastAsia="Times New Roman" w:hAnsi="Times New Roman"/>
          <w:sz w:val="20"/>
          <w:szCs w:val="20"/>
          <w:color w:val="231F20"/>
        </w:rPr>
      </w:pPr>
    </w:p>
    <w:p>
      <w:pPr>
        <w:ind w:left="500" w:right="360" w:hanging="500"/>
        <w:spacing w:after="0" w:line="252" w:lineRule="auto"/>
        <w:tabs>
          <w:tab w:leader="none" w:pos="50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values of the Revolving Credit Facility, 2024 Notes, 2026 Notes and 2028 Notes are presented net of deferred financing costs and original issue discounts totaling $15.2 million, $1.2 million, $3.0 million, and $5.7 million, respectively.</w:t>
      </w:r>
    </w:p>
    <w:p>
      <w:pPr>
        <w:spacing w:after="0" w:line="1" w:lineRule="exact"/>
        <w:rPr>
          <w:rFonts w:ascii="Times New Roman" w:cs="Times New Roman" w:eastAsia="Times New Roman" w:hAnsi="Times New Roman"/>
          <w:sz w:val="19"/>
          <w:szCs w:val="19"/>
          <w:color w:val="231F20"/>
        </w:rPr>
      </w:pPr>
    </w:p>
    <w:p>
      <w:pPr>
        <w:jc w:val="both"/>
        <w:ind w:left="500" w:right="300" w:hanging="500"/>
        <w:spacing w:after="0" w:line="244" w:lineRule="auto"/>
        <w:tabs>
          <w:tab w:leader="none" w:pos="5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 of the 2024 Notes, 2026 Notes, and 2028 Notes are presented inclusive of an incremental $(10.4) million $(26.1) million and $4.7 million, respectively, which represents an adjustment in the carrying values of the 2024 Notes, 2026 Notes and 2028 Notes, each resulting from a hedge accounting relationship.</w:t>
      </w:r>
    </w:p>
    <w:p>
      <w:pPr>
        <w:sectPr>
          <w:pgSz w:w="12240" w:h="15840" w:orient="portrait"/>
          <w:cols w:equalWidth="0" w:num="1">
            <w:col w:w="10800"/>
          </w:cols>
          <w:pgMar w:left="720" w:top="930" w:right="720" w:bottom="175"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2240" w:h="15840" w:orient="portrait"/>
          <w:cols w:equalWidth="0" w:num="1">
            <w:col w:w="10800"/>
          </w:cols>
          <w:pgMar w:left="720" w:top="930" w:right="720" w:bottom="175" w:gutter="0" w:footer="0" w:header="0"/>
          <w:type w:val="continuous"/>
        </w:sectPr>
      </w:pPr>
    </w:p>
    <w:bookmarkStart w:id="13" w:name="page14"/>
    <w:bookmarkEnd w:id="13"/>
    <w:tbl>
      <w:tblPr>
        <w:tblLayout w:type="fixed"/>
        <w:tblInd w:w="108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360" w:type="dxa"/>
            <w:vAlign w:val="bottom"/>
            <w:tcBorders>
              <w:bottom w:val="single" w:sz="8" w:color="231F20"/>
            </w:tcBorders>
            <w:gridSpan w:val="4"/>
          </w:tcPr>
          <w:p>
            <w:pPr>
              <w:jc w:val="right"/>
              <w:ind w:right="666"/>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2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3180" w:type="dxa"/>
            <w:vAlign w:val="bottom"/>
          </w:tcPr>
          <w:p>
            <w:pPr>
              <w:spacing w:after="0"/>
              <w:rPr>
                <w:sz w:val="13"/>
                <w:szCs w:val="13"/>
                <w:color w:val="auto"/>
              </w:rPr>
            </w:pPr>
          </w:p>
        </w:tc>
        <w:tc>
          <w:tcPr>
            <w:tcW w:w="14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Aggregate Principal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6"/>
                <w:szCs w:val="16"/>
                <w:b w:val="1"/>
                <w:bCs w:val="1"/>
                <w:color w:val="231F20"/>
              </w:rPr>
              <w:t>Outstanding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86"/>
              <w:spacing w:after="0" w:line="155"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1"/>
              <w:spacing w:after="0" w:line="155"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100" w:type="dxa"/>
            <w:vAlign w:val="bottom"/>
          </w:tcPr>
          <w:p>
            <w:pPr>
              <w:spacing w:after="0"/>
              <w:rPr>
                <w:sz w:val="13"/>
                <w:szCs w:val="13"/>
                <w:color w:val="auto"/>
              </w:rPr>
            </w:pPr>
          </w:p>
        </w:tc>
      </w:tr>
      <w:tr>
        <w:trPr>
          <w:trHeight w:val="203"/>
        </w:trPr>
        <w:tc>
          <w:tcPr>
            <w:tcW w:w="318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1400" w:type="dxa"/>
            <w:vAlign w:val="bottom"/>
            <w:tcBorders>
              <w:bottom w:val="single" w:sz="8" w:color="231F20"/>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w w:val="99"/>
              </w:rPr>
              <w:t>Amount Committed</w:t>
            </w:r>
          </w:p>
        </w:tc>
        <w:tc>
          <w:tcPr>
            <w:tcW w:w="220" w:type="dxa"/>
            <w:vAlign w:val="bottom"/>
            <w:tcBorders>
              <w:bottom w:val="single" w:sz="8" w:color="CFEDF9"/>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22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231F20"/>
              </w:rPr>
              <w:t xml:space="preserve">Available </w:t>
            </w:r>
            <w:r>
              <w:rPr>
                <w:rFonts w:ascii="Times New Roman" w:cs="Times New Roman" w:eastAsia="Times New Roman" w:hAnsi="Times New Roman"/>
                <w:sz w:val="10"/>
                <w:szCs w:val="10"/>
                <w:b w:val="1"/>
                <w:bCs w:val="1"/>
                <w:color w:val="231F20"/>
              </w:rPr>
              <w:t>(1)</w:t>
            </w:r>
          </w:p>
        </w:tc>
        <w:tc>
          <w:tcPr>
            <w:tcW w:w="220" w:type="dxa"/>
            <w:vAlign w:val="bottom"/>
            <w:tcBorders>
              <w:bottom w:val="single" w:sz="8" w:color="CFEDF9"/>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111"/>
              <w:spacing w:after="0" w:line="203" w:lineRule="exact"/>
              <w:rPr>
                <w:sz w:val="20"/>
                <w:szCs w:val="20"/>
                <w:color w:val="auto"/>
              </w:rPr>
            </w:pPr>
            <w:r>
              <w:rPr>
                <w:rFonts w:ascii="Times New Roman" w:cs="Times New Roman" w:eastAsia="Times New Roman" w:hAnsi="Times New Roman"/>
                <w:sz w:val="23"/>
                <w:szCs w:val="23"/>
                <w:b w:val="1"/>
                <w:bCs w:val="1"/>
                <w:color w:val="231F20"/>
                <w:vertAlign w:val="subscript"/>
              </w:rPr>
              <w:t>Value</w:t>
            </w:r>
            <w:r>
              <w:rPr>
                <w:rFonts w:ascii="Times New Roman" w:cs="Times New Roman" w:eastAsia="Times New Roman" w:hAnsi="Times New Roman"/>
                <w:sz w:val="9"/>
                <w:szCs w:val="9"/>
                <w:b w:val="1"/>
                <w:bCs w:val="1"/>
                <w:color w:val="231F20"/>
              </w:rPr>
              <w:t xml:space="preserve"> (2)(3)</w:t>
            </w:r>
          </w:p>
        </w:tc>
        <w:tc>
          <w:tcPr>
            <w:tcW w:w="100" w:type="dxa"/>
            <w:vAlign w:val="bottom"/>
            <w:tcBorders>
              <w:bottom w:val="single" w:sz="8" w:color="CFEDF9"/>
            </w:tcBorders>
          </w:tcPr>
          <w:p>
            <w:pPr>
              <w:spacing w:after="0"/>
              <w:rPr>
                <w:sz w:val="17"/>
                <w:szCs w:val="17"/>
                <w:color w:val="auto"/>
              </w:rPr>
            </w:pPr>
          </w:p>
        </w:tc>
      </w:tr>
      <w:tr>
        <w:trPr>
          <w:trHeight w:val="220"/>
        </w:trPr>
        <w:tc>
          <w:tcPr>
            <w:tcW w:w="318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Revolving Credit Facility</w:t>
            </w:r>
          </w:p>
        </w:tc>
        <w:tc>
          <w:tcPr>
            <w:tcW w:w="46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1,585.0</w:t>
            </w:r>
          </w:p>
        </w:tc>
        <w:tc>
          <w:tcPr>
            <w:tcW w:w="220" w:type="dxa"/>
            <w:vAlign w:val="bottom"/>
            <w:shd w:val="clear" w:color="auto" w:fill="CFEDF9"/>
          </w:tcPr>
          <w:p>
            <w:pPr>
              <w:spacing w:after="0"/>
              <w:rPr>
                <w:sz w:val="19"/>
                <w:szCs w:val="19"/>
                <w:color w:val="auto"/>
              </w:rPr>
            </w:pPr>
          </w:p>
        </w:tc>
        <w:tc>
          <w:tcPr>
            <w:tcW w:w="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719.3</w:t>
            </w:r>
          </w:p>
        </w:tc>
        <w:tc>
          <w:tcPr>
            <w:tcW w:w="220" w:type="dxa"/>
            <w:vAlign w:val="bottom"/>
            <w:shd w:val="clear" w:color="auto" w:fill="CFEDF9"/>
          </w:tcPr>
          <w:p>
            <w:pPr>
              <w:spacing w:after="0"/>
              <w:rPr>
                <w:sz w:val="19"/>
                <w:szCs w:val="19"/>
                <w:color w:val="auto"/>
              </w:rPr>
            </w:pPr>
          </w:p>
        </w:tc>
        <w:tc>
          <w:tcPr>
            <w:tcW w:w="1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865.7</w:t>
            </w:r>
          </w:p>
        </w:tc>
        <w:tc>
          <w:tcPr>
            <w:tcW w:w="220" w:type="dxa"/>
            <w:vAlign w:val="bottom"/>
            <w:shd w:val="clear" w:color="auto" w:fill="CFEDF9"/>
          </w:tcPr>
          <w:p>
            <w:pPr>
              <w:spacing w:after="0"/>
              <w:rPr>
                <w:sz w:val="19"/>
                <w:szCs w:val="19"/>
                <w:color w:val="auto"/>
              </w:rPr>
            </w:pPr>
          </w:p>
        </w:tc>
        <w:tc>
          <w:tcPr>
            <w:tcW w:w="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706.2</w:t>
            </w:r>
          </w:p>
        </w:tc>
        <w:tc>
          <w:tcPr>
            <w:tcW w:w="100" w:type="dxa"/>
            <w:vAlign w:val="bottom"/>
            <w:shd w:val="clear" w:color="auto" w:fill="CFEDF9"/>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231F20"/>
              </w:rPr>
              <w:t>2023 Notes</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149.9</w:t>
            </w:r>
          </w:p>
        </w:tc>
        <w:tc>
          <w:tcPr>
            <w:tcW w:w="100" w:type="dxa"/>
            <w:vAlign w:val="bottom"/>
          </w:tcPr>
          <w:p>
            <w:pPr>
              <w:spacing w:after="0"/>
              <w:rPr>
                <w:sz w:val="19"/>
                <w:szCs w:val="19"/>
                <w:color w:val="auto"/>
              </w:rPr>
            </w:pPr>
          </w:p>
        </w:tc>
      </w:tr>
      <w:tr>
        <w:trPr>
          <w:trHeight w:val="230"/>
        </w:trPr>
        <w:tc>
          <w:tcPr>
            <w:tcW w:w="31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2024 Notes</w:t>
            </w:r>
          </w:p>
        </w:tc>
        <w:tc>
          <w:tcPr>
            <w:tcW w:w="460" w:type="dxa"/>
            <w:vAlign w:val="bottom"/>
            <w:shd w:val="clear" w:color="auto" w:fill="CFEDF9"/>
          </w:tcPr>
          <w:p>
            <w:pPr>
              <w:spacing w:after="0"/>
              <w:rPr>
                <w:sz w:val="19"/>
                <w:szCs w:val="19"/>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0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0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325.5</w:t>
            </w:r>
          </w:p>
        </w:tc>
        <w:tc>
          <w:tcPr>
            <w:tcW w:w="100" w:type="dxa"/>
            <w:vAlign w:val="bottom"/>
            <w:shd w:val="clear" w:color="auto" w:fill="CFEDF9"/>
          </w:tcPr>
          <w:p>
            <w:pPr>
              <w:spacing w:after="0"/>
              <w:rPr>
                <w:sz w:val="19"/>
                <w:szCs w:val="19"/>
                <w:color w:val="auto"/>
              </w:rPr>
            </w:pPr>
          </w:p>
        </w:tc>
      </w:tr>
      <w:tr>
        <w:trPr>
          <w:trHeight w:val="230"/>
        </w:trPr>
        <w:tc>
          <w:tcPr>
            <w:tcW w:w="318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2026 Notes</w:t>
            </w:r>
          </w:p>
        </w:tc>
        <w:tc>
          <w:tcPr>
            <w:tcW w:w="46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260.2</w:t>
            </w:r>
          </w:p>
        </w:tc>
        <w:tc>
          <w:tcPr>
            <w:tcW w:w="100" w:type="dxa"/>
            <w:vAlign w:val="bottom"/>
            <w:tcBorders>
              <w:bottom w:val="single" w:sz="8" w:color="CFEDF9"/>
            </w:tcBorders>
          </w:tcPr>
          <w:p>
            <w:pPr>
              <w:spacing w:after="0"/>
              <w:rPr>
                <w:sz w:val="19"/>
                <w:szCs w:val="19"/>
                <w:color w:val="auto"/>
              </w:rPr>
            </w:pPr>
          </w:p>
        </w:tc>
      </w:tr>
      <w:tr>
        <w:trPr>
          <w:trHeight w:val="220"/>
        </w:trPr>
        <w:tc>
          <w:tcPr>
            <w:tcW w:w="318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Debt</w:t>
            </w:r>
          </w:p>
        </w:tc>
        <w:tc>
          <w:tcPr>
            <w:tcW w:w="460" w:type="dxa"/>
            <w:vAlign w:val="bottom"/>
            <w:tcBorders>
              <w:bottom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2,382.5</w:t>
            </w:r>
          </w:p>
        </w:tc>
        <w:tc>
          <w:tcPr>
            <w:tcW w:w="220" w:type="dxa"/>
            <w:vAlign w:val="bottom"/>
            <w:shd w:val="clear" w:color="auto" w:fill="CFEDF9"/>
          </w:tcPr>
          <w:p>
            <w:pPr>
              <w:spacing w:after="0"/>
              <w:rPr>
                <w:sz w:val="19"/>
                <w:szCs w:val="19"/>
                <w:color w:val="auto"/>
              </w:rPr>
            </w:pPr>
          </w:p>
        </w:tc>
        <w:tc>
          <w:tcPr>
            <w:tcW w:w="1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1,516.8</w:t>
            </w:r>
          </w:p>
        </w:tc>
        <w:tc>
          <w:tcPr>
            <w:tcW w:w="220" w:type="dxa"/>
            <w:vAlign w:val="bottom"/>
            <w:shd w:val="clear" w:color="auto" w:fill="CFEDF9"/>
          </w:tcPr>
          <w:p>
            <w:pPr>
              <w:spacing w:after="0"/>
              <w:rPr>
                <w:sz w:val="19"/>
                <w:szCs w:val="19"/>
                <w:color w:val="auto"/>
              </w:rPr>
            </w:pPr>
          </w:p>
        </w:tc>
        <w:tc>
          <w:tcPr>
            <w:tcW w:w="1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865.7</w:t>
            </w:r>
          </w:p>
        </w:tc>
        <w:tc>
          <w:tcPr>
            <w:tcW w:w="220" w:type="dxa"/>
            <w:vAlign w:val="bottom"/>
            <w:shd w:val="clear" w:color="auto" w:fill="CFEDF9"/>
          </w:tcPr>
          <w:p>
            <w:pPr>
              <w:spacing w:after="0"/>
              <w:rPr>
                <w:sz w:val="19"/>
                <w:szCs w:val="19"/>
                <w:color w:val="auto"/>
              </w:rPr>
            </w:pPr>
          </w:p>
        </w:tc>
        <w:tc>
          <w:tcPr>
            <w:tcW w:w="1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1,441.</w:t>
            </w:r>
            <w:r>
              <w:rPr>
                <w:rFonts w:ascii="Times New Roman" w:cs="Times New Roman" w:eastAsia="Times New Roman" w:hAnsi="Times New Roman"/>
                <w:sz w:val="20"/>
                <w:szCs w:val="20"/>
                <w:u w:val="single" w:color="auto"/>
                <w:color w:val="231F20"/>
                <w:shd w:val="clear" w:color="auto" w:fill="CFEDF9"/>
              </w:rPr>
              <w:t>8</w:t>
            </w:r>
          </w:p>
        </w:tc>
        <w:tc>
          <w:tcPr>
            <w:tcW w:w="100" w:type="dxa"/>
            <w:vAlign w:val="bottom"/>
            <w:shd w:val="clear" w:color="auto" w:fill="CFEDF9"/>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ind w:left="500" w:right="160" w:hanging="500"/>
        <w:spacing w:after="0" w:line="254" w:lineRule="auto"/>
        <w:tabs>
          <w:tab w:leader="none" w:pos="50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available may be subject to limitations related to the borrowing base under the Revolving Credit Facility and asset coverage requirements.</w:t>
      </w:r>
    </w:p>
    <w:p>
      <w:pPr>
        <w:spacing w:after="0" w:line="1" w:lineRule="exact"/>
        <w:rPr>
          <w:rFonts w:ascii="Times New Roman" w:cs="Times New Roman" w:eastAsia="Times New Roman" w:hAnsi="Times New Roman"/>
          <w:sz w:val="20"/>
          <w:szCs w:val="20"/>
          <w:color w:val="231F20"/>
        </w:rPr>
      </w:pPr>
    </w:p>
    <w:p>
      <w:pPr>
        <w:ind w:left="500" w:right="440" w:hanging="500"/>
        <w:spacing w:after="0"/>
        <w:tabs>
          <w:tab w:leader="none" w:pos="50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values of the Revolving Credit Facility, 2023 Notes, 2024 Notes and 2026 Notes are presented net of deferred financing costs and original issue discounts totaling $13.2 million, less than $0.1 million, $2.6 million and $4.1 million, respectively.</w:t>
      </w:r>
    </w:p>
    <w:p>
      <w:pPr>
        <w:ind w:left="500" w:right="280" w:hanging="500"/>
        <w:spacing w:after="0" w:line="244" w:lineRule="auto"/>
        <w:tabs>
          <w:tab w:leader="none" w:pos="50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 of the 2024 Notes and 2026 Notes is presented inclusive of an incremental $(19.4) million and $(35.7) million, respectively, which represents an adjustment in the carrying values of the 2024 Notes and 2026 Notes, each resulting from a hedge accounting relationship.</w:t>
      </w:r>
    </w:p>
    <w:p>
      <w:pPr>
        <w:spacing w:after="0" w:line="201" w:lineRule="exact"/>
        <w:rPr>
          <w:sz w:val="20"/>
          <w:szCs w:val="20"/>
          <w:color w:val="auto"/>
        </w:rPr>
      </w:pPr>
    </w:p>
    <w:p>
      <w:pPr>
        <w:ind w:right="160" w:firstLine="245"/>
        <w:spacing w:after="0" w:line="277" w:lineRule="auto"/>
        <w:rPr>
          <w:sz w:val="20"/>
          <w:szCs w:val="20"/>
          <w:color w:val="auto"/>
        </w:rPr>
      </w:pPr>
      <w:r>
        <w:rPr>
          <w:rFonts w:ascii="Times New Roman" w:cs="Times New Roman" w:eastAsia="Times New Roman" w:hAnsi="Times New Roman"/>
          <w:sz w:val="20"/>
          <w:szCs w:val="20"/>
          <w:color w:val="231F20"/>
        </w:rPr>
        <w:t>For the years ended December 31, 2023, December 31, 2022, and December 31 2021, the components of interest expense were as follows:</w:t>
      </w:r>
    </w:p>
    <w:p>
      <w:pPr>
        <w:spacing w:after="0" w:line="29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10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60" w:type="dxa"/>
            <w:vAlign w:val="bottom"/>
            <w:tcBorders>
              <w:bottom w:val="single" w:sz="8" w:color="231F20"/>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420" w:type="dxa"/>
            <w:vAlign w:val="bottom"/>
            <w:vMerge w:val="continue"/>
          </w:tcPr>
          <w:p>
            <w:pPr>
              <w:spacing w:after="0"/>
              <w:rPr>
                <w:sz w:val="15"/>
                <w:szCs w:val="15"/>
                <w:color w:val="auto"/>
              </w:rPr>
            </w:pPr>
          </w:p>
        </w:tc>
        <w:tc>
          <w:tcPr>
            <w:tcW w:w="1720" w:type="dxa"/>
            <w:vAlign w:val="bottom"/>
            <w:gridSpan w:val="3"/>
          </w:tcPr>
          <w:p>
            <w:pPr>
              <w:jc w:val="right"/>
              <w:ind w:right="380"/>
              <w:spacing w:after="0" w:line="174" w:lineRule="exact"/>
              <w:rPr>
                <w:sz w:val="20"/>
                <w:szCs w:val="20"/>
                <w:color w:val="auto"/>
              </w:rPr>
            </w:pPr>
            <w:r>
              <w:rPr>
                <w:rFonts w:ascii="Times New Roman" w:cs="Times New Roman" w:eastAsia="Times New Roman" w:hAnsi="Times New Roman"/>
                <w:sz w:val="16"/>
                <w:szCs w:val="16"/>
                <w:b w:val="1"/>
                <w:bCs w:val="1"/>
                <w:color w:val="231F20"/>
              </w:rPr>
              <w:t>December 31, 2023</w:t>
            </w:r>
          </w:p>
        </w:tc>
        <w:tc>
          <w:tcPr>
            <w:tcW w:w="20" w:type="dxa"/>
            <w:vAlign w:val="bottom"/>
          </w:tcPr>
          <w:p>
            <w:pPr>
              <w:spacing w:after="0"/>
              <w:rPr>
                <w:sz w:val="15"/>
                <w:szCs w:val="15"/>
                <w:color w:val="auto"/>
              </w:rPr>
            </w:pPr>
          </w:p>
        </w:tc>
        <w:tc>
          <w:tcPr>
            <w:tcW w:w="1700" w:type="dxa"/>
            <w:vAlign w:val="bottom"/>
            <w:gridSpan w:val="3"/>
          </w:tcPr>
          <w:p>
            <w:pPr>
              <w:jc w:val="right"/>
              <w:ind w:right="380"/>
              <w:spacing w:after="0" w:line="174" w:lineRule="exact"/>
              <w:rPr>
                <w:sz w:val="20"/>
                <w:szCs w:val="20"/>
                <w:color w:val="auto"/>
              </w:rPr>
            </w:pPr>
            <w:r>
              <w:rPr>
                <w:rFonts w:ascii="Times New Roman" w:cs="Times New Roman" w:eastAsia="Times New Roman" w:hAnsi="Times New Roman"/>
                <w:sz w:val="16"/>
                <w:szCs w:val="16"/>
                <w:b w:val="1"/>
                <w:bCs w:val="1"/>
                <w:color w:val="231F20"/>
              </w:rPr>
              <w:t>December 31, 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82"/>
              <w:spacing w:after="0" w:line="174" w:lineRule="exact"/>
              <w:rPr>
                <w:sz w:val="20"/>
                <w:szCs w:val="20"/>
                <w:color w:val="auto"/>
              </w:rPr>
            </w:pPr>
            <w:r>
              <w:rPr>
                <w:rFonts w:ascii="Times New Roman" w:cs="Times New Roman" w:eastAsia="Times New Roman" w:hAnsi="Times New Roman"/>
                <w:sz w:val="16"/>
                <w:szCs w:val="16"/>
                <w:b w:val="1"/>
                <w:bCs w:val="1"/>
                <w:color w:val="231F20"/>
              </w:rPr>
              <w:t>December 31, 2021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2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Interest expense</w:t>
            </w:r>
          </w:p>
        </w:tc>
        <w:tc>
          <w:tcPr>
            <w:tcW w:w="1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3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95.5</w:t>
            </w:r>
          </w:p>
        </w:tc>
        <w:tc>
          <w:tcPr>
            <w:tcW w:w="3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240" w:type="dxa"/>
            <w:vAlign w:val="bottom"/>
            <w:tcBorders>
              <w:top w:val="single" w:sz="8" w:color="231F20"/>
            </w:tcBorders>
            <w:shd w:val="clear" w:color="auto" w:fill="CFEDF9"/>
          </w:tcPr>
          <w:p>
            <w:pPr>
              <w:jc w:val="right"/>
              <w:ind w:right="77"/>
              <w:spacing w:after="0"/>
              <w:rPr>
                <w:sz w:val="20"/>
                <w:szCs w:val="20"/>
                <w:color w:val="auto"/>
              </w:rPr>
            </w:pPr>
            <w:r>
              <w:rPr>
                <w:rFonts w:ascii="Times New Roman" w:cs="Times New Roman" w:eastAsia="Times New Roman" w:hAnsi="Times New Roman"/>
                <w:sz w:val="17"/>
                <w:szCs w:val="17"/>
                <w:color w:val="231F20"/>
                <w:w w:val="70"/>
              </w:rPr>
              <w:t>$</w:t>
            </w:r>
          </w:p>
        </w:tc>
        <w:tc>
          <w:tcPr>
            <w:tcW w:w="11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49.9</w:t>
            </w:r>
          </w:p>
        </w:tc>
        <w:tc>
          <w:tcPr>
            <w:tcW w:w="3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1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5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39.7</w:t>
            </w:r>
          </w:p>
        </w:tc>
        <w:tc>
          <w:tcPr>
            <w:tcW w:w="16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231F20"/>
              </w:rPr>
              <w:t>Commitment fees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Amortization of deferred financing costs</w:t>
            </w:r>
          </w:p>
        </w:tc>
        <w:tc>
          <w:tcPr>
            <w:tcW w:w="100" w:type="dxa"/>
            <w:vAlign w:val="bottom"/>
            <w:shd w:val="clear" w:color="auto" w:fill="CFEDF9"/>
          </w:tcPr>
          <w:p>
            <w:pPr>
              <w:spacing w:after="0"/>
              <w:rPr>
                <w:sz w:val="19"/>
                <w:szCs w:val="19"/>
                <w:color w:val="auto"/>
              </w:rPr>
            </w:pPr>
          </w:p>
        </w:tc>
        <w:tc>
          <w:tcPr>
            <w:tcW w:w="13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3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3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5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16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231F20"/>
              </w:rPr>
              <w:t>Accretion of original issue discount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Swap settlement</w:t>
            </w:r>
          </w:p>
        </w:tc>
        <w:tc>
          <w:tcPr>
            <w:tcW w:w="100" w:type="dxa"/>
            <w:vAlign w:val="bottom"/>
            <w:shd w:val="clear" w:color="auto" w:fill="CFEDF9"/>
          </w:tcPr>
          <w:p>
            <w:pPr>
              <w:spacing w:after="0"/>
              <w:rPr>
                <w:sz w:val="19"/>
                <w:szCs w:val="19"/>
                <w:color w:val="auto"/>
              </w:rPr>
            </w:pPr>
          </w:p>
        </w:tc>
        <w:tc>
          <w:tcPr>
            <w:tcW w:w="13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29.2</w:t>
            </w:r>
          </w:p>
        </w:tc>
        <w:tc>
          <w:tcPr>
            <w:tcW w:w="3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3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6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(12.1)</w:t>
            </w:r>
          </w:p>
        </w:tc>
        <w:tc>
          <w:tcPr>
            <w:tcW w:w="0" w:type="dxa"/>
            <w:vAlign w:val="bottom"/>
          </w:tcPr>
          <w:p>
            <w:pPr>
              <w:spacing w:after="0"/>
              <w:rPr>
                <w:sz w:val="1"/>
                <w:szCs w:val="1"/>
                <w:color w:val="auto"/>
              </w:rPr>
            </w:pPr>
          </w:p>
        </w:tc>
      </w:tr>
      <w:tr>
        <w:trPr>
          <w:trHeight w:val="260"/>
        </w:trPr>
        <w:tc>
          <w:tcPr>
            <w:tcW w:w="3420" w:type="dxa"/>
            <w:vAlign w:val="bottom"/>
            <w:tcBorders>
              <w:bottom w:val="single" w:sz="8" w:color="CFEDF9"/>
            </w:tcBorders>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Interest Expense</w:t>
            </w: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133.7</w:t>
            </w:r>
          </w:p>
        </w:tc>
        <w:tc>
          <w:tcPr>
            <w:tcW w:w="320" w:type="dxa"/>
            <w:vAlign w:val="bottom"/>
            <w:tcBorders>
              <w:bottom w:val="single" w:sz="8" w:color="CFEDF9"/>
            </w:tcBorders>
          </w:tcPr>
          <w:p>
            <w:pPr>
              <w:spacing w:after="0"/>
              <w:rPr>
                <w:sz w:val="22"/>
                <w:szCs w:val="22"/>
                <w:color w:val="auto"/>
              </w:rPr>
            </w:pPr>
          </w:p>
        </w:tc>
        <w:tc>
          <w:tcPr>
            <w:tcW w:w="260" w:type="dxa"/>
            <w:vAlign w:val="bottom"/>
            <w:tcBorders>
              <w:top w:val="single" w:sz="8" w:color="231F20"/>
              <w:bottom w:val="single" w:sz="8" w:color="231F20"/>
            </w:tcBorders>
            <w:gridSpan w:val="2"/>
          </w:tcPr>
          <w:p>
            <w:pPr>
              <w:jc w:val="right"/>
              <w:ind w:right="7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63.0</w:t>
            </w:r>
          </w:p>
        </w:tc>
        <w:tc>
          <w:tcPr>
            <w:tcW w:w="320" w:type="dxa"/>
            <w:vAlign w:val="bottom"/>
            <w:tcBorders>
              <w:bottom w:val="single" w:sz="8" w:color="CFEDF9"/>
            </w:tcBorders>
          </w:tcPr>
          <w:p>
            <w:pPr>
              <w:spacing w:after="0"/>
              <w:rPr>
                <w:sz w:val="22"/>
                <w:szCs w:val="22"/>
                <w:color w:val="auto"/>
              </w:rPr>
            </w:pPr>
          </w:p>
        </w:tc>
        <w:tc>
          <w:tcPr>
            <w:tcW w:w="120" w:type="dxa"/>
            <w:vAlign w:val="bottom"/>
            <w:tcBorders>
              <w:top w:val="single" w:sz="8" w:color="231F20"/>
              <w:bottom w:val="single" w:sz="8" w:color="231F2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38.8</w:t>
            </w:r>
          </w:p>
        </w:tc>
        <w:tc>
          <w:tcPr>
            <w:tcW w:w="160" w:type="dxa"/>
            <w:vAlign w:val="bottom"/>
            <w:tcBorders>
              <w:bottom w:val="single" w:sz="8" w:color="CFEDF9"/>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420" w:type="dxa"/>
            <w:vAlign w:val="bottom"/>
            <w:shd w:val="clear" w:color="auto" w:fill="CFEDF9"/>
          </w:tcPr>
          <w:p>
            <w:pPr>
              <w:spacing w:after="0" w:line="215" w:lineRule="exact"/>
              <w:rPr>
                <w:sz w:val="20"/>
                <w:szCs w:val="20"/>
                <w:color w:val="auto"/>
              </w:rPr>
            </w:pPr>
            <w:r>
              <w:rPr>
                <w:rFonts w:ascii="Times New Roman" w:cs="Times New Roman" w:eastAsia="Times New Roman" w:hAnsi="Times New Roman"/>
                <w:sz w:val="20"/>
                <w:szCs w:val="20"/>
                <w:color w:val="231F20"/>
              </w:rPr>
              <w:t>Average debt outstanding</w:t>
            </w:r>
          </w:p>
        </w:tc>
        <w:tc>
          <w:tcPr>
            <w:tcW w:w="100" w:type="dxa"/>
            <w:vAlign w:val="bottom"/>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300" w:type="dxa"/>
            <w:vAlign w:val="bottom"/>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rPr>
              <w:t>1,705.6</w:t>
            </w:r>
          </w:p>
        </w:tc>
        <w:tc>
          <w:tcPr>
            <w:tcW w:w="3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40" w:type="dxa"/>
            <w:vAlign w:val="bottom"/>
            <w:shd w:val="clear" w:color="auto" w:fill="CFEDF9"/>
          </w:tcPr>
          <w:p>
            <w:pPr>
              <w:jc w:val="right"/>
              <w:ind w:right="77"/>
              <w:spacing w:after="0"/>
              <w:rPr>
                <w:sz w:val="20"/>
                <w:szCs w:val="20"/>
                <w:color w:val="auto"/>
              </w:rPr>
            </w:pPr>
            <w:r>
              <w:rPr>
                <w:rFonts w:ascii="Times New Roman" w:cs="Times New Roman" w:eastAsia="Times New Roman" w:hAnsi="Times New Roman"/>
                <w:sz w:val="17"/>
                <w:szCs w:val="17"/>
                <w:color w:val="231F20"/>
                <w:w w:val="70"/>
              </w:rPr>
              <w:t>$</w:t>
            </w:r>
          </w:p>
        </w:tc>
        <w:tc>
          <w:tcPr>
            <w:tcW w:w="1140" w:type="dxa"/>
            <w:vAlign w:val="bottom"/>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rPr>
              <w:t>1,342.0</w:t>
            </w:r>
          </w:p>
        </w:tc>
        <w:tc>
          <w:tcPr>
            <w:tcW w:w="3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500" w:type="dxa"/>
            <w:vAlign w:val="bottom"/>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rPr>
              <w:t>1,223.4</w:t>
            </w:r>
          </w:p>
        </w:tc>
        <w:tc>
          <w:tcPr>
            <w:tcW w:w="16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interest rate</w:t>
            </w:r>
          </w:p>
        </w:tc>
        <w:tc>
          <w:tcPr>
            <w:tcW w:w="10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7.3%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3.9%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80" w:firstLine="245"/>
        <w:spacing w:after="0" w:line="277" w:lineRule="auto"/>
        <w:rPr>
          <w:sz w:val="20"/>
          <w:szCs w:val="20"/>
          <w:color w:val="auto"/>
        </w:rPr>
      </w:pPr>
      <w:r>
        <w:rPr>
          <w:rFonts w:ascii="Times New Roman" w:cs="Times New Roman" w:eastAsia="Times New Roman" w:hAnsi="Times New Roman"/>
          <w:sz w:val="20"/>
          <w:szCs w:val="20"/>
          <w:color w:val="231F20"/>
        </w:rPr>
        <w:t>For more information on our debt, see “</w:t>
      </w:r>
      <w:r>
        <w:rPr>
          <w:rFonts w:ascii="Times New Roman" w:cs="Times New Roman" w:eastAsia="Times New Roman" w:hAnsi="Times New Roman"/>
          <w:sz w:val="20"/>
          <w:szCs w:val="20"/>
          <w:i w:val="1"/>
          <w:iCs w:val="1"/>
          <w:color w:val="231F20"/>
        </w:rPr>
        <w:t>ITEM 7. MANAGEMENT’S DISCUSSION AND ANALYSIS OF FINANCIAL CONDITION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AND RESULTS OF OPERATIONS——Financial Condition, Liquidity and Capital Resources.</w:t>
      </w:r>
      <w:r>
        <w:rPr>
          <w:rFonts w:ascii="Times New Roman" w:cs="Times New Roman" w:eastAsia="Times New Roman" w:hAnsi="Times New Roman"/>
          <w:sz w:val="20"/>
          <w:szCs w:val="20"/>
          <w:color w:val="231F20"/>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Dividend Policy</w:t>
      </w:r>
    </w:p>
    <w:p>
      <w:pPr>
        <w:spacing w:after="0" w:line="118"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20"/>
          <w:szCs w:val="20"/>
          <w:color w:val="231F20"/>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4" w:lineRule="exact"/>
        <w:rPr>
          <w:sz w:val="20"/>
          <w:szCs w:val="20"/>
          <w:color w:val="auto"/>
        </w:rPr>
      </w:pPr>
    </w:p>
    <w:p>
      <w:pPr>
        <w:ind w:left="500" w:hanging="255"/>
        <w:spacing w:after="0"/>
        <w:tabs>
          <w:tab w:leader="none" w:pos="50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98% of our net ordinary income, excluding certain ordinary gains and losses, recognized during a calendar year;</w:t>
      </w:r>
    </w:p>
    <w:p>
      <w:pPr>
        <w:spacing w:after="0" w:line="133" w:lineRule="exact"/>
        <w:rPr>
          <w:rFonts w:ascii="Arial" w:cs="Arial" w:eastAsia="Arial" w:hAnsi="Arial"/>
          <w:sz w:val="20"/>
          <w:szCs w:val="20"/>
          <w:color w:val="231F20"/>
        </w:rPr>
      </w:pPr>
    </w:p>
    <w:p>
      <w:pPr>
        <w:ind w:left="500" w:right="360" w:hanging="255"/>
        <w:spacing w:after="0" w:line="276" w:lineRule="auto"/>
        <w:tabs>
          <w:tab w:leader="none" w:pos="50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98.2% of our capital gain net income, adjusted for certain ordinary gains and losses, recognized for the twelve-month period ending on October 31 of such calendar year; and</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100% of any income or gains recognized, but not distributed, in preceding years.</w:t>
      </w:r>
    </w:p>
    <w:p>
      <w:pPr>
        <w:spacing w:after="0" w:line="239"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 xml:space="preserve">We have previously incurred, and can be expected to incur in the future, such excise tax on a portion of our income and gains. While we intend to distribute income and capital gains to minimize exposure to the 4% U.S. federal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Times New Roman" w:cs="Times New Roman" w:eastAsia="Times New Roman" w:hAnsi="Times New Roman"/>
          <w:sz w:val="20"/>
          <w:szCs w:val="20"/>
          <w:i w:val="1"/>
          <w:iCs w:val="1"/>
          <w:color w:val="231F20"/>
        </w:rPr>
        <w:t>See “ITEM 1A. RISK FACTORS—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Risks Related to Our Business and Structure—We will be subject to corporate-level income tax if we are unable to maintain our qualification as a RIC under Subchapter M of the Code.”</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2240" w:h="15840" w:orient="portrait"/>
          <w:cols w:equalWidth="0" w:num="1">
            <w:col w:w="10800"/>
          </w:cols>
          <w:pgMar w:left="720" w:top="930" w:right="720" w:bottom="17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i w:val="1"/>
          <w:iCs w:val="1"/>
          <w:color w:val="231F20"/>
        </w:rPr>
        <w:t>Dividend Reinvestment Plan</w:t>
      </w:r>
    </w:p>
    <w:p>
      <w:pPr>
        <w:spacing w:after="0" w:line="118" w:lineRule="exact"/>
        <w:rPr>
          <w:sz w:val="20"/>
          <w:szCs w:val="20"/>
          <w:color w:val="auto"/>
        </w:rPr>
      </w:pPr>
    </w:p>
    <w:p>
      <w:pPr>
        <w:ind w:right="40" w:firstLine="245"/>
        <w:spacing w:after="0" w:line="249" w:lineRule="auto"/>
        <w:rPr>
          <w:sz w:val="20"/>
          <w:szCs w:val="20"/>
          <w:color w:val="auto"/>
        </w:rPr>
      </w:pPr>
      <w:r>
        <w:rPr>
          <w:rFonts w:ascii="Times New Roman" w:cs="Times New Roman" w:eastAsia="Times New Roman" w:hAnsi="Times New Roman"/>
          <w:sz w:val="20"/>
          <w:szCs w:val="20"/>
          <w:color w:val="231F20"/>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77" w:lineRule="exact"/>
        <w:rPr>
          <w:sz w:val="20"/>
          <w:szCs w:val="20"/>
          <w:color w:val="auto"/>
        </w:rPr>
      </w:pPr>
    </w:p>
    <w:p>
      <w:pPr>
        <w:ind w:right="700" w:firstLine="245"/>
        <w:spacing w:after="0" w:line="277" w:lineRule="auto"/>
        <w:rPr>
          <w:sz w:val="20"/>
          <w:szCs w:val="20"/>
          <w:color w:val="auto"/>
        </w:rPr>
      </w:pPr>
      <w:r>
        <w:rPr>
          <w:rFonts w:ascii="Times New Roman" w:cs="Times New Roman" w:eastAsia="Times New Roman" w:hAnsi="Times New Roman"/>
          <w:sz w:val="20"/>
          <w:szCs w:val="20"/>
          <w:color w:val="231F20"/>
        </w:rPr>
        <w:t>Those stockholders whose shares are held by a broker or other financial intermediary may receive cash dividends and other distributions in cash by notifying their broker or other financial intermediary of their election.</w:t>
      </w:r>
    </w:p>
    <w:p>
      <w:pPr>
        <w:spacing w:after="0" w:line="169" w:lineRule="exact"/>
        <w:rPr>
          <w:sz w:val="20"/>
          <w:szCs w:val="20"/>
          <w:color w:val="auto"/>
        </w:rPr>
      </w:pPr>
    </w:p>
    <w:p>
      <w:pPr>
        <w:ind w:right="100" w:firstLine="245"/>
        <w:spacing w:after="0" w:line="247" w:lineRule="auto"/>
        <w:rPr>
          <w:sz w:val="20"/>
          <w:szCs w:val="20"/>
          <w:color w:val="auto"/>
        </w:rPr>
      </w:pPr>
      <w:r>
        <w:rPr>
          <w:rFonts w:ascii="Times New Roman" w:cs="Times New Roman" w:eastAsia="Times New Roman" w:hAnsi="Times New Roman"/>
          <w:sz w:val="20"/>
          <w:szCs w:val="20"/>
          <w:color w:val="231F20"/>
        </w:rPr>
        <w:t>No action is required on the part of a registered stockholder to have its cash dividend or other distribution reinvested in our common stock. A registered stockholder is able to elect to receive an entire cash dividend or distribution in cash by notifying Equiniti Trust Company, LLC,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200"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231F20"/>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w:t>
      </w:r>
    </w:p>
    <w:p>
      <w:pPr>
        <w:spacing w:after="0" w:line="1" w:lineRule="exact"/>
        <w:rPr>
          <w:sz w:val="20"/>
          <w:szCs w:val="20"/>
          <w:color w:val="auto"/>
        </w:rPr>
      </w:pPr>
    </w:p>
    <w:p>
      <w:pPr>
        <w:jc w:val="both"/>
        <w:spacing w:after="0" w:line="242" w:lineRule="auto"/>
        <w:tabs>
          <w:tab w:leader="none" w:pos="294"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204"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200"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231F20"/>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Administration</w:t>
      </w:r>
    </w:p>
    <w:p>
      <w:pPr>
        <w:spacing w:after="0" w:line="118" w:lineRule="exact"/>
        <w:rPr>
          <w:sz w:val="20"/>
          <w:szCs w:val="20"/>
          <w:color w:val="auto"/>
        </w:rPr>
      </w:pPr>
    </w:p>
    <w:p>
      <w:pPr>
        <w:ind w:right="120" w:firstLine="245"/>
        <w:spacing w:after="0" w:line="259" w:lineRule="auto"/>
        <w:rPr>
          <w:sz w:val="20"/>
          <w:szCs w:val="20"/>
          <w:color w:val="auto"/>
        </w:rPr>
      </w:pPr>
      <w:r>
        <w:rPr>
          <w:rFonts w:ascii="Times New Roman" w:cs="Times New Roman" w:eastAsia="Times New Roman" w:hAnsi="Times New Roman"/>
          <w:sz w:val="19"/>
          <w:szCs w:val="19"/>
          <w:color w:val="231F20"/>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9"/>
          <w:szCs w:val="19"/>
          <w:i w:val="1"/>
          <w:iCs w:val="1"/>
          <w:color w:val="231F20"/>
        </w:rPr>
        <w:t>Investment Advisory Agreement; Administration Agreement; License Agreement</w:t>
      </w:r>
      <w:r>
        <w:rPr>
          <w:rFonts w:ascii="Times New Roman" w:cs="Times New Roman" w:eastAsia="Times New Roman" w:hAnsi="Times New Roman"/>
          <w:sz w:val="19"/>
          <w:szCs w:val="19"/>
          <w:color w:val="231F20"/>
        </w:rPr>
        <w:t>” below.</w:t>
      </w:r>
    </w:p>
    <w:p>
      <w:pPr>
        <w:spacing w:after="0" w:line="68" w:lineRule="exact"/>
        <w:rPr>
          <w:sz w:val="20"/>
          <w:szCs w:val="20"/>
          <w:color w:val="auto"/>
        </w:rPr>
      </w:pPr>
    </w:p>
    <w:p>
      <w:pPr>
        <w:ind w:right="180" w:firstLine="245"/>
        <w:spacing w:after="0" w:line="277" w:lineRule="auto"/>
        <w:rPr>
          <w:sz w:val="20"/>
          <w:szCs w:val="20"/>
          <w:color w:val="auto"/>
        </w:rPr>
      </w:pPr>
      <w:r>
        <w:rPr>
          <w:rFonts w:ascii="Times New Roman" w:cs="Times New Roman" w:eastAsia="Times New Roman" w:hAnsi="Times New Roman"/>
          <w:sz w:val="20"/>
          <w:szCs w:val="20"/>
          <w:color w:val="231F20"/>
        </w:rPr>
        <w:t>In addition to our Adviser, Sixth Street has a team of over 580 investment and operating professionals. As of December 31, 2023, seventy (70) personnel are dedicated to direct lending, including fifty-five (55) investment professionals.</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2240" w:h="15840" w:orient="portrait"/>
          <w:cols w:equalWidth="0" w:num="1">
            <w:col w:w="10800"/>
          </w:cols>
          <w:pgMar w:left="720" w:top="932" w:right="720" w:bottom="17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231F20"/>
        </w:rPr>
        <w:t>Management Agreements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Investment Advisory Agreement; Administration Agreement; License Agreement</w:t>
      </w:r>
    </w:p>
    <w:p>
      <w:pPr>
        <w:spacing w:after="0" w:line="118" w:lineRule="exact"/>
        <w:rPr>
          <w:sz w:val="20"/>
          <w:szCs w:val="20"/>
          <w:color w:val="auto"/>
        </w:rPr>
      </w:pPr>
    </w:p>
    <w:p>
      <w:pPr>
        <w:ind w:right="300" w:firstLine="245"/>
        <w:spacing w:after="0" w:line="277" w:lineRule="auto"/>
        <w:rPr>
          <w:sz w:val="20"/>
          <w:szCs w:val="20"/>
          <w:color w:val="auto"/>
        </w:rPr>
      </w:pPr>
      <w:r>
        <w:rPr>
          <w:rFonts w:ascii="Times New Roman" w:cs="Times New Roman" w:eastAsia="Times New Roman" w:hAnsi="Times New Roman"/>
          <w:sz w:val="20"/>
          <w:szCs w:val="20"/>
          <w:color w:val="231F20"/>
        </w:rPr>
        <w:t>On April 15, 2011, we entered into the Investment Advisory Agreement with our Adviser. The Investment Advisory Agreement was subsequently amended on December 12, 2011.</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Under the Investment Advisory Agreement, the Adviser:</w:t>
      </w:r>
    </w:p>
    <w:p>
      <w:pPr>
        <w:spacing w:after="0" w:line="134" w:lineRule="exact"/>
        <w:rPr>
          <w:sz w:val="20"/>
          <w:szCs w:val="20"/>
          <w:color w:val="auto"/>
        </w:rPr>
      </w:pPr>
    </w:p>
    <w:p>
      <w:pPr>
        <w:ind w:left="500" w:right="1040" w:hanging="255"/>
        <w:spacing w:after="0" w:line="276" w:lineRule="auto"/>
        <w:tabs>
          <w:tab w:leader="none" w:pos="5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determines the composition of our portfolio, the nature and timing of the changes to our portfolio and the manner of implementing those changes;</w:t>
      </w:r>
    </w:p>
    <w:p>
      <w:pPr>
        <w:spacing w:after="0" w:line="64" w:lineRule="exact"/>
        <w:rPr>
          <w:rFonts w:ascii="Arial" w:cs="Arial" w:eastAsia="Arial" w:hAnsi="Arial"/>
          <w:sz w:val="20"/>
          <w:szCs w:val="20"/>
          <w:color w:val="231F20"/>
        </w:rPr>
      </w:pPr>
    </w:p>
    <w:p>
      <w:pPr>
        <w:ind w:left="500" w:right="680" w:hanging="255"/>
        <w:spacing w:after="0" w:line="276" w:lineRule="auto"/>
        <w:tabs>
          <w:tab w:leader="none" w:pos="5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identifies, evaluates and negotiates the structure of the investments we make (including performing due diligence on our prospective portfolio companies);</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determines the assets we will originate, purchase, retain or sell;</w:t>
      </w:r>
    </w:p>
    <w:p>
      <w:pPr>
        <w:spacing w:after="0" w:line="133" w:lineRule="exact"/>
        <w:rPr>
          <w:rFonts w:ascii="Arial" w:cs="Arial" w:eastAsia="Arial" w:hAnsi="Arial"/>
          <w:sz w:val="20"/>
          <w:szCs w:val="20"/>
          <w:color w:val="231F20"/>
        </w:rPr>
      </w:pPr>
    </w:p>
    <w:p>
      <w:pPr>
        <w:ind w:left="500" w:right="360" w:hanging="255"/>
        <w:spacing w:after="0" w:line="276" w:lineRule="auto"/>
        <w:tabs>
          <w:tab w:leader="none" w:pos="5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closes, monitors and administers the investments we make, including the exercise of any rights in our capacity as a lender or equity holder; and</w:t>
      </w:r>
    </w:p>
    <w:p>
      <w:pPr>
        <w:spacing w:after="0" w:line="64" w:lineRule="exact"/>
        <w:rPr>
          <w:rFonts w:ascii="Arial" w:cs="Arial" w:eastAsia="Arial" w:hAnsi="Arial"/>
          <w:sz w:val="20"/>
          <w:szCs w:val="20"/>
          <w:color w:val="231F20"/>
        </w:rPr>
      </w:pPr>
    </w:p>
    <w:p>
      <w:pPr>
        <w:ind w:left="500" w:right="20" w:hanging="255"/>
        <w:spacing w:after="0" w:line="304" w:lineRule="auto"/>
        <w:tabs>
          <w:tab w:leader="none" w:pos="50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color w:val="231F20"/>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45" w:lineRule="exact"/>
        <w:rPr>
          <w:sz w:val="20"/>
          <w:szCs w:val="20"/>
          <w:color w:val="auto"/>
        </w:rPr>
      </w:pPr>
    </w:p>
    <w:p>
      <w:pPr>
        <w:ind w:right="300" w:firstLine="245"/>
        <w:spacing w:after="0" w:line="277" w:lineRule="auto"/>
        <w:rPr>
          <w:sz w:val="20"/>
          <w:szCs w:val="20"/>
          <w:color w:val="auto"/>
        </w:rPr>
      </w:pPr>
      <w:r>
        <w:rPr>
          <w:rFonts w:ascii="Times New Roman" w:cs="Times New Roman" w:eastAsia="Times New Roman" w:hAnsi="Times New Roman"/>
          <w:sz w:val="20"/>
          <w:szCs w:val="20"/>
          <w:color w:val="231F20"/>
        </w:rPr>
        <w:t>The Adviser’s services under the Investment Advisory Agreement are not exclusive, and the Adviser is free to furnish similar or other services to others so long as its services to us are not impaired.</w:t>
      </w:r>
    </w:p>
    <w:p>
      <w:pPr>
        <w:spacing w:after="0" w:line="169" w:lineRule="exact"/>
        <w:rPr>
          <w:sz w:val="20"/>
          <w:szCs w:val="20"/>
          <w:color w:val="auto"/>
        </w:rPr>
      </w:pPr>
    </w:p>
    <w:p>
      <w:pPr>
        <w:ind w:right="140" w:firstLine="245"/>
        <w:spacing w:after="0" w:line="277" w:lineRule="auto"/>
        <w:rPr>
          <w:sz w:val="20"/>
          <w:szCs w:val="20"/>
          <w:color w:val="auto"/>
        </w:rPr>
      </w:pPr>
      <w:r>
        <w:rPr>
          <w:rFonts w:ascii="Times New Roman" w:cs="Times New Roman" w:eastAsia="Times New Roman" w:hAnsi="Times New Roman"/>
          <w:sz w:val="20"/>
          <w:szCs w:val="20"/>
          <w:color w:val="231F20"/>
        </w:rPr>
        <w:t>Under the terms of the Investment Advisory Agreement, we pay the Adviser a base management fee (the “Management Fee”) and may also pay certain incentive fees (the “Incentive Fees”).</w:t>
      </w:r>
    </w:p>
    <w:p>
      <w:pPr>
        <w:spacing w:after="0" w:line="169" w:lineRule="exact"/>
        <w:rPr>
          <w:sz w:val="20"/>
          <w:szCs w:val="20"/>
          <w:color w:val="auto"/>
        </w:rPr>
      </w:pPr>
    </w:p>
    <w:p>
      <w:pPr>
        <w:jc w:val="both"/>
        <w:ind w:right="360" w:firstLine="245"/>
        <w:spacing w:after="0" w:line="258" w:lineRule="auto"/>
        <w:rPr>
          <w:sz w:val="20"/>
          <w:szCs w:val="20"/>
          <w:color w:val="auto"/>
        </w:rPr>
      </w:pPr>
      <w:r>
        <w:rPr>
          <w:rFonts w:ascii="Times New Roman" w:cs="Times New Roman" w:eastAsia="Times New Roman" w:hAnsi="Times New Roman"/>
          <w:sz w:val="20"/>
          <w:szCs w:val="20"/>
          <w:color w:val="231F20"/>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88" w:lineRule="exact"/>
        <w:rPr>
          <w:sz w:val="20"/>
          <w:szCs w:val="20"/>
          <w:color w:val="auto"/>
        </w:rPr>
      </w:pPr>
    </w:p>
    <w:p>
      <w:pPr>
        <w:ind w:right="220" w:firstLine="245"/>
        <w:spacing w:after="0" w:line="277" w:lineRule="auto"/>
        <w:rPr>
          <w:sz w:val="20"/>
          <w:szCs w:val="20"/>
          <w:color w:val="auto"/>
        </w:rPr>
      </w:pPr>
      <w:r>
        <w:rPr>
          <w:rFonts w:ascii="Times New Roman" w:cs="Times New Roman" w:eastAsia="Times New Roman" w:hAnsi="Times New Roman"/>
          <w:sz w:val="20"/>
          <w:szCs w:val="20"/>
          <w:color w:val="231F20"/>
        </w:rPr>
        <w:t>For each of the years ended December 31, 2023, 2022, and 2021, Management Fees (gross of waivers) were $46.4 million, $39.9 million and $37.1 million, respectively.</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Any waived Management Fees are not subject to recoupment by the Adviser.</w:t>
      </w:r>
    </w:p>
    <w:p>
      <w:pPr>
        <w:spacing w:after="0" w:line="240" w:lineRule="exact"/>
        <w:rPr>
          <w:sz w:val="20"/>
          <w:szCs w:val="20"/>
          <w:color w:val="auto"/>
        </w:rPr>
      </w:pPr>
    </w:p>
    <w:p>
      <w:pPr>
        <w:ind w:right="20" w:firstLine="245"/>
        <w:spacing w:after="0" w:line="246" w:lineRule="auto"/>
        <w:rPr>
          <w:sz w:val="20"/>
          <w:szCs w:val="20"/>
          <w:color w:val="auto"/>
        </w:rPr>
      </w:pPr>
      <w:r>
        <w:rPr>
          <w:rFonts w:ascii="Times New Roman" w:cs="Times New Roman" w:eastAsia="Times New Roman" w:hAnsi="Times New Roman"/>
          <w:sz w:val="20"/>
          <w:szCs w:val="20"/>
          <w:color w:val="231F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years ended December 31, 2023, 2022 and 2021, Management Fees of $1.2 million, $0.4 million and $0.2 million, respectively, have been waived pursuant to the Leverage Waiver.</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Incentive Fee consists of two parts, as follows:</w:t>
      </w:r>
    </w:p>
    <w:p>
      <w:pPr>
        <w:spacing w:after="0" w:line="120" w:lineRule="exact"/>
        <w:rPr>
          <w:sz w:val="20"/>
          <w:szCs w:val="20"/>
          <w:color w:val="auto"/>
        </w:rPr>
      </w:pPr>
    </w:p>
    <w:p>
      <w:pPr>
        <w:ind w:left="500" w:hanging="444"/>
        <w:spacing w:after="0" w:line="257" w:lineRule="auto"/>
        <w:tabs>
          <w:tab w:leader="none" w:pos="500" w:val="left"/>
        </w:tabs>
        <w:numPr>
          <w:ilvl w:val="0"/>
          <w:numId w:val="2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w:t>
      </w:r>
    </w:p>
    <w:p>
      <w:pPr>
        <w:spacing w:after="0" w:line="4" w:lineRule="exact"/>
        <w:rPr>
          <w:rFonts w:ascii="Times New Roman" w:cs="Times New Roman" w:eastAsia="Times New Roman" w:hAnsi="Times New Roman"/>
          <w:sz w:val="19"/>
          <w:szCs w:val="19"/>
          <w:color w:val="231F20"/>
        </w:rPr>
      </w:pPr>
    </w:p>
    <w:p>
      <w:pPr>
        <w:ind w:left="500" w:right="80"/>
        <w:spacing w:after="0" w:line="248"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231F20"/>
        </w:rPr>
        <w:t>(7.28% annualized), which is the rate at which catch-up is achieved. Once the “hurdle rate” is reached and catch-up is achieved, 17.5% of any pre-Incentive Fee net investment income in excess of 1.82% in any quarter is payable to the Adviser.</w:t>
      </w:r>
    </w:p>
    <w:p>
      <w:pPr>
        <w:spacing w:after="0" w:line="76" w:lineRule="exact"/>
        <w:rPr>
          <w:rFonts w:ascii="Times New Roman" w:cs="Times New Roman" w:eastAsia="Times New Roman" w:hAnsi="Times New Roman"/>
          <w:sz w:val="19"/>
          <w:szCs w:val="19"/>
          <w:color w:val="231F20"/>
        </w:rPr>
      </w:pPr>
    </w:p>
    <w:p>
      <w:pPr>
        <w:ind w:left="500" w:right="60"/>
        <w:spacing w:after="0" w:line="249"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231F20"/>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2240" w:h="15840" w:orient="portrait"/>
          <w:cols w:equalWidth="0" w:num="1">
            <w:col w:w="10800"/>
          </w:cols>
          <w:pgMar w:left="720" w:top="926" w:right="720" w:bottom="175" w:gutter="0" w:footer="0" w:header="0"/>
          <w:type w:val="continuous"/>
        </w:sectPr>
      </w:pPr>
    </w:p>
    <w:bookmarkStart w:id="16" w:name="page17"/>
    <w:bookmarkEnd w:id="16"/>
    <w:p>
      <w:pPr>
        <w:ind w:left="500" w:right="280"/>
        <w:spacing w:after="0" w:line="277" w:lineRule="auto"/>
        <w:rPr>
          <w:sz w:val="20"/>
          <w:szCs w:val="20"/>
          <w:color w:val="auto"/>
        </w:rPr>
      </w:pPr>
      <w:r>
        <w:rPr>
          <w:rFonts w:ascii="Times New Roman" w:cs="Times New Roman" w:eastAsia="Times New Roman" w:hAnsi="Times New Roman"/>
          <w:sz w:val="20"/>
          <w:szCs w:val="20"/>
          <w:color w:val="231F20"/>
        </w:rPr>
        <w:t>income that we may not have received in cash. Pre-Incentive Fee net investment income does not include any realized capital gains, realized capital losses or unrealized capital gains or losses.</w:t>
      </w:r>
    </w:p>
    <w:p>
      <w:pPr>
        <w:spacing w:after="0" w:line="49" w:lineRule="exact"/>
        <w:rPr>
          <w:sz w:val="20"/>
          <w:szCs w:val="20"/>
          <w:color w:val="auto"/>
        </w:rPr>
      </w:pPr>
    </w:p>
    <w:p>
      <w:pPr>
        <w:ind w:left="500" w:right="20" w:hanging="499"/>
        <w:spacing w:after="0" w:line="243" w:lineRule="auto"/>
        <w:tabs>
          <w:tab w:leader="none" w:pos="50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capital gains because a Capital Gains Fee would be owed to the Adviser if we were to sell the relevant investment and realize a capital gain. The weighted percentage is intended to ensure that for each fiscal year following the completion of the initial public offering ("IPO"), the portion of our realized capital gains that accrued prior to March 31, 2014, is subject to an Incentive Fee rate of 15% and the portion of our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206" w:lineRule="exact"/>
        <w:rPr>
          <w:sz w:val="20"/>
          <w:szCs w:val="20"/>
          <w:color w:val="auto"/>
        </w:rPr>
      </w:pPr>
    </w:p>
    <w:p>
      <w:pPr>
        <w:jc w:val="both"/>
        <w:ind w:right="480" w:firstLine="245"/>
        <w:spacing w:after="0" w:line="258" w:lineRule="auto"/>
        <w:rPr>
          <w:sz w:val="20"/>
          <w:szCs w:val="20"/>
          <w:color w:val="auto"/>
        </w:rPr>
      </w:pPr>
      <w:r>
        <w:rPr>
          <w:rFonts w:ascii="Times New Roman" w:cs="Times New Roman" w:eastAsia="Times New Roman" w:hAnsi="Times New Roman"/>
          <w:sz w:val="20"/>
          <w:szCs w:val="20"/>
          <w:color w:val="231F20"/>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88"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231F20"/>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206" w:lineRule="exact"/>
        <w:rPr>
          <w:sz w:val="20"/>
          <w:szCs w:val="20"/>
          <w:color w:val="auto"/>
        </w:rPr>
      </w:pPr>
    </w:p>
    <w:p>
      <w:pPr>
        <w:ind w:right="240" w:firstLine="245"/>
        <w:spacing w:after="0" w:line="277" w:lineRule="auto"/>
        <w:rPr>
          <w:sz w:val="20"/>
          <w:szCs w:val="20"/>
          <w:color w:val="auto"/>
        </w:rPr>
      </w:pPr>
      <w:r>
        <w:rPr>
          <w:rFonts w:ascii="Times New Roman" w:cs="Times New Roman" w:eastAsia="Times New Roman" w:hAnsi="Times New Roman"/>
          <w:sz w:val="20"/>
          <w:szCs w:val="20"/>
          <w:color w:val="231F20"/>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9"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20"/>
          <w:szCs w:val="20"/>
          <w:color w:val="231F20"/>
        </w:rPr>
        <w:t>For the years ended December 31, 2023, 2022 and 2021, Incentive Fees were $47.0 million, $24.5 million, and $46.6 million, respectively, of which $42.6 million, $33.4 million, and $33.1 million, respectively, were realized and payable to the Adviser. For the years ended December 31, 2023, 2022 and 2021, $4.4 million, $(8.9) million, and $13.5 million, respectively, of Incentive Fees were accrued related to Capital Gains Fees. As of December 31, 2023, these accrued Incentive Fees are not contractually payable to the Adviser. The Adviser did not waive any Incentive Fees for the years ended December 31, 2023, 2022 and 2021.</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Any waived Incentive Fees are not subject to recoupment by the Adviser.</w:t>
      </w:r>
    </w:p>
    <w:p>
      <w:pPr>
        <w:spacing w:after="0" w:line="240" w:lineRule="exact"/>
        <w:rPr>
          <w:sz w:val="20"/>
          <w:szCs w:val="20"/>
          <w:color w:val="auto"/>
        </w:rPr>
      </w:pPr>
    </w:p>
    <w:p>
      <w:pPr>
        <w:ind w:right="140" w:firstLine="245"/>
        <w:spacing w:after="0" w:line="258" w:lineRule="auto"/>
        <w:rPr>
          <w:sz w:val="20"/>
          <w:szCs w:val="20"/>
          <w:color w:val="auto"/>
        </w:rPr>
      </w:pPr>
      <w:r>
        <w:rPr>
          <w:rFonts w:ascii="Times New Roman" w:cs="Times New Roman" w:eastAsia="Times New Roman" w:hAnsi="Times New Roman"/>
          <w:sz w:val="20"/>
          <w:szCs w:val="20"/>
          <w:color w:val="231F20"/>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88" w:lineRule="exact"/>
        <w:rPr>
          <w:sz w:val="20"/>
          <w:szCs w:val="20"/>
          <w:color w:val="auto"/>
        </w:rPr>
      </w:pPr>
    </w:p>
    <w:p>
      <w:pPr>
        <w:ind w:right="160" w:firstLine="245"/>
        <w:spacing w:after="0" w:line="252" w:lineRule="auto"/>
        <w:rPr>
          <w:sz w:val="20"/>
          <w:szCs w:val="20"/>
          <w:color w:val="auto"/>
        </w:rPr>
      </w:pPr>
      <w:r>
        <w:rPr>
          <w:rFonts w:ascii="Times New Roman" w:cs="Times New Roman" w:eastAsia="Times New Roman" w:hAnsi="Times New Roman"/>
          <w:sz w:val="20"/>
          <w:szCs w:val="20"/>
          <w:color w:val="231F20"/>
        </w:rPr>
        <w:t>In November 2023, the Board renewed the Investment Advisory Agreement. Unless earlier terminated as described below, the Investment Advisory Agreement will remain in effect until November 2024,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94" w:lineRule="exact"/>
        <w:rPr>
          <w:sz w:val="20"/>
          <w:szCs w:val="20"/>
          <w:color w:val="auto"/>
        </w:rPr>
      </w:pPr>
    </w:p>
    <w:p>
      <w:pPr>
        <w:ind w:right="240" w:firstLine="245"/>
        <w:spacing w:after="0" w:line="277" w:lineRule="auto"/>
        <w:rPr>
          <w:sz w:val="20"/>
          <w:szCs w:val="20"/>
          <w:color w:val="auto"/>
        </w:rPr>
      </w:pPr>
      <w:r>
        <w:rPr>
          <w:rFonts w:ascii="Times New Roman" w:cs="Times New Roman" w:eastAsia="Times New Roman" w:hAnsi="Times New Roman"/>
          <w:sz w:val="20"/>
          <w:szCs w:val="20"/>
          <w:color w:val="231F20"/>
        </w:rPr>
        <w:t>Our Board monitors the mix and performance of our investments over time and seeks to satisfy itself that the Adviser is acting in our interests and that our fee structure appropriately incentivizes the Adviser to do so.</w:t>
      </w:r>
    </w:p>
    <w:p>
      <w:pPr>
        <w:spacing w:after="0" w:line="169"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20"/>
          <w:szCs w:val="20"/>
          <w:i w:val="1"/>
          <w:iCs w:val="1"/>
          <w:color w:val="231F20"/>
        </w:rPr>
        <w:t>Payment of Our Expenses</w:t>
      </w:r>
      <w:r>
        <w:rPr>
          <w:rFonts w:ascii="Times New Roman" w:cs="Times New Roman" w:eastAsia="Times New Roman" w:hAnsi="Times New Roman"/>
          <w:sz w:val="20"/>
          <w:szCs w:val="20"/>
          <w:color w:val="231F20"/>
        </w:rPr>
        <w:t>” below. In addition, the Adviser is permitted to delegate its duties under the Administration Agreement to affiliates or third parties and we pay or reimburse the Adviser expenses incurred by any such affiliates or third parties for work done on our behalf. For the years ended</w:t>
      </w:r>
    </w:p>
    <w:p>
      <w:pPr>
        <w:sectPr>
          <w:pgSz w:w="12240" w:h="15840" w:orient="portrait"/>
          <w:cols w:equalWidth="0" w:num="1">
            <w:col w:w="10800"/>
          </w:cols>
          <w:pgMar w:left="720" w:top="930" w:right="720" w:bottom="175"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2240" w:h="15840" w:orient="portrait"/>
          <w:cols w:equalWidth="0" w:num="1">
            <w:col w:w="10800"/>
          </w:cols>
          <w:pgMar w:left="720" w:top="930" w:right="720" w:bottom="175" w:gutter="0" w:footer="0" w:header="0"/>
          <w:type w:val="continuous"/>
        </w:sectPr>
      </w:pPr>
    </w:p>
    <w:bookmarkStart w:id="17" w:name="page18"/>
    <w:bookmarkEnd w:id="17"/>
    <w:p>
      <w:pPr>
        <w:jc w:val="both"/>
        <w:ind w:right="920"/>
        <w:spacing w:after="0" w:line="258" w:lineRule="auto"/>
        <w:rPr>
          <w:sz w:val="20"/>
          <w:szCs w:val="20"/>
          <w:color w:val="auto"/>
        </w:rPr>
      </w:pPr>
      <w:r>
        <w:rPr>
          <w:rFonts w:ascii="Times New Roman" w:cs="Times New Roman" w:eastAsia="Times New Roman" w:hAnsi="Times New Roman"/>
          <w:sz w:val="20"/>
          <w:szCs w:val="20"/>
          <w:color w:val="231F20"/>
        </w:rPr>
        <w:t>December 31, 2023, 2022, and 2021, we incurred expenses of $3.2 million, $3.1 million, and $4.8 million, respectively, for administrative services payable under the terms of the Administration Agreement, which are included in Other general and administrative expenses.</w:t>
      </w:r>
    </w:p>
    <w:p>
      <w:pPr>
        <w:spacing w:after="0" w:line="188"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231F20"/>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8" w:lineRule="exact"/>
        <w:rPr>
          <w:sz w:val="20"/>
          <w:szCs w:val="20"/>
          <w:color w:val="auto"/>
        </w:rPr>
      </w:pPr>
    </w:p>
    <w:p>
      <w:pPr>
        <w:ind w:right="640" w:firstLine="245"/>
        <w:spacing w:after="0" w:line="278" w:lineRule="auto"/>
        <w:rPr>
          <w:sz w:val="20"/>
          <w:szCs w:val="20"/>
          <w:color w:val="auto"/>
        </w:rPr>
      </w:pPr>
      <w:r>
        <w:rPr>
          <w:rFonts w:ascii="Times New Roman" w:cs="Times New Roman" w:eastAsia="Times New Roman" w:hAnsi="Times New Roman"/>
          <w:sz w:val="19"/>
          <w:szCs w:val="19"/>
          <w:color w:val="231F20"/>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71" w:lineRule="exact"/>
        <w:rPr>
          <w:sz w:val="20"/>
          <w:szCs w:val="20"/>
          <w:color w:val="auto"/>
        </w:rPr>
      </w:pPr>
    </w:p>
    <w:p>
      <w:pPr>
        <w:ind w:right="40" w:firstLine="245"/>
        <w:spacing w:after="0" w:line="243" w:lineRule="auto"/>
        <w:rPr>
          <w:sz w:val="20"/>
          <w:szCs w:val="20"/>
          <w:color w:val="auto"/>
        </w:rPr>
      </w:pPr>
      <w:r>
        <w:rPr>
          <w:rFonts w:ascii="Times New Roman" w:cs="Times New Roman" w:eastAsia="Times New Roman" w:hAnsi="Times New Roman"/>
          <w:sz w:val="20"/>
          <w:szCs w:val="20"/>
          <w:color w:val="231F20"/>
        </w:rPr>
        <w:t>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203" w:lineRule="exact"/>
        <w:rPr>
          <w:sz w:val="20"/>
          <w:szCs w:val="20"/>
          <w:color w:val="auto"/>
        </w:rPr>
      </w:pPr>
    </w:p>
    <w:p>
      <w:pPr>
        <w:ind w:right="40" w:firstLine="245"/>
        <w:spacing w:after="0" w:line="242" w:lineRule="auto"/>
        <w:rPr>
          <w:sz w:val="20"/>
          <w:szCs w:val="20"/>
          <w:color w:val="auto"/>
        </w:rPr>
      </w:pPr>
      <w:r>
        <w:rPr>
          <w:rFonts w:ascii="Times New Roman" w:cs="Times New Roman" w:eastAsia="Times New Roman" w:hAnsi="Times New Roman"/>
          <w:sz w:val="20"/>
          <w:szCs w:val="20"/>
          <w:color w:val="231F20"/>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213" w:lineRule="exact"/>
        <w:rPr>
          <w:sz w:val="20"/>
          <w:szCs w:val="20"/>
          <w:color w:val="auto"/>
        </w:rPr>
      </w:pPr>
    </w:p>
    <w:p>
      <w:pPr>
        <w:ind w:right="220" w:firstLine="245"/>
        <w:spacing w:after="0" w:line="258" w:lineRule="auto"/>
        <w:rPr>
          <w:sz w:val="20"/>
          <w:szCs w:val="20"/>
          <w:color w:val="auto"/>
        </w:rPr>
      </w:pPr>
      <w:r>
        <w:rPr>
          <w:rFonts w:ascii="Times New Roman" w:cs="Times New Roman" w:eastAsia="Times New Roman" w:hAnsi="Times New Roman"/>
          <w:sz w:val="20"/>
          <w:szCs w:val="20"/>
          <w:color w:val="231F20"/>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Payment of Our Expenses</w:t>
      </w:r>
    </w:p>
    <w:p>
      <w:pPr>
        <w:spacing w:after="0" w:line="118" w:lineRule="exact"/>
        <w:rPr>
          <w:sz w:val="20"/>
          <w:szCs w:val="20"/>
          <w:color w:val="auto"/>
        </w:rPr>
      </w:pPr>
    </w:p>
    <w:p>
      <w:pPr>
        <w:jc w:val="both"/>
        <w:ind w:right="20" w:firstLine="245"/>
        <w:spacing w:after="0" w:line="258" w:lineRule="auto"/>
        <w:rPr>
          <w:sz w:val="20"/>
          <w:szCs w:val="20"/>
          <w:color w:val="auto"/>
        </w:rPr>
      </w:pPr>
      <w:r>
        <w:rPr>
          <w:rFonts w:ascii="Times New Roman" w:cs="Times New Roman" w:eastAsia="Times New Roman" w:hAnsi="Times New Roman"/>
          <w:sz w:val="20"/>
          <w:szCs w:val="20"/>
          <w:color w:val="231F20"/>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3" w:lineRule="exact"/>
        <w:rPr>
          <w:sz w:val="20"/>
          <w:szCs w:val="20"/>
          <w:color w:val="auto"/>
        </w:rPr>
      </w:pPr>
    </w:p>
    <w:p>
      <w:pPr>
        <w:ind w:left="500" w:hanging="255"/>
        <w:spacing w:after="0"/>
        <w:tabs>
          <w:tab w:leader="none" w:pos="5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calculating individual asset values and our net asset value (including the cost and expenses of any independent valuation firms);</w:t>
      </w:r>
    </w:p>
    <w:p>
      <w:pPr>
        <w:spacing w:after="0" w:line="133" w:lineRule="exact"/>
        <w:rPr>
          <w:rFonts w:ascii="Arial" w:cs="Arial" w:eastAsia="Arial" w:hAnsi="Arial"/>
          <w:sz w:val="20"/>
          <w:szCs w:val="20"/>
          <w:color w:val="231F20"/>
        </w:rPr>
      </w:pPr>
    </w:p>
    <w:p>
      <w:pPr>
        <w:ind w:left="500" w:right="20" w:hanging="255"/>
        <w:spacing w:after="0" w:line="258" w:lineRule="auto"/>
        <w:tabs>
          <w:tab w:leader="none" w:pos="5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Arial" w:cs="Arial" w:eastAsia="Arial" w:hAnsi="Arial"/>
          <w:sz w:val="20"/>
          <w:szCs w:val="20"/>
          <w:color w:val="231F20"/>
        </w:rPr>
      </w:pPr>
    </w:p>
    <w:p>
      <w:pPr>
        <w:ind w:left="500" w:hanging="255"/>
        <w:spacing w:after="0"/>
        <w:tabs>
          <w:tab w:leader="none" w:pos="5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any public offerings of our common stock and other securities, including registration and listing fees;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Management Fee and any Incentive Fee;</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2240" w:h="15840" w:orient="portrait"/>
          <w:cols w:equalWidth="0" w:num="1">
            <w:col w:w="10800"/>
          </w:cols>
          <w:pgMar w:left="720" w:top="930" w:right="720" w:bottom="175" w:gutter="0" w:footer="0" w:header="0"/>
          <w:type w:val="continuous"/>
        </w:sectPr>
      </w:pPr>
    </w:p>
    <w:bookmarkStart w:id="18" w:name="page19"/>
    <w:bookmarkEnd w:id="18"/>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certain costs and expenses relating to distributions paid on our shares;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administration fees payable under our Administration Agreement;</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debt service and other costs of borrowings or other financing arrangements;</w:t>
      </w:r>
    </w:p>
    <w:p>
      <w:pPr>
        <w:spacing w:after="0" w:line="133" w:lineRule="exact"/>
        <w:rPr>
          <w:rFonts w:ascii="Arial" w:cs="Arial" w:eastAsia="Arial" w:hAnsi="Arial"/>
          <w:sz w:val="20"/>
          <w:szCs w:val="20"/>
          <w:color w:val="231F20"/>
        </w:rPr>
      </w:pPr>
    </w:p>
    <w:p>
      <w:pPr>
        <w:ind w:left="500" w:right="220" w:hanging="255"/>
        <w:spacing w:after="0" w:line="276" w:lineRule="auto"/>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Adviser’s allocable share of costs incurred in providing significant managerial assistance to those portfolio companies that request it;</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amounts payable to third parties relating to, or associated with, making or holding investments;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transfer agent and custodial fees;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of hedging;</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commissions and other compensation payable to brokers or dealers;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taxes;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Independent Director fees and expenses;</w:t>
      </w:r>
    </w:p>
    <w:p>
      <w:pPr>
        <w:spacing w:after="0" w:line="133" w:lineRule="exact"/>
        <w:rPr>
          <w:rFonts w:ascii="Arial" w:cs="Arial" w:eastAsia="Arial" w:hAnsi="Arial"/>
          <w:sz w:val="20"/>
          <w:szCs w:val="20"/>
          <w:color w:val="231F20"/>
        </w:rPr>
      </w:pPr>
    </w:p>
    <w:p>
      <w:pPr>
        <w:ind w:left="500" w:right="60" w:hanging="255"/>
        <w:spacing w:after="0" w:line="249" w:lineRule="auto"/>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90" w:lineRule="exact"/>
        <w:rPr>
          <w:rFonts w:ascii="Arial" w:cs="Arial" w:eastAsia="Arial" w:hAnsi="Arial"/>
          <w:sz w:val="20"/>
          <w:szCs w:val="20"/>
          <w:color w:val="231F20"/>
        </w:rPr>
      </w:pPr>
    </w:p>
    <w:p>
      <w:pPr>
        <w:jc w:val="both"/>
        <w:ind w:left="500" w:right="20" w:hanging="255"/>
        <w:spacing w:after="0" w:line="258" w:lineRule="auto"/>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1"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our fidelity bond;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directors and officers/errors and omissions liability insurance, and any other insurance premiums;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indemnification payments;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direct costs and expenses of administration, including audit, accounting, consulting and legal costs; and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all other expenses reasonably incurred by us in connection with making investments and administering our business.</w:t>
      </w:r>
    </w:p>
    <w:p>
      <w:pPr>
        <w:spacing w:after="0" w:line="239" w:lineRule="exact"/>
        <w:rPr>
          <w:sz w:val="20"/>
          <w:szCs w:val="20"/>
          <w:color w:val="auto"/>
        </w:rPr>
      </w:pPr>
    </w:p>
    <w:p>
      <w:pPr>
        <w:ind w:right="260" w:firstLine="245"/>
        <w:spacing w:after="0" w:line="247" w:lineRule="auto"/>
        <w:rPr>
          <w:sz w:val="20"/>
          <w:szCs w:val="20"/>
          <w:color w:val="auto"/>
        </w:rPr>
      </w:pPr>
      <w:r>
        <w:rPr>
          <w:rFonts w:ascii="Times New Roman" w:cs="Times New Roman" w:eastAsia="Times New Roman" w:hAnsi="Times New Roman"/>
          <w:sz w:val="20"/>
          <w:szCs w:val="20"/>
          <w:color w:val="231F20"/>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Duration and Termination</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Unless earlier terminated as described below, both the Investment Advisory Agreement and the Administration Agreement will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remain in effect until November 2024, and each may be extended subject to required approvals. Each agreement will remain in effect</w:t>
      </w:r>
    </w:p>
    <w:p>
      <w:pPr>
        <w:spacing w:after="0"/>
        <w:rPr>
          <w:sz w:val="20"/>
          <w:szCs w:val="20"/>
          <w:color w:val="auto"/>
        </w:rPr>
      </w:pPr>
      <w:r>
        <w:rPr>
          <w:rFonts w:ascii="Times New Roman" w:cs="Times New Roman" w:eastAsia="Times New Roman" w:hAnsi="Times New Roman"/>
          <w:sz w:val="20"/>
          <w:szCs w:val="20"/>
          <w:color w:val="231F20"/>
        </w:rPr>
        <w:t>from year to year thereafter if approved annually by our Board or by the affirmative vote of the holders of a majority of our</w:t>
      </w:r>
    </w:p>
    <w:p>
      <w:pPr>
        <w:spacing w:after="0"/>
        <w:rPr>
          <w:sz w:val="20"/>
          <w:szCs w:val="20"/>
          <w:color w:val="auto"/>
        </w:rPr>
      </w:pPr>
      <w:r>
        <w:rPr>
          <w:rFonts w:ascii="Times New Roman" w:cs="Times New Roman" w:eastAsia="Times New Roman" w:hAnsi="Times New Roman"/>
          <w:sz w:val="20"/>
          <w:szCs w:val="20"/>
          <w:color w:val="231F20"/>
        </w:rPr>
        <w:t>outstanding voting securities, and, in either case, if also approved by a majority of the directors of the Board who are not “interested</w:t>
      </w:r>
    </w:p>
    <w:p>
      <w:pPr>
        <w:spacing w:after="0"/>
        <w:rPr>
          <w:sz w:val="20"/>
          <w:szCs w:val="20"/>
          <w:color w:val="auto"/>
        </w:rPr>
      </w:pPr>
      <w:r>
        <w:rPr>
          <w:rFonts w:ascii="Times New Roman" w:cs="Times New Roman" w:eastAsia="Times New Roman" w:hAnsi="Times New Roman"/>
          <w:sz w:val="20"/>
          <w:szCs w:val="20"/>
          <w:color w:val="231F20"/>
        </w:rPr>
        <w:t>persons” of us, the Adviser or any of our or its respective affiliates, as defined in the 1940 Act (known as Independent Directors). The</w:t>
      </w:r>
    </w:p>
    <w:p>
      <w:pPr>
        <w:spacing w:after="0"/>
        <w:rPr>
          <w:sz w:val="20"/>
          <w:szCs w:val="20"/>
          <w:color w:val="auto"/>
        </w:rPr>
      </w:pPr>
      <w:r>
        <w:rPr>
          <w:rFonts w:ascii="Times New Roman" w:cs="Times New Roman" w:eastAsia="Times New Roman" w:hAnsi="Times New Roman"/>
          <w:sz w:val="20"/>
          <w:szCs w:val="20"/>
          <w:color w:val="231F20"/>
        </w:rPr>
        <w:t>Investment Advisory Agreement automatically terminates in the event of its assignment, as defined in the 1940 Act, by the Adviser.</w:t>
      </w:r>
    </w:p>
    <w:p>
      <w:pPr>
        <w:spacing w:after="0"/>
        <w:rPr>
          <w:sz w:val="20"/>
          <w:szCs w:val="20"/>
          <w:color w:val="auto"/>
        </w:rPr>
      </w:pPr>
      <w:r>
        <w:rPr>
          <w:rFonts w:ascii="Times New Roman" w:cs="Times New Roman" w:eastAsia="Times New Roman" w:hAnsi="Times New Roman"/>
          <w:sz w:val="20"/>
          <w:szCs w:val="20"/>
          <w:color w:val="231F20"/>
        </w:rPr>
        <w:t>Each agreement may be terminated by either party without penalty on 60 days’ written notice to the other party. The holders of a</w:t>
      </w:r>
    </w:p>
    <w:p>
      <w:pPr>
        <w:spacing w:after="0"/>
        <w:rPr>
          <w:sz w:val="20"/>
          <w:szCs w:val="20"/>
          <w:color w:val="auto"/>
        </w:rPr>
      </w:pPr>
      <w:r>
        <w:rPr>
          <w:rFonts w:ascii="Times New Roman" w:cs="Times New Roman" w:eastAsia="Times New Roman" w:hAnsi="Times New Roman"/>
          <w:sz w:val="20"/>
          <w:szCs w:val="20"/>
          <w:color w:val="231F20"/>
        </w:rPr>
        <w:t>majority of our outstanding voting securities may also terminate each agreement without penalty on 60 days’ written notice. See</w:t>
      </w:r>
    </w:p>
    <w:p>
      <w:pPr>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ITEM 1A. RISK FACTORS—Risks Related to Our Business and Structure—We are dependent upon management personnel of the</w:t>
      </w:r>
    </w:p>
    <w:p>
      <w:pPr>
        <w:spacing w:after="0"/>
        <w:rPr>
          <w:sz w:val="20"/>
          <w:szCs w:val="20"/>
          <w:color w:val="auto"/>
        </w:rPr>
      </w:pPr>
      <w:r>
        <w:rPr>
          <w:rFonts w:ascii="Times New Roman" w:cs="Times New Roman" w:eastAsia="Times New Roman" w:hAnsi="Times New Roman"/>
          <w:sz w:val="20"/>
          <w:szCs w:val="20"/>
          <w:i w:val="1"/>
          <w:iCs w:val="1"/>
          <w:color w:val="231F20"/>
        </w:rPr>
        <w:t>Adviser, Sixth Street, and their affiliates for our future success</w:t>
      </w:r>
      <w:r>
        <w:rPr>
          <w:rFonts w:ascii="Times New Roman" w:cs="Times New Roman" w:eastAsia="Times New Roman" w:hAnsi="Times New Roman"/>
          <w:sz w:val="20"/>
          <w:szCs w:val="20"/>
          <w:color w:val="231F20"/>
        </w:rPr>
        <w: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Indemnification</w:t>
      </w:r>
    </w:p>
    <w:p>
      <w:pPr>
        <w:spacing w:after="0" w:line="118"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231F20"/>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w:t>
      </w:r>
    </w:p>
    <w:p>
      <w:pPr>
        <w:sectPr>
          <w:pgSz w:w="12240" w:h="15840" w:orient="portrait"/>
          <w:cols w:equalWidth="0" w:num="1">
            <w:col w:w="10800"/>
          </w:cols>
          <w:pgMar w:left="720" w:top="944" w:right="720" w:bottom="175"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2240" w:h="15840" w:orient="portrait"/>
          <w:cols w:equalWidth="0" w:num="1">
            <w:col w:w="10800"/>
          </w:cols>
          <w:pgMar w:left="720" w:top="944" w:right="720" w:bottom="175" w:gutter="0" w:footer="0" w:header="0"/>
          <w:type w:val="continuous"/>
        </w:sectPr>
      </w:pPr>
    </w:p>
    <w:bookmarkStart w:id="19" w:name="page20"/>
    <w:bookmarkEnd w:id="19"/>
    <w:p>
      <w:pPr>
        <w:ind w:right="40"/>
        <w:spacing w:after="0" w:line="243" w:lineRule="auto"/>
        <w:rPr>
          <w:sz w:val="20"/>
          <w:szCs w:val="20"/>
          <w:color w:val="auto"/>
        </w:rPr>
      </w:pPr>
      <w:r>
        <w:rPr>
          <w:rFonts w:ascii="Times New Roman" w:cs="Times New Roman" w:eastAsia="Times New Roman" w:hAnsi="Times New Roman"/>
          <w:sz w:val="20"/>
          <w:szCs w:val="20"/>
          <w:color w:val="231F20"/>
        </w:rPr>
        <w:t>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Board Approval of the Investment Advisory Agreement</w:t>
      </w:r>
    </w:p>
    <w:p>
      <w:pPr>
        <w:spacing w:after="0" w:line="118" w:lineRule="exact"/>
        <w:rPr>
          <w:sz w:val="20"/>
          <w:szCs w:val="20"/>
          <w:color w:val="auto"/>
        </w:rPr>
      </w:pPr>
    </w:p>
    <w:p>
      <w:pPr>
        <w:ind w:right="160" w:firstLine="245"/>
        <w:spacing w:after="0" w:line="252" w:lineRule="auto"/>
        <w:rPr>
          <w:sz w:val="20"/>
          <w:szCs w:val="20"/>
          <w:color w:val="auto"/>
        </w:rPr>
      </w:pPr>
      <w:r>
        <w:rPr>
          <w:rFonts w:ascii="Times New Roman" w:cs="Times New Roman" w:eastAsia="Times New Roman" w:hAnsi="Times New Roman"/>
          <w:sz w:val="20"/>
          <w:szCs w:val="20"/>
          <w:color w:val="231F20"/>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2023. In its consideration of the Investment Advisory Agreement at the time of approval and renewal, the Board focused on information it had received relating to, among other things:</w:t>
      </w:r>
    </w:p>
    <w:p>
      <w:pPr>
        <w:spacing w:after="0" w:line="88" w:lineRule="exact"/>
        <w:rPr>
          <w:sz w:val="20"/>
          <w:szCs w:val="20"/>
          <w:color w:val="auto"/>
        </w:rPr>
      </w:pPr>
    </w:p>
    <w:p>
      <w:pPr>
        <w:ind w:left="500" w:hanging="255"/>
        <w:spacing w:after="0"/>
        <w:tabs>
          <w:tab w:leader="none" w:pos="50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nature, quality and extent of the advisory and other services to be provided to us by the Adviser;</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investment and financial performance on a standalone basis and against a comparative universe of peers;</w:t>
      </w:r>
    </w:p>
    <w:p>
      <w:pPr>
        <w:spacing w:after="0" w:line="133" w:lineRule="exact"/>
        <w:rPr>
          <w:rFonts w:ascii="Arial" w:cs="Arial" w:eastAsia="Arial" w:hAnsi="Arial"/>
          <w:sz w:val="20"/>
          <w:szCs w:val="20"/>
          <w:color w:val="231F20"/>
        </w:rPr>
      </w:pPr>
    </w:p>
    <w:p>
      <w:pPr>
        <w:ind w:left="500" w:right="620" w:hanging="255"/>
        <w:spacing w:after="0" w:line="276" w:lineRule="auto"/>
        <w:tabs>
          <w:tab w:leader="none" w:pos="50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to which economies of scale would be realized as we grow, and whether the fees payable under the Investment Advisory Agreement reflect these economies of scale for the benefit of our stockholders;</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comparative data with respect to advisory fees or similar expenses paid by other BDCs with similar investment objectives;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expense ratio compared to BDCs with similar investment objectives;</w:t>
      </w:r>
    </w:p>
    <w:p>
      <w:pPr>
        <w:spacing w:after="0" w:line="129" w:lineRule="exact"/>
        <w:rPr>
          <w:rFonts w:ascii="Arial" w:cs="Arial" w:eastAsia="Arial" w:hAnsi="Arial"/>
          <w:sz w:val="20"/>
          <w:szCs w:val="20"/>
          <w:color w:val="231F20"/>
        </w:rPr>
      </w:pPr>
    </w:p>
    <w:p>
      <w:pPr>
        <w:ind w:left="500" w:right="200" w:hanging="255"/>
        <w:spacing w:after="0" w:line="271" w:lineRule="auto"/>
        <w:tabs>
          <w:tab w:leader="none" w:pos="50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any existing and potential sources of indirect income to the Adviser from its relationships with us and the profitability of those income sources;</w:t>
      </w:r>
    </w:p>
    <w:p>
      <w:pPr>
        <w:spacing w:after="0" w:line="64" w:lineRule="exact"/>
        <w:rPr>
          <w:rFonts w:ascii="Arial" w:cs="Arial" w:eastAsia="Arial" w:hAnsi="Arial"/>
          <w:sz w:val="20"/>
          <w:szCs w:val="20"/>
          <w:color w:val="231F20"/>
        </w:rPr>
      </w:pPr>
    </w:p>
    <w:p>
      <w:pPr>
        <w:ind w:left="500" w:right="440" w:hanging="255"/>
        <w:spacing w:after="0" w:line="271" w:lineRule="auto"/>
        <w:tabs>
          <w:tab w:leader="none" w:pos="50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information about the services to be performed and the personnel performing those services under the Investment Advisory Agreement;</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organizational and functional capabilities and financial condition of the Adviser and its respective affiliates; and</w:t>
      </w:r>
    </w:p>
    <w:p>
      <w:pPr>
        <w:spacing w:after="0" w:line="128" w:lineRule="exact"/>
        <w:rPr>
          <w:rFonts w:ascii="Arial" w:cs="Arial" w:eastAsia="Arial" w:hAnsi="Arial"/>
          <w:sz w:val="20"/>
          <w:szCs w:val="20"/>
          <w:color w:val="231F20"/>
        </w:rPr>
      </w:pPr>
    </w:p>
    <w:p>
      <w:pPr>
        <w:ind w:left="500" w:hanging="255"/>
        <w:spacing w:after="0"/>
        <w:tabs>
          <w:tab w:leader="none" w:pos="50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possibility of obtaining similar services from other third-party service providers or through an internally managed structure.</w:t>
      </w:r>
    </w:p>
    <w:p>
      <w:pPr>
        <w:spacing w:after="0" w:line="234" w:lineRule="exact"/>
        <w:rPr>
          <w:sz w:val="20"/>
          <w:szCs w:val="20"/>
          <w:color w:val="auto"/>
        </w:rPr>
      </w:pPr>
    </w:p>
    <w:p>
      <w:pPr>
        <w:ind w:right="300" w:firstLine="245"/>
        <w:spacing w:after="0" w:line="253" w:lineRule="auto"/>
        <w:rPr>
          <w:sz w:val="20"/>
          <w:szCs w:val="20"/>
          <w:color w:val="auto"/>
        </w:rPr>
      </w:pPr>
      <w:r>
        <w:rPr>
          <w:rFonts w:ascii="Times New Roman" w:cs="Times New Roman" w:eastAsia="Times New Roman" w:hAnsi="Times New Roman"/>
          <w:sz w:val="20"/>
          <w:szCs w:val="20"/>
          <w:color w:val="231F20"/>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88" w:lineRule="exact"/>
        <w:rPr>
          <w:sz w:val="20"/>
          <w:szCs w:val="20"/>
          <w:color w:val="auto"/>
        </w:rPr>
      </w:pPr>
    </w:p>
    <w:p>
      <w:pPr>
        <w:ind w:right="620" w:firstLine="245"/>
        <w:spacing w:after="0" w:line="272" w:lineRule="auto"/>
        <w:rPr>
          <w:sz w:val="20"/>
          <w:szCs w:val="20"/>
          <w:color w:val="auto"/>
        </w:rPr>
      </w:pPr>
      <w:r>
        <w:rPr>
          <w:rFonts w:ascii="Times New Roman" w:cs="Times New Roman" w:eastAsia="Times New Roman" w:hAnsi="Times New Roman"/>
          <w:sz w:val="20"/>
          <w:szCs w:val="20"/>
          <w:color w:val="231F20"/>
        </w:rPr>
        <w:t>Based on the information reviewed and the discussion thereof, the Board, including a majority of the Independent Directors, concluded that the investment advisory fee rates are reasonable in relation to the services to be provided.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Regulation as a Business Development Company</w:t>
      </w:r>
    </w:p>
    <w:p>
      <w:pPr>
        <w:spacing w:after="0" w:line="119" w:lineRule="exact"/>
        <w:rPr>
          <w:sz w:val="20"/>
          <w:szCs w:val="20"/>
          <w:color w:val="auto"/>
        </w:rPr>
      </w:pPr>
    </w:p>
    <w:p>
      <w:pPr>
        <w:ind w:right="260" w:firstLine="245"/>
        <w:spacing w:after="0" w:line="253" w:lineRule="auto"/>
        <w:rPr>
          <w:sz w:val="20"/>
          <w:szCs w:val="20"/>
          <w:color w:val="auto"/>
        </w:rPr>
      </w:pPr>
      <w:r>
        <w:rPr>
          <w:rFonts w:ascii="Times New Roman" w:cs="Times New Roman" w:eastAsia="Times New Roman" w:hAnsi="Times New Roman"/>
          <w:sz w:val="20"/>
          <w:szCs w:val="20"/>
          <w:color w:val="231F20"/>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8"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231F20"/>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200" w:lineRule="exact"/>
        <w:rPr>
          <w:sz w:val="20"/>
          <w:szCs w:val="20"/>
          <w:color w:val="auto"/>
        </w:rPr>
      </w:pPr>
    </w:p>
    <w:p>
      <w:pPr>
        <w:ind w:right="120" w:firstLine="245"/>
        <w:spacing w:after="0" w:line="272" w:lineRule="auto"/>
        <w:rPr>
          <w:sz w:val="20"/>
          <w:szCs w:val="20"/>
          <w:color w:val="auto"/>
        </w:rPr>
      </w:pPr>
      <w:r>
        <w:rPr>
          <w:rFonts w:ascii="Times New Roman" w:cs="Times New Roman" w:eastAsia="Times New Roman" w:hAnsi="Times New Roman"/>
          <w:sz w:val="20"/>
          <w:szCs w:val="20"/>
          <w:color w:val="231F20"/>
        </w:rPr>
        <w:t>As a BDC, we are permitted, under specified conditions, to issue multiple classes of indebtedness and one class of shares senior to our common stock if our asset coverage, as defined in the 1940 Act, is at least equal to 150% immediately after any borrowing or</w:t>
      </w:r>
    </w:p>
    <w:p>
      <w:pPr>
        <w:sectPr>
          <w:pgSz w:w="12240" w:h="15840" w:orient="portrait"/>
          <w:cols w:equalWidth="0" w:num="1">
            <w:col w:w="10800"/>
          </w:cols>
          <w:pgMar w:left="720" w:top="930" w:right="720" w:bottom="175"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2240" w:h="15840" w:orient="portrait"/>
          <w:cols w:equalWidth="0" w:num="1">
            <w:col w:w="10800"/>
          </w:cols>
          <w:pgMar w:left="720" w:top="930" w:right="720" w:bottom="175" w:gutter="0" w:footer="0" w:header="0"/>
          <w:type w:val="continuous"/>
        </w:sectPr>
      </w:pPr>
    </w:p>
    <w:bookmarkStart w:id="20" w:name="page21"/>
    <w:bookmarkEnd w:id="20"/>
    <w:p>
      <w:pPr>
        <w:ind w:right="20"/>
        <w:spacing w:after="0" w:line="241" w:lineRule="auto"/>
        <w:rPr>
          <w:sz w:val="20"/>
          <w:szCs w:val="20"/>
          <w:color w:val="auto"/>
        </w:rPr>
      </w:pPr>
      <w:r>
        <w:rPr>
          <w:rFonts w:ascii="Times New Roman" w:cs="Times New Roman" w:eastAsia="Times New Roman" w:hAnsi="Times New Roman"/>
          <w:sz w:val="20"/>
          <w:szCs w:val="20"/>
          <w:color w:val="231F20"/>
        </w:rPr>
        <w:t>issuance. See “</w:t>
      </w:r>
      <w:r>
        <w:rPr>
          <w:rFonts w:ascii="Times New Roman" w:cs="Times New Roman" w:eastAsia="Times New Roman" w:hAnsi="Times New Roman"/>
          <w:sz w:val="20"/>
          <w:szCs w:val="20"/>
          <w:i w:val="1"/>
          <w:iCs w:val="1"/>
          <w:color w:val="231F20"/>
        </w:rPr>
        <w:t>—Senior Securities</w:t>
      </w:r>
      <w:r>
        <w:rPr>
          <w:rFonts w:ascii="Times New Roman" w:cs="Times New Roman" w:eastAsia="Times New Roman" w:hAnsi="Times New Roman"/>
          <w:sz w:val="20"/>
          <w:szCs w:val="20"/>
          <w:color w:val="231F20"/>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20"/>
          <w:szCs w:val="20"/>
          <w:i w:val="1"/>
          <w:iCs w:val="1"/>
          <w:color w:val="231F20"/>
        </w:rPr>
        <w:t>ITEM 1A. RISK FACTORS—Risks Related to Our Business and Structure—We borrow money, which magnifies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potential for gain or loss and increases the risk of investing in us</w:t>
      </w:r>
      <w:r>
        <w:rPr>
          <w:rFonts w:ascii="Times New Roman" w:cs="Times New Roman" w:eastAsia="Times New Roman" w:hAnsi="Times New Roman"/>
          <w:sz w:val="20"/>
          <w:szCs w:val="20"/>
          <w:color w:val="231F20"/>
        </w:rPr>
        <w:t>.” As of December 31, 2023 and 2022, our asset coverage was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181.6% and 188.6% respectively.</w:t>
      </w:r>
    </w:p>
    <w:p>
      <w:pPr>
        <w:spacing w:after="0" w:line="200"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231F20"/>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We do not anticipate any substantial change in the nature of our business.</w:t>
      </w:r>
    </w:p>
    <w:p>
      <w:pPr>
        <w:spacing w:after="0" w:line="235" w:lineRule="exact"/>
        <w:rPr>
          <w:sz w:val="20"/>
          <w:szCs w:val="20"/>
          <w:color w:val="auto"/>
        </w:rPr>
      </w:pPr>
    </w:p>
    <w:p>
      <w:pPr>
        <w:ind w:right="80" w:firstLine="245"/>
        <w:spacing w:after="0" w:line="241" w:lineRule="auto"/>
        <w:rPr>
          <w:sz w:val="20"/>
          <w:szCs w:val="20"/>
          <w:color w:val="auto"/>
        </w:rPr>
      </w:pPr>
      <w:r>
        <w:rPr>
          <w:rFonts w:ascii="Times New Roman" w:cs="Times New Roman" w:eastAsia="Times New Roman" w:hAnsi="Times New Roman"/>
          <w:sz w:val="20"/>
          <w:szCs w:val="20"/>
          <w:color w:val="231F20"/>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 Regulated Investment Company Classification” for more information.</w:t>
      </w:r>
    </w:p>
    <w:p>
      <w:pPr>
        <w:spacing w:after="0" w:line="200" w:lineRule="exact"/>
        <w:rPr>
          <w:sz w:val="20"/>
          <w:szCs w:val="20"/>
          <w:color w:val="auto"/>
        </w:rPr>
      </w:pPr>
    </w:p>
    <w:p>
      <w:pPr>
        <w:ind w:right="200" w:firstLine="245"/>
        <w:spacing w:after="0" w:line="244" w:lineRule="auto"/>
        <w:rPr>
          <w:sz w:val="20"/>
          <w:szCs w:val="20"/>
          <w:color w:val="auto"/>
        </w:rPr>
      </w:pPr>
      <w:r>
        <w:rPr>
          <w:rFonts w:ascii="Times New Roman" w:cs="Times New Roman" w:eastAsia="Times New Roman" w:hAnsi="Times New Roman"/>
          <w:sz w:val="20"/>
          <w:szCs w:val="20"/>
          <w:color w:val="231F20"/>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201" w:lineRule="exact"/>
        <w:rPr>
          <w:sz w:val="20"/>
          <w:szCs w:val="20"/>
          <w:color w:val="auto"/>
        </w:rPr>
      </w:pPr>
    </w:p>
    <w:p>
      <w:pPr>
        <w:ind w:right="20" w:firstLine="245"/>
        <w:spacing w:after="0" w:line="243" w:lineRule="auto"/>
        <w:rPr>
          <w:sz w:val="20"/>
          <w:szCs w:val="20"/>
          <w:color w:val="auto"/>
        </w:rPr>
      </w:pPr>
      <w:r>
        <w:rPr>
          <w:rFonts w:ascii="Times New Roman" w:cs="Times New Roman" w:eastAsia="Times New Roman" w:hAnsi="Times New Roman"/>
          <w:sz w:val="20"/>
          <w:szCs w:val="20"/>
          <w:color w:val="231F20"/>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We are subject to periodic examination by the SEC for compliance with the 1940 Act.</w:t>
      </w: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Compliance with regulations has not had a material effect on our capital expenditure, earnings or competitive position.</w:t>
      </w:r>
    </w:p>
    <w:p>
      <w:pPr>
        <w:spacing w:after="0" w:line="240" w:lineRule="exact"/>
        <w:rPr>
          <w:sz w:val="20"/>
          <w:szCs w:val="20"/>
          <w:color w:val="auto"/>
        </w:rPr>
      </w:pPr>
    </w:p>
    <w:p>
      <w:pPr>
        <w:ind w:right="180" w:firstLine="245"/>
        <w:spacing w:after="0" w:line="277" w:lineRule="auto"/>
        <w:rPr>
          <w:sz w:val="20"/>
          <w:szCs w:val="20"/>
          <w:color w:val="auto"/>
        </w:rPr>
      </w:pPr>
      <w:r>
        <w:rPr>
          <w:rFonts w:ascii="Times New Roman" w:cs="Times New Roman" w:eastAsia="Times New Roman" w:hAnsi="Times New Roman"/>
          <w:sz w:val="20"/>
          <w:szCs w:val="20"/>
          <w:color w:val="231F20"/>
        </w:rPr>
        <w:t>As a BDC, we are subject to certain risks and uncertainties. See “</w:t>
      </w:r>
      <w:r>
        <w:rPr>
          <w:rFonts w:ascii="Times New Roman" w:cs="Times New Roman" w:eastAsia="Times New Roman" w:hAnsi="Times New Roman"/>
          <w:sz w:val="20"/>
          <w:szCs w:val="20"/>
          <w:i w:val="1"/>
          <w:iCs w:val="1"/>
          <w:color w:val="231F20"/>
        </w:rPr>
        <w:t>ITEM 1A. RISK FACTORS—Risks Related to Our Business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Structure.</w:t>
      </w:r>
      <w:r>
        <w:rPr>
          <w:rFonts w:ascii="Times New Roman" w:cs="Times New Roman" w:eastAsia="Times New Roman" w:hAnsi="Times New Roman"/>
          <w:sz w:val="20"/>
          <w:szCs w:val="20"/>
          <w:color w:val="231F20"/>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Transactions with our Affiliates</w:t>
      </w:r>
    </w:p>
    <w:p>
      <w:pPr>
        <w:spacing w:after="0" w:line="118" w:lineRule="exact"/>
        <w:rPr>
          <w:sz w:val="20"/>
          <w:szCs w:val="20"/>
          <w:color w:val="auto"/>
        </w:rPr>
      </w:pPr>
    </w:p>
    <w:p>
      <w:pPr>
        <w:ind w:right="140" w:firstLine="245"/>
        <w:spacing w:after="0" w:line="252" w:lineRule="auto"/>
        <w:rPr>
          <w:sz w:val="20"/>
          <w:szCs w:val="20"/>
          <w:color w:val="auto"/>
        </w:rPr>
      </w:pPr>
      <w:r>
        <w:rPr>
          <w:rFonts w:ascii="Times New Roman" w:cs="Times New Roman" w:eastAsia="Times New Roman" w:hAnsi="Times New Roman"/>
          <w:sz w:val="20"/>
          <w:szCs w:val="20"/>
          <w:color w:val="231F20"/>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94" w:lineRule="exact"/>
        <w:rPr>
          <w:sz w:val="20"/>
          <w:szCs w:val="20"/>
          <w:color w:val="auto"/>
        </w:rPr>
      </w:pPr>
    </w:p>
    <w:p>
      <w:pPr>
        <w:ind w:firstLine="245"/>
        <w:spacing w:after="0" w:line="278" w:lineRule="auto"/>
        <w:rPr>
          <w:sz w:val="20"/>
          <w:szCs w:val="20"/>
          <w:color w:val="auto"/>
        </w:rPr>
      </w:pPr>
      <w:r>
        <w:rPr>
          <w:rFonts w:ascii="Times New Roman" w:cs="Times New Roman" w:eastAsia="Times New Roman" w:hAnsi="Times New Roman"/>
          <w:sz w:val="19"/>
          <w:szCs w:val="19"/>
          <w:color w:val="231F20"/>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w:t>
      </w:r>
    </w:p>
    <w:p>
      <w:pPr>
        <w:sectPr>
          <w:pgSz w:w="12240" w:h="15840" w:orient="portrait"/>
          <w:cols w:equalWidth="0" w:num="1">
            <w:col w:w="10760"/>
          </w:cols>
          <w:pgMar w:left="720" w:top="926" w:right="760" w:bottom="175" w:gutter="0" w:footer="0" w:header="0"/>
        </w:sectPr>
      </w:pP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21</w:t>
      </w:r>
    </w:p>
    <w:p>
      <w:pPr>
        <w:sectPr>
          <w:pgSz w:w="12240" w:h="15840" w:orient="portrait"/>
          <w:cols w:equalWidth="0" w:num="1">
            <w:col w:w="10760"/>
          </w:cols>
          <w:pgMar w:left="720" w:top="926" w:right="760" w:bottom="175" w:gutter="0" w:footer="0" w:header="0"/>
          <w:type w:val="continuous"/>
        </w:sectPr>
      </w:pPr>
    </w:p>
    <w:bookmarkStart w:id="21" w:name="page22"/>
    <w:bookmarkEnd w:id="21"/>
    <w:p>
      <w:pPr>
        <w:ind w:right="40"/>
        <w:spacing w:after="0" w:line="252" w:lineRule="auto"/>
        <w:rPr>
          <w:sz w:val="20"/>
          <w:szCs w:val="20"/>
          <w:color w:val="auto"/>
        </w:rPr>
      </w:pPr>
      <w:r>
        <w:rPr>
          <w:rFonts w:ascii="Times New Roman" w:cs="Times New Roman" w:eastAsia="Times New Roman" w:hAnsi="Times New Roman"/>
          <w:sz w:val="20"/>
          <w:szCs w:val="20"/>
          <w:color w:val="231F20"/>
        </w:rPr>
        <w:t>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94"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231F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97" w:lineRule="exact"/>
        <w:rPr>
          <w:sz w:val="20"/>
          <w:szCs w:val="20"/>
          <w:color w:val="auto"/>
        </w:rPr>
      </w:pPr>
    </w:p>
    <w:p>
      <w:pPr>
        <w:ind w:right="120" w:firstLine="245"/>
        <w:spacing w:after="0" w:line="258" w:lineRule="auto"/>
        <w:rPr>
          <w:sz w:val="20"/>
          <w:szCs w:val="20"/>
          <w:color w:val="auto"/>
        </w:rPr>
      </w:pPr>
      <w:r>
        <w:rPr>
          <w:rFonts w:ascii="Times New Roman" w:cs="Times New Roman" w:eastAsia="Times New Roman" w:hAnsi="Times New Roman"/>
          <w:sz w:val="20"/>
          <w:szCs w:val="20"/>
          <w:color w:val="231F20"/>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83" w:lineRule="exact"/>
        <w:rPr>
          <w:sz w:val="20"/>
          <w:szCs w:val="20"/>
          <w:color w:val="auto"/>
        </w:rPr>
      </w:pPr>
    </w:p>
    <w:p>
      <w:pPr>
        <w:ind w:left="500" w:right="120" w:hanging="255"/>
        <w:spacing w:after="0" w:line="276" w:lineRule="auto"/>
        <w:tabs>
          <w:tab w:leader="none" w:pos="50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the terms of the proposed transaction (including the consideration to be paid) are reasonable and fair to us and our stockholders and do not involve overreaching of us or our stockholders on the part of any person concerned;</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the transaction is consistent with the interests of our stockholders and our investment strategies and policies;</w:t>
      </w:r>
    </w:p>
    <w:p>
      <w:pPr>
        <w:spacing w:after="0" w:line="125" w:lineRule="exact"/>
        <w:rPr>
          <w:rFonts w:ascii="Arial" w:cs="Arial" w:eastAsia="Arial" w:hAnsi="Arial"/>
          <w:sz w:val="20"/>
          <w:szCs w:val="20"/>
          <w:color w:val="231F20"/>
        </w:rPr>
      </w:pPr>
    </w:p>
    <w:p>
      <w:pPr>
        <w:ind w:left="500" w:right="860" w:hanging="255"/>
        <w:spacing w:after="0" w:line="266" w:lineRule="auto"/>
        <w:tabs>
          <w:tab w:leader="none" w:pos="50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investment by our affiliate would not disadvantage us, and our participation is not on a basis different from or less advantageous than that of our affiliate; and</w:t>
      </w:r>
    </w:p>
    <w:p>
      <w:pPr>
        <w:spacing w:after="0" w:line="64" w:lineRule="exact"/>
        <w:rPr>
          <w:rFonts w:ascii="Arial" w:cs="Arial" w:eastAsia="Arial" w:hAnsi="Arial"/>
          <w:sz w:val="20"/>
          <w:szCs w:val="20"/>
          <w:color w:val="231F20"/>
        </w:rPr>
      </w:pPr>
    </w:p>
    <w:p>
      <w:pPr>
        <w:ind w:left="500" w:hanging="255"/>
        <w:spacing w:after="0" w:line="266" w:lineRule="auto"/>
        <w:tabs>
          <w:tab w:leader="none" w:pos="50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investment will not benefit any affiliate other than the affiliate participating in the investment, and as otherwise permitted by the order.</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See “</w:t>
      </w:r>
      <w:r>
        <w:rPr>
          <w:rFonts w:ascii="Times New Roman" w:cs="Times New Roman" w:eastAsia="Times New Roman" w:hAnsi="Times New Roman"/>
          <w:sz w:val="20"/>
          <w:szCs w:val="20"/>
          <w:i w:val="1"/>
          <w:iCs w:val="1"/>
          <w:color w:val="231F20"/>
        </w:rPr>
        <w:t>ITEM 13. CERTAIN RELATIONSHIPS AND RELATED TRANSACTIONS, AND DIRECTOR INDEPENDENCE.</w:t>
      </w:r>
      <w:r>
        <w:rPr>
          <w:rFonts w:ascii="Times New Roman" w:cs="Times New Roman" w:eastAsia="Times New Roman" w:hAnsi="Times New Roman"/>
          <w:sz w:val="20"/>
          <w:szCs w:val="20"/>
          <w:color w:val="231F20"/>
        </w:rPr>
        <w: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Qualifying Assets</w:t>
      </w:r>
    </w:p>
    <w:p>
      <w:pPr>
        <w:spacing w:after="0" w:line="108" w:lineRule="exact"/>
        <w:rPr>
          <w:sz w:val="20"/>
          <w:szCs w:val="20"/>
          <w:color w:val="auto"/>
        </w:rPr>
      </w:pPr>
    </w:p>
    <w:p>
      <w:pPr>
        <w:ind w:right="140" w:firstLine="245"/>
        <w:spacing w:after="0" w:line="248" w:lineRule="auto"/>
        <w:rPr>
          <w:sz w:val="20"/>
          <w:szCs w:val="20"/>
          <w:color w:val="auto"/>
        </w:rPr>
      </w:pPr>
      <w:r>
        <w:rPr>
          <w:rFonts w:ascii="Times New Roman" w:cs="Times New Roman" w:eastAsia="Times New Roman" w:hAnsi="Times New Roman"/>
          <w:sz w:val="20"/>
          <w:szCs w:val="20"/>
          <w:color w:val="231F20"/>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3" w:lineRule="exact"/>
        <w:rPr>
          <w:sz w:val="20"/>
          <w:szCs w:val="20"/>
          <w:color w:val="auto"/>
        </w:rPr>
      </w:pPr>
    </w:p>
    <w:p>
      <w:pPr>
        <w:ind w:left="500" w:right="40" w:hanging="255"/>
        <w:spacing w:after="0" w:line="242" w:lineRule="auto"/>
        <w:tabs>
          <w:tab w:leader="none" w:pos="5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7" w:lineRule="exact"/>
        <w:rPr>
          <w:rFonts w:ascii="Arial" w:cs="Arial" w:eastAsia="Arial" w:hAnsi="Arial"/>
          <w:sz w:val="20"/>
          <w:szCs w:val="20"/>
          <w:color w:val="231F20"/>
        </w:rPr>
      </w:pPr>
    </w:p>
    <w:p>
      <w:pPr>
        <w:ind w:left="740" w:hanging="250"/>
        <w:spacing w:after="0"/>
        <w:tabs>
          <w:tab w:leader="none" w:pos="740" w:val="left"/>
        </w:tabs>
        <w:numPr>
          <w:ilvl w:val="1"/>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is organized under the laws of, and has its principal place of business in, the United States;</w:t>
      </w:r>
    </w:p>
    <w:p>
      <w:pPr>
        <w:spacing w:after="0" w:line="123" w:lineRule="exact"/>
        <w:rPr>
          <w:rFonts w:ascii="Arial" w:cs="Arial" w:eastAsia="Arial" w:hAnsi="Arial"/>
          <w:sz w:val="20"/>
          <w:szCs w:val="20"/>
          <w:color w:val="231F20"/>
        </w:rPr>
      </w:pPr>
    </w:p>
    <w:p>
      <w:pPr>
        <w:ind w:left="740" w:right="460" w:hanging="250"/>
        <w:spacing w:after="0" w:line="266" w:lineRule="auto"/>
        <w:tabs>
          <w:tab w:leader="none" w:pos="740" w:val="left"/>
        </w:tabs>
        <w:numPr>
          <w:ilvl w:val="1"/>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is not an investment company (other than a small business investment company wholly owned by us) or a company that would be an investment company but for certain exclusions under the 1940 Act; and</w:t>
      </w:r>
    </w:p>
    <w:p>
      <w:pPr>
        <w:spacing w:after="0" w:line="64" w:lineRule="exact"/>
        <w:rPr>
          <w:rFonts w:ascii="Arial" w:cs="Arial" w:eastAsia="Arial" w:hAnsi="Arial"/>
          <w:sz w:val="20"/>
          <w:szCs w:val="20"/>
          <w:color w:val="231F20"/>
        </w:rPr>
      </w:pPr>
    </w:p>
    <w:p>
      <w:pPr>
        <w:ind w:left="740" w:hanging="250"/>
        <w:spacing w:after="0"/>
        <w:tabs>
          <w:tab w:leader="none" w:pos="740" w:val="left"/>
        </w:tabs>
        <w:numPr>
          <w:ilvl w:val="1"/>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satisfies any of the following:</w:t>
      </w:r>
    </w:p>
    <w:p>
      <w:pPr>
        <w:spacing w:after="0" w:line="123" w:lineRule="exact"/>
        <w:rPr>
          <w:rFonts w:ascii="Arial" w:cs="Arial" w:eastAsia="Arial" w:hAnsi="Arial"/>
          <w:sz w:val="20"/>
          <w:szCs w:val="20"/>
          <w:color w:val="231F20"/>
        </w:rPr>
      </w:pPr>
    </w:p>
    <w:p>
      <w:pPr>
        <w:ind w:left="1220" w:hanging="241"/>
        <w:spacing w:after="0" w:line="266" w:lineRule="auto"/>
        <w:tabs>
          <w:tab w:leader="none" w:pos="1220" w:val="left"/>
        </w:tabs>
        <w:numPr>
          <w:ilvl w:val="2"/>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has an equity market capitalization of less than $250 million or does not have any class of securities listed on a national securities exchange;</w:t>
      </w:r>
    </w:p>
    <w:p>
      <w:pPr>
        <w:spacing w:after="0" w:line="64" w:lineRule="exact"/>
        <w:rPr>
          <w:rFonts w:ascii="Arial" w:cs="Arial" w:eastAsia="Arial" w:hAnsi="Arial"/>
          <w:sz w:val="20"/>
          <w:szCs w:val="20"/>
          <w:color w:val="231F20"/>
        </w:rPr>
      </w:pPr>
    </w:p>
    <w:p>
      <w:pPr>
        <w:jc w:val="both"/>
        <w:ind w:left="1220" w:right="180" w:hanging="241"/>
        <w:spacing w:after="0" w:line="248" w:lineRule="auto"/>
        <w:tabs>
          <w:tab w:leader="none" w:pos="1220" w:val="left"/>
        </w:tabs>
        <w:numPr>
          <w:ilvl w:val="2"/>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1" w:lineRule="exact"/>
        <w:rPr>
          <w:rFonts w:ascii="Arial" w:cs="Arial" w:eastAsia="Arial" w:hAnsi="Arial"/>
          <w:sz w:val="20"/>
          <w:szCs w:val="20"/>
          <w:color w:val="231F20"/>
        </w:rPr>
      </w:pPr>
    </w:p>
    <w:p>
      <w:pPr>
        <w:ind w:left="1220" w:right="120" w:hanging="241"/>
        <w:spacing w:after="0" w:line="266" w:lineRule="auto"/>
        <w:tabs>
          <w:tab w:leader="none" w:pos="1220" w:val="left"/>
        </w:tabs>
        <w:numPr>
          <w:ilvl w:val="2"/>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is a small and solvent company having total assets of not more than $4 million and capital and surplus of not less than $2 million.</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Securities of any eligible portfolio company that we control;</w:t>
      </w:r>
    </w:p>
    <w:p>
      <w:pPr>
        <w:spacing w:after="0" w:line="123" w:lineRule="exact"/>
        <w:rPr>
          <w:rFonts w:ascii="Arial" w:cs="Arial" w:eastAsia="Arial" w:hAnsi="Arial"/>
          <w:sz w:val="20"/>
          <w:szCs w:val="20"/>
          <w:color w:val="231F20"/>
        </w:rPr>
      </w:pPr>
    </w:p>
    <w:p>
      <w:pPr>
        <w:ind w:left="500" w:hanging="255"/>
        <w:spacing w:after="0" w:line="242" w:lineRule="auto"/>
        <w:tabs>
          <w:tab w:leader="none" w:pos="5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7" w:lineRule="exact"/>
        <w:rPr>
          <w:rFonts w:ascii="Arial" w:cs="Arial" w:eastAsia="Arial" w:hAnsi="Arial"/>
          <w:sz w:val="20"/>
          <w:szCs w:val="20"/>
          <w:color w:val="231F20"/>
        </w:rPr>
      </w:pPr>
    </w:p>
    <w:p>
      <w:pPr>
        <w:ind w:left="500" w:right="320" w:hanging="255"/>
        <w:spacing w:after="0" w:line="266" w:lineRule="auto"/>
        <w:tabs>
          <w:tab w:leader="none" w:pos="50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Securities of an eligible portfolio company purchased from any person in a private transaction if there is no ready market for such securities and we already own 60% of the outstanding equity of the eligible portfolio company;</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22</w:t>
      </w:r>
    </w:p>
    <w:p>
      <w:pPr>
        <w:sectPr>
          <w:pgSz w:w="12240" w:h="15840" w:orient="portrait"/>
          <w:cols w:equalWidth="0" w:num="1">
            <w:col w:w="10780"/>
          </w:cols>
          <w:pgMar w:left="720" w:top="930" w:right="740" w:bottom="175" w:gutter="0" w:footer="0" w:header="0"/>
          <w:type w:val="continuous"/>
        </w:sectPr>
      </w:pPr>
    </w:p>
    <w:bookmarkStart w:id="22" w:name="page23"/>
    <w:bookmarkEnd w:id="22"/>
    <w:p>
      <w:pPr>
        <w:ind w:left="500" w:right="20" w:hanging="255"/>
        <w:spacing w:after="0" w:line="266" w:lineRule="auto"/>
        <w:tabs>
          <w:tab w:leader="none" w:pos="50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Securities received in exchange for or distributed on or with respect to securities described above, or pursuant to the exercise of warrants or rights relating to such securities;</w:t>
      </w:r>
    </w:p>
    <w:p>
      <w:pPr>
        <w:spacing w:after="0" w:line="64" w:lineRule="exact"/>
        <w:rPr>
          <w:rFonts w:ascii="Arial" w:cs="Arial" w:eastAsia="Arial" w:hAnsi="Arial"/>
          <w:sz w:val="20"/>
          <w:szCs w:val="20"/>
          <w:color w:val="231F20"/>
        </w:rPr>
      </w:pPr>
    </w:p>
    <w:p>
      <w:pPr>
        <w:ind w:left="500" w:right="20" w:hanging="255"/>
        <w:spacing w:after="0" w:line="266" w:lineRule="auto"/>
        <w:tabs>
          <w:tab w:leader="none" w:pos="50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Cash, cash equivalents, U.S. Government securities or high-quality debt securities maturing in one year or less from the time of investment.</w:t>
      </w:r>
    </w:p>
    <w:p>
      <w:pPr>
        <w:spacing w:after="0" w:line="170" w:lineRule="exact"/>
        <w:rPr>
          <w:sz w:val="20"/>
          <w:szCs w:val="20"/>
          <w:color w:val="auto"/>
        </w:rPr>
      </w:pPr>
    </w:p>
    <w:p>
      <w:pPr>
        <w:ind w:right="440" w:firstLine="245"/>
        <w:spacing w:after="0" w:line="248" w:lineRule="auto"/>
        <w:rPr>
          <w:sz w:val="20"/>
          <w:szCs w:val="20"/>
          <w:color w:val="auto"/>
        </w:rPr>
      </w:pPr>
      <w:r>
        <w:rPr>
          <w:rFonts w:ascii="Times New Roman" w:cs="Times New Roman" w:eastAsia="Times New Roman" w:hAnsi="Times New Roman"/>
          <w:sz w:val="20"/>
          <w:szCs w:val="20"/>
          <w:color w:val="231F20"/>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Managerial Assistance to Portfolio Companies</w:t>
      </w:r>
    </w:p>
    <w:p>
      <w:pPr>
        <w:spacing w:after="0" w:line="108" w:lineRule="exact"/>
        <w:rPr>
          <w:sz w:val="20"/>
          <w:szCs w:val="20"/>
          <w:color w:val="auto"/>
        </w:rPr>
      </w:pPr>
    </w:p>
    <w:p>
      <w:pPr>
        <w:ind w:right="40" w:firstLine="245"/>
        <w:spacing w:after="0" w:line="235" w:lineRule="auto"/>
        <w:rPr>
          <w:sz w:val="20"/>
          <w:szCs w:val="20"/>
          <w:color w:val="auto"/>
        </w:rPr>
      </w:pPr>
      <w:r>
        <w:rPr>
          <w:rFonts w:ascii="Times New Roman" w:cs="Times New Roman" w:eastAsia="Times New Roman" w:hAnsi="Times New Roman"/>
          <w:sz w:val="20"/>
          <w:szCs w:val="20"/>
          <w:color w:val="231F20"/>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Senior Securities</w:t>
      </w:r>
    </w:p>
    <w:p>
      <w:pPr>
        <w:spacing w:after="0" w:line="118" w:lineRule="exact"/>
        <w:rPr>
          <w:sz w:val="20"/>
          <w:szCs w:val="20"/>
          <w:color w:val="auto"/>
        </w:rPr>
      </w:pPr>
    </w:p>
    <w:p>
      <w:pPr>
        <w:ind w:right="20" w:firstLine="245"/>
        <w:spacing w:after="0" w:line="258" w:lineRule="auto"/>
        <w:rPr>
          <w:sz w:val="20"/>
          <w:szCs w:val="20"/>
          <w:color w:val="auto"/>
        </w:rPr>
      </w:pPr>
      <w:r>
        <w:rPr>
          <w:rFonts w:ascii="Times New Roman" w:cs="Times New Roman" w:eastAsia="Times New Roman" w:hAnsi="Times New Roman"/>
          <w:sz w:val="20"/>
          <w:szCs w:val="20"/>
          <w:color w:val="231F20"/>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150%.</w:t>
      </w:r>
    </w:p>
    <w:p>
      <w:pPr>
        <w:spacing w:after="0" w:line="188"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231F20"/>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200" w:lineRule="exact"/>
        <w:rPr>
          <w:sz w:val="20"/>
          <w:szCs w:val="20"/>
          <w:color w:val="auto"/>
        </w:rPr>
      </w:pPr>
    </w:p>
    <w:p>
      <w:pPr>
        <w:ind w:right="440" w:firstLine="245"/>
        <w:spacing w:after="0" w:line="277" w:lineRule="auto"/>
        <w:rPr>
          <w:sz w:val="20"/>
          <w:szCs w:val="20"/>
          <w:color w:val="auto"/>
        </w:rPr>
      </w:pPr>
      <w:r>
        <w:rPr>
          <w:rFonts w:ascii="Times New Roman" w:cs="Times New Roman" w:eastAsia="Times New Roman" w:hAnsi="Times New Roman"/>
          <w:sz w:val="20"/>
          <w:szCs w:val="20"/>
          <w:color w:val="231F20"/>
        </w:rPr>
        <w:t>The 1940 Act imposes limitations on a BDC’s issuance of preferred stock, which is considered a “senior security” and thus is subject to the 150% asset coverage requirement described above.</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As of December 31, 2023 and 2022, our asset coverage was 181.6% and 188.6% respectively.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Code of Ethics</w:t>
      </w:r>
    </w:p>
    <w:p>
      <w:pPr>
        <w:spacing w:after="0" w:line="118"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As required by the Advisers Act and the 1940 Act, we and the Adviser have adopted codes of ethics which apply to, among others, our and our Adviser’s executive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Compliance Policies and Procedures</w:t>
      </w:r>
    </w:p>
    <w:p>
      <w:pPr>
        <w:spacing w:after="0" w:line="118"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231F20"/>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ectPr>
          <w:pgSz w:w="12240" w:h="15840" w:orient="portrait"/>
          <w:cols w:equalWidth="0" w:num="1">
            <w:col w:w="10720"/>
          </w:cols>
          <w:pgMar w:left="720" w:top="937" w:right="8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23</w:t>
      </w:r>
    </w:p>
    <w:p>
      <w:pPr>
        <w:sectPr>
          <w:pgSz w:w="12240" w:h="15840" w:orient="portrait"/>
          <w:cols w:equalWidth="0" w:num="1">
            <w:col w:w="10720"/>
          </w:cols>
          <w:pgMar w:left="720" w:top="937" w:right="800" w:bottom="17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i w:val="1"/>
          <w:iCs w:val="1"/>
          <w:color w:val="231F20"/>
        </w:rPr>
        <w:t>Sarbanes-Oxley Act of 2002</w:t>
      </w:r>
    </w:p>
    <w:p>
      <w:pPr>
        <w:spacing w:after="0" w:line="118" w:lineRule="exact"/>
        <w:rPr>
          <w:sz w:val="20"/>
          <w:szCs w:val="20"/>
          <w:color w:val="auto"/>
        </w:rPr>
      </w:pPr>
    </w:p>
    <w:p>
      <w:pPr>
        <w:ind w:right="220" w:firstLine="245"/>
        <w:spacing w:after="0" w:line="277" w:lineRule="auto"/>
        <w:rPr>
          <w:sz w:val="20"/>
          <w:szCs w:val="20"/>
          <w:color w:val="auto"/>
        </w:rPr>
      </w:pPr>
      <w:r>
        <w:rPr>
          <w:rFonts w:ascii="Times New Roman" w:cs="Times New Roman" w:eastAsia="Times New Roman" w:hAnsi="Times New Roman"/>
          <w:sz w:val="20"/>
          <w:szCs w:val="20"/>
          <w:color w:val="231F20"/>
        </w:rPr>
        <w:t>The Sarbanes-Oxley Act of 2002 imposes a wide variety of regulatory requirements on certain publicly held companies and their insiders. Assuming certain requirements are met, many of these requirements affect us. For example:</w:t>
      </w:r>
    </w:p>
    <w:p>
      <w:pPr>
        <w:spacing w:after="0" w:line="63" w:lineRule="exact"/>
        <w:rPr>
          <w:sz w:val="20"/>
          <w:szCs w:val="20"/>
          <w:color w:val="auto"/>
        </w:rPr>
      </w:pPr>
    </w:p>
    <w:p>
      <w:pPr>
        <w:ind w:left="500" w:right="240" w:hanging="255"/>
        <w:spacing w:after="0" w:line="276" w:lineRule="auto"/>
        <w:tabs>
          <w:tab w:leader="none" w:pos="50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pursuant to Rule 13a-14 of the Exchange Act, our Chief Executive Officer and Chief Financial Officer certify the accuracy of the financial statements contained in our periodic reports;</w:t>
      </w:r>
    </w:p>
    <w:p>
      <w:pPr>
        <w:spacing w:after="0" w:line="64" w:lineRule="exact"/>
        <w:rPr>
          <w:rFonts w:ascii="Arial" w:cs="Arial" w:eastAsia="Arial" w:hAnsi="Arial"/>
          <w:sz w:val="20"/>
          <w:szCs w:val="20"/>
          <w:color w:val="231F20"/>
        </w:rPr>
      </w:pPr>
    </w:p>
    <w:p>
      <w:pPr>
        <w:ind w:left="500" w:right="160" w:hanging="255"/>
        <w:spacing w:after="0" w:line="276" w:lineRule="auto"/>
        <w:tabs>
          <w:tab w:leader="none" w:pos="50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pursuant to Item 307 of Regulation S-K, our periodic reports disclose our conclusions about the effectiveness of our disclosure controls and procedures;</w:t>
      </w:r>
    </w:p>
    <w:p>
      <w:pPr>
        <w:spacing w:after="0" w:line="64" w:lineRule="exact"/>
        <w:rPr>
          <w:rFonts w:ascii="Arial" w:cs="Arial" w:eastAsia="Arial" w:hAnsi="Arial"/>
          <w:sz w:val="20"/>
          <w:szCs w:val="20"/>
          <w:color w:val="231F20"/>
        </w:rPr>
      </w:pPr>
    </w:p>
    <w:p>
      <w:pPr>
        <w:ind w:left="500" w:right="160" w:hanging="255"/>
        <w:spacing w:after="0" w:line="258" w:lineRule="auto"/>
        <w:tabs>
          <w:tab w:leader="none" w:pos="50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81" w:lineRule="exact"/>
        <w:rPr>
          <w:rFonts w:ascii="Arial" w:cs="Arial" w:eastAsia="Arial" w:hAnsi="Arial"/>
          <w:sz w:val="20"/>
          <w:szCs w:val="20"/>
          <w:color w:val="231F20"/>
        </w:rPr>
      </w:pPr>
    </w:p>
    <w:p>
      <w:pPr>
        <w:ind w:left="500" w:right="100" w:hanging="255"/>
        <w:spacing w:after="0" w:line="252" w:lineRule="auto"/>
        <w:tabs>
          <w:tab w:leader="none" w:pos="50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93" w:lineRule="exact"/>
        <w:rPr>
          <w:sz w:val="20"/>
          <w:szCs w:val="20"/>
          <w:color w:val="auto"/>
        </w:rPr>
      </w:pPr>
    </w:p>
    <w:p>
      <w:pPr>
        <w:ind w:right="200" w:firstLine="245"/>
        <w:spacing w:after="0" w:line="258" w:lineRule="auto"/>
        <w:rPr>
          <w:sz w:val="20"/>
          <w:szCs w:val="20"/>
          <w:color w:val="auto"/>
        </w:rPr>
      </w:pPr>
      <w:r>
        <w:rPr>
          <w:rFonts w:ascii="Times New Roman" w:cs="Times New Roman" w:eastAsia="Times New Roman" w:hAnsi="Times New Roman"/>
          <w:sz w:val="20"/>
          <w:szCs w:val="20"/>
          <w:color w:val="231F20"/>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The NYSE Corporate Governance Rules</w:t>
      </w:r>
    </w:p>
    <w:p>
      <w:pPr>
        <w:spacing w:after="0" w:line="118" w:lineRule="exact"/>
        <w:rPr>
          <w:sz w:val="20"/>
          <w:szCs w:val="20"/>
          <w:color w:val="auto"/>
        </w:rPr>
      </w:pPr>
    </w:p>
    <w:p>
      <w:pPr>
        <w:ind w:right="40" w:firstLine="245"/>
        <w:spacing w:after="0" w:line="277" w:lineRule="auto"/>
        <w:rPr>
          <w:sz w:val="20"/>
          <w:szCs w:val="20"/>
          <w:color w:val="auto"/>
        </w:rPr>
      </w:pPr>
      <w:r>
        <w:rPr>
          <w:rFonts w:ascii="Times New Roman" w:cs="Times New Roman" w:eastAsia="Times New Roman" w:hAnsi="Times New Roman"/>
          <w:sz w:val="20"/>
          <w:szCs w:val="20"/>
          <w:color w:val="231F20"/>
        </w:rPr>
        <w:t>The NYSE has adopted corporate governance rules that listed companies must comply with. We believe we are in compliance with these rules.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Proxy Voting Policies and Procedures</w:t>
      </w:r>
    </w:p>
    <w:p>
      <w:pPr>
        <w:spacing w:after="0" w:line="118"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231F20"/>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88"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231F20"/>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94" w:lineRule="exact"/>
        <w:rPr>
          <w:sz w:val="20"/>
          <w:szCs w:val="20"/>
          <w:color w:val="auto"/>
        </w:rPr>
      </w:pPr>
    </w:p>
    <w:p>
      <w:pPr>
        <w:ind w:firstLine="245"/>
        <w:spacing w:after="0" w:line="243" w:lineRule="auto"/>
        <w:rPr>
          <w:sz w:val="20"/>
          <w:szCs w:val="20"/>
          <w:color w:val="auto"/>
        </w:rPr>
      </w:pPr>
      <w:r>
        <w:rPr>
          <w:rFonts w:ascii="Times New Roman" w:cs="Times New Roman" w:eastAsia="Times New Roman" w:hAnsi="Times New Roman"/>
          <w:sz w:val="20"/>
          <w:szCs w:val="20"/>
          <w:color w:val="231F20"/>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Privacy Principles</w:t>
      </w:r>
    </w:p>
    <w:p>
      <w:pPr>
        <w:spacing w:after="0" w:line="118"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231F20"/>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8" w:lineRule="exact"/>
        <w:rPr>
          <w:sz w:val="20"/>
          <w:szCs w:val="20"/>
          <w:color w:val="auto"/>
        </w:rPr>
      </w:pPr>
    </w:p>
    <w:p>
      <w:pPr>
        <w:ind w:right="160" w:firstLine="245"/>
        <w:spacing w:after="0" w:line="278" w:lineRule="auto"/>
        <w:rPr>
          <w:sz w:val="20"/>
          <w:szCs w:val="20"/>
          <w:color w:val="auto"/>
        </w:rPr>
      </w:pPr>
      <w:r>
        <w:rPr>
          <w:rFonts w:ascii="Times New Roman" w:cs="Times New Roman" w:eastAsia="Times New Roman" w:hAnsi="Times New Roman"/>
          <w:sz w:val="19"/>
          <w:szCs w:val="19"/>
          <w:color w:val="231F20"/>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w:t>
      </w:r>
    </w:p>
    <w:p>
      <w:pPr>
        <w:sectPr>
          <w:pgSz w:w="12240" w:h="15840" w:orient="portrait"/>
          <w:cols w:equalWidth="0" w:num="1">
            <w:col w:w="10780"/>
          </w:cols>
          <w:pgMar w:left="720" w:top="932" w:right="740" w:bottom="175"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2240" w:h="15840" w:orient="portrait"/>
          <w:cols w:equalWidth="0" w:num="1">
            <w:col w:w="10780"/>
          </w:cols>
          <w:pgMar w:left="720" w:top="932" w:right="740" w:bottom="175" w:gutter="0" w:footer="0" w:header="0"/>
          <w:type w:val="continuous"/>
        </w:sectPr>
      </w:pPr>
    </w:p>
    <w:bookmarkStart w:id="24" w:name="page25"/>
    <w:bookmarkEnd w:id="24"/>
    <w:p>
      <w:pPr>
        <w:ind w:right="20"/>
        <w:spacing w:after="0" w:line="247" w:lineRule="auto"/>
        <w:rPr>
          <w:sz w:val="20"/>
          <w:szCs w:val="20"/>
          <w:color w:val="auto"/>
        </w:rPr>
      </w:pPr>
      <w:r>
        <w:rPr>
          <w:rFonts w:ascii="Times New Roman" w:cs="Times New Roman" w:eastAsia="Times New Roman" w:hAnsi="Times New Roman"/>
          <w:sz w:val="20"/>
          <w:szCs w:val="20"/>
          <w:color w:val="231F20"/>
        </w:rPr>
        <w:t>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200" w:lineRule="exact"/>
        <w:rPr>
          <w:sz w:val="20"/>
          <w:szCs w:val="20"/>
          <w:color w:val="auto"/>
        </w:rPr>
      </w:pPr>
    </w:p>
    <w:p>
      <w:pPr>
        <w:ind w:right="280" w:firstLine="245"/>
        <w:spacing w:after="0" w:line="249" w:lineRule="auto"/>
        <w:rPr>
          <w:sz w:val="20"/>
          <w:szCs w:val="20"/>
          <w:color w:val="auto"/>
        </w:rPr>
      </w:pPr>
      <w:r>
        <w:rPr>
          <w:rFonts w:ascii="Times New Roman" w:cs="Times New Roman" w:eastAsia="Times New Roman" w:hAnsi="Times New Roman"/>
          <w:sz w:val="20"/>
          <w:szCs w:val="20"/>
          <w:color w:val="231F20"/>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Reporting Obligations</w:t>
      </w:r>
    </w:p>
    <w:p>
      <w:pPr>
        <w:spacing w:after="0" w:line="118" w:lineRule="exact"/>
        <w:rPr>
          <w:sz w:val="20"/>
          <w:szCs w:val="20"/>
          <w:color w:val="auto"/>
        </w:rPr>
      </w:pPr>
    </w:p>
    <w:p>
      <w:pPr>
        <w:ind w:right="420" w:firstLine="245"/>
        <w:spacing w:after="0" w:line="258" w:lineRule="auto"/>
        <w:rPr>
          <w:sz w:val="20"/>
          <w:szCs w:val="20"/>
          <w:color w:val="auto"/>
        </w:rPr>
      </w:pPr>
      <w:r>
        <w:rPr>
          <w:rFonts w:ascii="Times New Roman" w:cs="Times New Roman" w:eastAsia="Times New Roman" w:hAnsi="Times New Roman"/>
          <w:sz w:val="20"/>
          <w:szCs w:val="20"/>
          <w:color w:val="231F20"/>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8" w:lineRule="exact"/>
        <w:rPr>
          <w:sz w:val="20"/>
          <w:szCs w:val="20"/>
          <w:color w:val="auto"/>
        </w:rPr>
      </w:pPr>
    </w:p>
    <w:p>
      <w:pPr>
        <w:jc w:val="both"/>
        <w:ind w:right="40" w:firstLine="245"/>
        <w:spacing w:after="0" w:line="258" w:lineRule="auto"/>
        <w:rPr>
          <w:sz w:val="20"/>
          <w:szCs w:val="20"/>
          <w:color w:val="auto"/>
        </w:rPr>
      </w:pPr>
      <w:r>
        <w:rPr>
          <w:rFonts w:ascii="Times New Roman" w:cs="Times New Roman" w:eastAsia="Times New Roman" w:hAnsi="Times New Roman"/>
          <w:sz w:val="20"/>
          <w:szCs w:val="20"/>
          <w:color w:val="231F20"/>
        </w:rPr>
        <w:t>We make available on our website (www.sixthstreetspecialtylending.com) our proxy statements, our annual reports on Form 10-K, quarterly reports on Form 10-Q and our current reports on Form 8-K that we file with the SEC. Information contained on our website is not incorporated into this Annual Report and you should not consider such information to be part of this Annual Report.</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SEC also maintains a website (www.sec.gov) that contains this information.</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Regulated Investment Company Classification</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As a BDC, we have elected to be treated as a RIC for U.S. federal income tax purposes.</w:t>
      </w: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To maintain our status as a RIC, we must, among other things:</w:t>
      </w:r>
    </w:p>
    <w:p>
      <w:pPr>
        <w:spacing w:after="0" w:line="134" w:lineRule="exact"/>
        <w:rPr>
          <w:sz w:val="20"/>
          <w:szCs w:val="20"/>
          <w:color w:val="auto"/>
        </w:rPr>
      </w:pPr>
    </w:p>
    <w:p>
      <w:pPr>
        <w:ind w:left="500" w:hanging="255"/>
        <w:spacing w:after="0"/>
        <w:tabs>
          <w:tab w:leader="none" w:pos="50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 our election under the 1940 Act to be treated as a BDC;</w:t>
      </w:r>
    </w:p>
    <w:p>
      <w:pPr>
        <w:spacing w:after="0" w:line="133" w:lineRule="exact"/>
        <w:rPr>
          <w:rFonts w:ascii="Arial" w:cs="Arial" w:eastAsia="Arial" w:hAnsi="Arial"/>
          <w:sz w:val="20"/>
          <w:szCs w:val="20"/>
          <w:color w:val="231F20"/>
        </w:rPr>
      </w:pPr>
    </w:p>
    <w:p>
      <w:pPr>
        <w:ind w:left="500" w:right="60" w:hanging="255"/>
        <w:spacing w:after="0" w:line="276" w:lineRule="auto"/>
        <w:tabs>
          <w:tab w:leader="none" w:pos="50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derive in each taxable year at least 90% of our gross income from dividends, interest, gains from the sale or other disposition of stock or securities and other specified categories of investment income; and</w:t>
      </w:r>
    </w:p>
    <w:p>
      <w:pPr>
        <w:spacing w:after="0" w:line="64" w:lineRule="exact"/>
        <w:rPr>
          <w:rFonts w:ascii="Arial" w:cs="Arial" w:eastAsia="Arial" w:hAnsi="Arial"/>
          <w:sz w:val="20"/>
          <w:szCs w:val="20"/>
          <w:color w:val="231F20"/>
        </w:rPr>
      </w:pPr>
    </w:p>
    <w:p>
      <w:pPr>
        <w:ind w:left="500" w:right="320" w:hanging="255"/>
        <w:spacing w:after="0" w:line="276" w:lineRule="auto"/>
        <w:tabs>
          <w:tab w:leader="none" w:pos="50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 diversified holdings so that, subject to certain exceptions and cure periods, at the end of each quarter of our taxable year:</w:t>
      </w:r>
    </w:p>
    <w:p>
      <w:pPr>
        <w:spacing w:after="0" w:line="64" w:lineRule="exact"/>
        <w:rPr>
          <w:rFonts w:ascii="Arial" w:cs="Arial" w:eastAsia="Arial" w:hAnsi="Arial"/>
          <w:sz w:val="20"/>
          <w:szCs w:val="20"/>
          <w:color w:val="231F20"/>
        </w:rPr>
      </w:pPr>
    </w:p>
    <w:p>
      <w:pPr>
        <w:ind w:left="740" w:right="80" w:hanging="250"/>
        <w:spacing w:after="0" w:line="252" w:lineRule="auto"/>
        <w:tabs>
          <w:tab w:leader="none" w:pos="740" w:val="left"/>
        </w:tabs>
        <w:numPr>
          <w:ilvl w:val="1"/>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7" w:lineRule="exact"/>
        <w:rPr>
          <w:rFonts w:ascii="Arial" w:cs="Arial" w:eastAsia="Arial" w:hAnsi="Arial"/>
          <w:sz w:val="20"/>
          <w:szCs w:val="20"/>
          <w:color w:val="231F20"/>
        </w:rPr>
      </w:pPr>
    </w:p>
    <w:p>
      <w:pPr>
        <w:ind w:left="740" w:hanging="250"/>
        <w:spacing w:after="0" w:line="258" w:lineRule="auto"/>
        <w:tabs>
          <w:tab w:leader="none" w:pos="740" w:val="left"/>
        </w:tabs>
        <w:numPr>
          <w:ilvl w:val="1"/>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7"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4" w:lineRule="exact"/>
        <w:rPr>
          <w:sz w:val="20"/>
          <w:szCs w:val="20"/>
          <w:color w:val="auto"/>
        </w:rPr>
      </w:pPr>
    </w:p>
    <w:p>
      <w:pPr>
        <w:ind w:left="740" w:hanging="250"/>
        <w:spacing w:after="0"/>
        <w:tabs>
          <w:tab w:leader="none" w:pos="74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98% of our net ordinary income, excluding certain ordinary gains and losses, recognized during a calendar year;</w:t>
      </w:r>
    </w:p>
    <w:p>
      <w:pPr>
        <w:spacing w:after="0" w:line="133" w:lineRule="exact"/>
        <w:rPr>
          <w:rFonts w:ascii="Arial" w:cs="Arial" w:eastAsia="Arial" w:hAnsi="Arial"/>
          <w:sz w:val="20"/>
          <w:szCs w:val="20"/>
          <w:color w:val="231F20"/>
        </w:rPr>
      </w:pPr>
    </w:p>
    <w:p>
      <w:pPr>
        <w:ind w:left="740" w:right="80" w:hanging="250"/>
        <w:spacing w:after="0" w:line="276" w:lineRule="auto"/>
        <w:tabs>
          <w:tab w:leader="none" w:pos="74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98.2% of our capital gain net income, adjusted for certain ordinary gains and losses, recognized for the twelve-month period ending on October 31 of such calendar year; and</w:t>
      </w:r>
    </w:p>
    <w:p>
      <w:pPr>
        <w:spacing w:after="0" w:line="64" w:lineRule="exact"/>
        <w:rPr>
          <w:rFonts w:ascii="Arial" w:cs="Arial" w:eastAsia="Arial" w:hAnsi="Arial"/>
          <w:sz w:val="20"/>
          <w:szCs w:val="20"/>
          <w:color w:val="231F20"/>
        </w:rPr>
      </w:pPr>
    </w:p>
    <w:p>
      <w:pPr>
        <w:ind w:left="740" w:hanging="250"/>
        <w:spacing w:after="0"/>
        <w:tabs>
          <w:tab w:leader="none" w:pos="74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100% of any income or gains recognized, but not distributed, in preceding years.</w:t>
      </w:r>
    </w:p>
    <w:p>
      <w:pPr>
        <w:sectPr>
          <w:pgSz w:w="12240" w:h="15840" w:orient="portrait"/>
          <w:cols w:equalWidth="0" w:num="1">
            <w:col w:w="10760"/>
          </w:cols>
          <w:pgMar w:left="720" w:top="930" w:right="760" w:bottom="175"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25</w:t>
      </w:r>
    </w:p>
    <w:p>
      <w:pPr>
        <w:sectPr>
          <w:pgSz w:w="12240" w:h="15840" w:orient="portrait"/>
          <w:cols w:equalWidth="0" w:num="1">
            <w:col w:w="10760"/>
          </w:cols>
          <w:pgMar w:left="720" w:top="930" w:right="760" w:bottom="175" w:gutter="0" w:footer="0" w:header="0"/>
          <w:type w:val="continuous"/>
        </w:sectPr>
      </w:pPr>
    </w:p>
    <w:bookmarkStart w:id="25" w:name="page26"/>
    <w:bookmarkEnd w:id="25"/>
    <w:p>
      <w:pPr>
        <w:ind w:right="180" w:firstLine="245"/>
        <w:spacing w:after="0" w:line="252" w:lineRule="auto"/>
        <w:rPr>
          <w:sz w:val="20"/>
          <w:szCs w:val="20"/>
          <w:color w:val="auto"/>
        </w:rPr>
      </w:pPr>
      <w:r>
        <w:rPr>
          <w:rFonts w:ascii="Times New Roman" w:cs="Times New Roman" w:eastAsia="Times New Roman" w:hAnsi="Times New Roman"/>
          <w:sz w:val="20"/>
          <w:szCs w:val="20"/>
          <w:color w:val="231F20"/>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94"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20"/>
          <w:szCs w:val="20"/>
          <w:i w:val="1"/>
          <w:iCs w:val="1"/>
          <w:color w:val="231F20"/>
        </w:rPr>
        <w:t>Dividend Policy</w:t>
      </w:r>
      <w:r>
        <w:rPr>
          <w:rFonts w:ascii="Times New Roman" w:cs="Times New Roman" w:eastAsia="Times New Roman" w:hAnsi="Times New Roman"/>
          <w:sz w:val="20"/>
          <w:szCs w:val="20"/>
          <w:color w:val="231F20"/>
        </w:rPr>
        <w:t>” and “—</w:t>
      </w:r>
      <w:r>
        <w:rPr>
          <w:rFonts w:ascii="Times New Roman" w:cs="Times New Roman" w:eastAsia="Times New Roman" w:hAnsi="Times New Roman"/>
          <w:sz w:val="20"/>
          <w:szCs w:val="20"/>
          <w:i w:val="1"/>
          <w:iCs w:val="1"/>
          <w:color w:val="231F20"/>
        </w:rPr>
        <w:t>Dividend Reinvestment Plan</w:t>
      </w:r>
      <w:r>
        <w:rPr>
          <w:rFonts w:ascii="Times New Roman" w:cs="Times New Roman" w:eastAsia="Times New Roman" w:hAnsi="Times New Roman"/>
          <w:sz w:val="20"/>
          <w:szCs w:val="20"/>
          <w:color w:val="231F20"/>
        </w:rPr>
        <w:t>” for a description of our dividend policy and obligations. One or more of the considerations described below, however, could result in the deferral of dividend distributions until the end of the fiscal year:</w:t>
      </w:r>
    </w:p>
    <w:p>
      <w:pPr>
        <w:spacing w:after="0" w:line="88" w:lineRule="exact"/>
        <w:rPr>
          <w:sz w:val="20"/>
          <w:szCs w:val="20"/>
          <w:color w:val="auto"/>
        </w:rPr>
      </w:pPr>
    </w:p>
    <w:p>
      <w:pPr>
        <w:ind w:left="500" w:right="140" w:hanging="255"/>
        <w:spacing w:after="0" w:line="252" w:lineRule="auto"/>
        <w:tabs>
          <w:tab w:leader="none" w:pos="50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87" w:lineRule="exact"/>
        <w:rPr>
          <w:rFonts w:ascii="Arial" w:cs="Arial" w:eastAsia="Arial" w:hAnsi="Arial"/>
          <w:sz w:val="20"/>
          <w:szCs w:val="20"/>
          <w:color w:val="231F20"/>
        </w:rPr>
      </w:pPr>
    </w:p>
    <w:p>
      <w:pPr>
        <w:ind w:left="500" w:right="120" w:hanging="255"/>
        <w:spacing w:after="0" w:line="276" w:lineRule="auto"/>
        <w:tabs>
          <w:tab w:leader="none" w:pos="50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231F20"/>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96" w:lineRule="exact"/>
        <w:rPr>
          <w:sz w:val="20"/>
          <w:szCs w:val="20"/>
          <w:color w:val="auto"/>
        </w:rPr>
      </w:pPr>
    </w:p>
    <w:p>
      <w:pPr>
        <w:ind w:right="40" w:firstLine="245"/>
        <w:spacing w:after="0" w:line="239" w:lineRule="auto"/>
        <w:rPr>
          <w:sz w:val="20"/>
          <w:szCs w:val="20"/>
          <w:color w:val="auto"/>
        </w:rPr>
      </w:pPr>
      <w:r>
        <w:rPr>
          <w:rFonts w:ascii="Times New Roman" w:cs="Times New Roman" w:eastAsia="Times New Roman" w:hAnsi="Times New Roman"/>
          <w:sz w:val="20"/>
          <w:szCs w:val="20"/>
          <w:color w:val="231F20"/>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206" w:lineRule="exact"/>
        <w:rPr>
          <w:sz w:val="20"/>
          <w:szCs w:val="20"/>
          <w:color w:val="auto"/>
        </w:rPr>
      </w:pPr>
    </w:p>
    <w:p>
      <w:pPr>
        <w:ind w:right="20" w:firstLine="245"/>
        <w:spacing w:after="0" w:line="253" w:lineRule="auto"/>
        <w:rPr>
          <w:sz w:val="20"/>
          <w:szCs w:val="20"/>
          <w:color w:val="auto"/>
        </w:rPr>
      </w:pPr>
      <w:r>
        <w:rPr>
          <w:rFonts w:ascii="Times New Roman" w:cs="Times New Roman" w:eastAsia="Times New Roman" w:hAnsi="Times New Roman"/>
          <w:sz w:val="20"/>
          <w:szCs w:val="20"/>
          <w:color w:val="231F20"/>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2240" w:h="15840" w:orient="portrait"/>
          <w:cols w:equalWidth="0" w:num="1">
            <w:col w:w="10800"/>
          </w:cols>
          <w:pgMar w:left="720" w:top="930" w:right="720" w:bottom="175"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19" w:lineRule="exact"/>
        <w:rPr>
          <w:sz w:val="20"/>
          <w:szCs w:val="20"/>
          <w:color w:val="auto"/>
        </w:rPr>
      </w:pPr>
    </w:p>
    <w:p>
      <w:pPr>
        <w:ind w:right="160" w:firstLine="245"/>
        <w:spacing w:after="0" w:line="242" w:lineRule="auto"/>
        <w:rPr>
          <w:sz w:val="20"/>
          <w:szCs w:val="20"/>
          <w:color w:val="auto"/>
        </w:rPr>
      </w:pPr>
      <w:r>
        <w:rPr>
          <w:rFonts w:ascii="Times New Roman" w:cs="Times New Roman" w:eastAsia="Times New Roman" w:hAnsi="Times New Roman"/>
          <w:sz w:val="20"/>
          <w:szCs w:val="20"/>
          <w:color w:val="231F20"/>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Summary of Risk Factors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is a summary of the principal risks that could adversely affect our business, operations and financial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Risks Related to Our Business and Structure</w:t>
      </w:r>
    </w:p>
    <w:p>
      <w:pPr>
        <w:spacing w:after="0" w:line="128" w:lineRule="exact"/>
        <w:rPr>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dependent upon management personnel of the Adviser, Sixth Street and their affiliates for our future success.</w:t>
      </w:r>
    </w:p>
    <w:p>
      <w:pPr>
        <w:spacing w:after="0" w:line="128" w:lineRule="exact"/>
        <w:rPr>
          <w:rFonts w:ascii="Arial" w:cs="Arial" w:eastAsia="Arial" w:hAnsi="Arial"/>
          <w:sz w:val="20"/>
          <w:szCs w:val="20"/>
          <w:color w:val="231F20"/>
        </w:rPr>
      </w:pPr>
    </w:p>
    <w:p>
      <w:pPr>
        <w:ind w:left="720" w:right="4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subject to significant regulations governing our operation as a BDC, which affect our ability to, and the way in which we, raise additional capital. Changes in regulation could adversely affect our business.</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We borrow money, which magnifies the potential for gain or loss and increases the risk of investing in us.</w:t>
      </w:r>
    </w:p>
    <w:p>
      <w:pPr>
        <w:spacing w:after="0" w:line="128" w:lineRule="exact"/>
        <w:rPr>
          <w:rFonts w:ascii="Arial" w:cs="Arial" w:eastAsia="Arial" w:hAnsi="Arial"/>
          <w:sz w:val="20"/>
          <w:szCs w:val="20"/>
          <w:color w:val="231F20"/>
        </w:rPr>
      </w:pPr>
    </w:p>
    <w:p>
      <w:pPr>
        <w:ind w:left="720" w:hanging="360"/>
        <w:spacing w:after="0"/>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We operate in a highly competitive market for investment opportunities.</w:t>
      </w:r>
    </w:p>
    <w:p>
      <w:pPr>
        <w:spacing w:after="0" w:line="128" w:lineRule="exact"/>
        <w:rPr>
          <w:rFonts w:ascii="Arial" w:cs="Arial" w:eastAsia="Arial" w:hAnsi="Arial"/>
          <w:sz w:val="20"/>
          <w:szCs w:val="20"/>
          <w:color w:val="231F20"/>
        </w:rPr>
      </w:pPr>
    </w:p>
    <w:p>
      <w:pPr>
        <w:ind w:left="720" w:right="22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are unable to source investments, access financing or manage future growth effectively, we may be unable to achieve our investment objective.</w:t>
      </w:r>
    </w:p>
    <w:p>
      <w:pPr>
        <w:spacing w:after="0" w:line="64" w:lineRule="exact"/>
        <w:rPr>
          <w:rFonts w:ascii="Arial" w:cs="Arial" w:eastAsia="Arial" w:hAnsi="Arial"/>
          <w:sz w:val="20"/>
          <w:szCs w:val="20"/>
          <w:color w:val="231F20"/>
        </w:rPr>
      </w:pPr>
    </w:p>
    <w:p>
      <w:pPr>
        <w:ind w:left="72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Even in the event the value of your investment declines, the Management Fee and, in certain circumstances, the Incentive Fee will still be payable to the Adviser.</w:t>
      </w:r>
    </w:p>
    <w:p>
      <w:pPr>
        <w:spacing w:after="0" w:line="64" w:lineRule="exact"/>
        <w:rPr>
          <w:rFonts w:ascii="Arial" w:cs="Arial" w:eastAsia="Arial" w:hAnsi="Arial"/>
          <w:sz w:val="20"/>
          <w:szCs w:val="20"/>
          <w:color w:val="231F20"/>
        </w:rPr>
      </w:pPr>
    </w:p>
    <w:p>
      <w:pPr>
        <w:ind w:left="720" w:right="14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To the extent that we do not realize income or choose not to retain after-tax realized net capital gains, we will have a greater need for additional capital to fund our investments and operating expenses.</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We will be subject to corporate-level U.S. federal income tax if we are unable to maintain our qualification as a RIC.</w:t>
      </w:r>
    </w:p>
    <w:p>
      <w:pPr>
        <w:spacing w:after="0" w:line="128" w:lineRule="exact"/>
        <w:rPr>
          <w:rFonts w:ascii="Arial" w:cs="Arial" w:eastAsia="Arial" w:hAnsi="Arial"/>
          <w:sz w:val="20"/>
          <w:szCs w:val="20"/>
          <w:color w:val="231F20"/>
        </w:rPr>
      </w:pPr>
    </w:p>
    <w:p>
      <w:pPr>
        <w:ind w:left="72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We can be expected to retain some income and capital gains in excess of what is permissible for excise tax purposes and such amounts will be subject to 4% U.S. federal excise tax.</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Adviser and its affiliates, officers and employees may face certain conflicts of interest.</w:t>
      </w:r>
    </w:p>
    <w:p>
      <w:pPr>
        <w:spacing w:after="0" w:line="128" w:lineRule="exact"/>
        <w:rPr>
          <w:rFonts w:ascii="Arial" w:cs="Arial" w:eastAsia="Arial" w:hAnsi="Arial"/>
          <w:sz w:val="20"/>
          <w:szCs w:val="20"/>
          <w:color w:val="231F20"/>
        </w:rPr>
      </w:pPr>
    </w:p>
    <w:p>
      <w:pPr>
        <w:ind w:left="720" w:right="10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Adviser can resign on 60 days’ notice. We may not be able to find a suitable replacement within that time, resulting in a disruption in our operations and a loss of the benefits from our relationship with Sixth Street.</w:t>
      </w:r>
    </w:p>
    <w:p>
      <w:pPr>
        <w:spacing w:after="0" w:line="64" w:lineRule="exact"/>
        <w:rPr>
          <w:rFonts w:ascii="Arial" w:cs="Arial" w:eastAsia="Arial" w:hAnsi="Arial"/>
          <w:sz w:val="20"/>
          <w:szCs w:val="20"/>
          <w:color w:val="231F20"/>
        </w:rPr>
      </w:pPr>
    </w:p>
    <w:p>
      <w:pPr>
        <w:ind w:left="720" w:right="24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Adviser’s liability is limited under the Investment Advisory Agreement, and we are required to indemnify the Adviser against certain liabilities, which may lead the Adviser to act in a riskier manner.</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Any failure to maintain our status as a BDC would reduce our operating flexibility.</w:t>
      </w:r>
    </w:p>
    <w:p>
      <w:pPr>
        <w:spacing w:after="0" w:line="128" w:lineRule="exact"/>
        <w:rPr>
          <w:rFonts w:ascii="Arial" w:cs="Arial" w:eastAsia="Arial" w:hAnsi="Arial"/>
          <w:sz w:val="20"/>
          <w:szCs w:val="20"/>
          <w:color w:val="231F20"/>
        </w:rPr>
      </w:pPr>
    </w:p>
    <w:p>
      <w:pPr>
        <w:ind w:left="720" w:hanging="360"/>
        <w:spacing w:after="0"/>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We incur significant costs as a result of being a publicly traded company.</w:t>
      </w:r>
    </w:p>
    <w:p>
      <w:pPr>
        <w:spacing w:after="0" w:line="128" w:lineRule="exact"/>
        <w:rPr>
          <w:rFonts w:ascii="Arial" w:cs="Arial" w:eastAsia="Arial" w:hAnsi="Arial"/>
          <w:sz w:val="20"/>
          <w:szCs w:val="20"/>
          <w:color w:val="231F20"/>
        </w:rPr>
      </w:pPr>
    </w:p>
    <w:p>
      <w:pPr>
        <w:ind w:left="720" w:right="30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Provisions of the General Corporation Law of the State of Delaware and our certificate of incorporation and bylaws could deter takeover attempts and have an adverse effect on the price of our common stock.</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Certain investors are limited in their ability to make significant investments in us.</w:t>
      </w:r>
    </w:p>
    <w:p>
      <w:pPr>
        <w:spacing w:after="0" w:line="128" w:lineRule="exact"/>
        <w:rPr>
          <w:rFonts w:ascii="Arial" w:cs="Arial" w:eastAsia="Arial" w:hAnsi="Arial"/>
          <w:sz w:val="20"/>
          <w:szCs w:val="20"/>
          <w:color w:val="231F20"/>
        </w:rPr>
      </w:pPr>
    </w:p>
    <w:p>
      <w:pPr>
        <w:ind w:left="720" w:hanging="360"/>
        <w:spacing w:after="0"/>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Cybersecurity risks and cyber incidents may adversely affect our business or those of our portfolio companies.</w:t>
      </w:r>
    </w:p>
    <w:p>
      <w:pPr>
        <w:spacing w:after="0" w:line="128" w:lineRule="exact"/>
        <w:rPr>
          <w:rFonts w:ascii="Arial" w:cs="Arial" w:eastAsia="Arial" w:hAnsi="Arial"/>
          <w:sz w:val="20"/>
          <w:szCs w:val="20"/>
          <w:color w:val="231F20"/>
        </w:rPr>
      </w:pPr>
    </w:p>
    <w:p>
      <w:pPr>
        <w:ind w:left="720" w:right="66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Our Board may change our investment objective, operating policies and strategies without prior notice or stockholder approval.</w:t>
      </w:r>
    </w:p>
    <w:p>
      <w:pPr>
        <w:spacing w:after="0" w:line="64" w:lineRule="exact"/>
        <w:rPr>
          <w:rFonts w:ascii="Arial" w:cs="Arial" w:eastAsia="Arial" w:hAnsi="Arial"/>
          <w:sz w:val="20"/>
          <w:szCs w:val="20"/>
          <w:color w:val="231F20"/>
        </w:rPr>
      </w:pPr>
    </w:p>
    <w:p>
      <w:pPr>
        <w:ind w:left="720" w:right="60" w:hanging="360"/>
        <w:spacing w:after="0" w:line="271" w:lineRule="auto"/>
        <w:tabs>
          <w:tab w:leader="none" w:pos="7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interest rates of our debt investments to our portfolio companies and our indebtedness that extend beyond 2023 might be subject to change based on recent regulatory changes.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Risks Related to Economic Conditions</w:t>
      </w:r>
    </w:p>
    <w:p>
      <w:pPr>
        <w:spacing w:after="0" w:line="132" w:lineRule="exact"/>
        <w:rPr>
          <w:sz w:val="20"/>
          <w:szCs w:val="20"/>
          <w:color w:val="auto"/>
        </w:rPr>
      </w:pPr>
    </w:p>
    <w:p>
      <w:pPr>
        <w:ind w:left="720" w:right="240" w:hanging="360"/>
        <w:spacing w:after="0" w:line="276" w:lineRule="auto"/>
        <w:tabs>
          <w:tab w:leader="none" w:pos="7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current state of the economy and financial markets increases the likelihood of adverse effects on our financial position and results of operations.</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Economic recessions or downturns could impair our portfolio companies and harm our operating results.</w:t>
      </w:r>
    </w:p>
    <w:p>
      <w:pPr>
        <w:sectPr>
          <w:pgSz w:w="12240" w:h="15840" w:orient="portrait"/>
          <w:cols w:equalWidth="0" w:num="1">
            <w:col w:w="10780"/>
          </w:cols>
          <w:pgMar w:left="720" w:top="922"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27</w:t>
      </w:r>
    </w:p>
    <w:p>
      <w:pPr>
        <w:sectPr>
          <w:pgSz w:w="12240" w:h="15840" w:orient="portrait"/>
          <w:cols w:equalWidth="0" w:num="1">
            <w:col w:w="10780"/>
          </w:cols>
          <w:pgMar w:left="720" w:top="922" w:right="740" w:bottom="175"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i w:val="1"/>
          <w:iCs w:val="1"/>
          <w:color w:val="231F20"/>
        </w:rPr>
        <w:t>Risks Related to Our Portfolio Company Investments</w:t>
      </w:r>
    </w:p>
    <w:p>
      <w:pPr>
        <w:spacing w:after="0" w:line="132" w:lineRule="exact"/>
        <w:rPr>
          <w:sz w:val="20"/>
          <w:szCs w:val="20"/>
          <w:color w:val="auto"/>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investments are very risky and highly speculative.</w:t>
      </w:r>
    </w:p>
    <w:p>
      <w:pPr>
        <w:spacing w:after="0" w:line="133" w:lineRule="exact"/>
        <w:rPr>
          <w:rFonts w:ascii="Arial" w:cs="Arial" w:eastAsia="Arial" w:hAnsi="Arial"/>
          <w:sz w:val="20"/>
          <w:szCs w:val="20"/>
          <w:color w:val="231F20"/>
        </w:rPr>
      </w:pPr>
    </w:p>
    <w:p>
      <w:pPr>
        <w:jc w:val="both"/>
        <w:ind w:left="720" w:right="240" w:hanging="360"/>
        <w:spacing w:after="0" w:line="258" w:lineRule="auto"/>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lack of liquidity in our investments may adversely affect our business.</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portfolio may be focused on a limited number of portfolio companies or industries, which will subject us to a risk of</w:t>
      </w:r>
    </w:p>
    <w:p>
      <w:pPr>
        <w:spacing w:after="0" w:line="119" w:lineRule="exact"/>
        <w:rPr>
          <w:rFonts w:ascii="Arial" w:cs="Arial" w:eastAsia="Arial" w:hAnsi="Arial"/>
          <w:sz w:val="20"/>
          <w:szCs w:val="20"/>
          <w:color w:val="231F20"/>
        </w:rPr>
      </w:pPr>
    </w:p>
    <w:p>
      <w:pPr>
        <w:ind w:left="720"/>
        <w:spacing w:after="0" w:line="277"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significant loss if any of these companies defaults on its obligations under any of its debt instruments or if there is a downturn in a particular industry.</w:t>
      </w:r>
    </w:p>
    <w:p>
      <w:pPr>
        <w:spacing w:after="0" w:line="63"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securitize certain of our investments, which may subject us to certain structured financing risks.</w:t>
      </w:r>
    </w:p>
    <w:p>
      <w:pPr>
        <w:spacing w:after="0" w:line="133" w:lineRule="exact"/>
        <w:rPr>
          <w:rFonts w:ascii="Arial" w:cs="Arial" w:eastAsia="Arial" w:hAnsi="Arial"/>
          <w:sz w:val="20"/>
          <w:szCs w:val="20"/>
          <w:color w:val="231F20"/>
        </w:rPr>
      </w:pPr>
    </w:p>
    <w:p>
      <w:pPr>
        <w:ind w:left="720" w:right="320" w:hanging="360"/>
        <w:spacing w:after="0" w:line="276" w:lineRule="auto"/>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Because we generally do not hold controlling interests in our portfolio companies, we may not be in a position to exercise control over those portfolio companies or prevent decisions by management of those portfolio companies.</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exposed to risks associated with changes in interest rates.</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be able to realize expected returns on our invested capital.</w:t>
      </w:r>
    </w:p>
    <w:p>
      <w:pPr>
        <w:spacing w:after="0" w:line="133" w:lineRule="exact"/>
        <w:rPr>
          <w:rFonts w:ascii="Arial" w:cs="Arial" w:eastAsia="Arial" w:hAnsi="Arial"/>
          <w:sz w:val="20"/>
          <w:szCs w:val="20"/>
          <w:color w:val="231F20"/>
        </w:rPr>
      </w:pPr>
    </w:p>
    <w:p>
      <w:pPr>
        <w:ind w:left="720" w:right="200" w:hanging="360"/>
        <w:spacing w:after="0" w:line="276" w:lineRule="auto"/>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By originating loans to companies that are experiencing significant financial or business difficulties, we may be exposed to distressed lending risks.</w:t>
      </w:r>
    </w:p>
    <w:p>
      <w:pPr>
        <w:spacing w:after="0" w:line="64" w:lineRule="exact"/>
        <w:rPr>
          <w:rFonts w:ascii="Arial" w:cs="Arial" w:eastAsia="Arial" w:hAnsi="Arial"/>
          <w:sz w:val="20"/>
          <w:szCs w:val="20"/>
          <w:color w:val="231F20"/>
        </w:rPr>
      </w:pPr>
    </w:p>
    <w:p>
      <w:pPr>
        <w:ind w:left="720" w:right="500" w:hanging="360"/>
        <w:spacing w:after="0" w:line="276" w:lineRule="auto"/>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portfolio companies in some cases may incur debt or issue equity securities that rank equally with, or senior to, our investments in those companies and we may be exposed to special risks associated with bankruptcy cases.</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failure to make follow-on investments in our portfolio companies could impair the value of our investments.</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enter into transactions with our affiliates is restricted.</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acquisitions or strategic investments that we pursue are subject to risks and uncertainties.</w:t>
      </w:r>
    </w:p>
    <w:p>
      <w:pPr>
        <w:spacing w:after="0" w:line="133" w:lineRule="exact"/>
        <w:rPr>
          <w:rFonts w:ascii="Arial" w:cs="Arial" w:eastAsia="Arial" w:hAnsi="Arial"/>
          <w:sz w:val="20"/>
          <w:szCs w:val="20"/>
          <w:color w:val="231F20"/>
        </w:rPr>
      </w:pPr>
    </w:p>
    <w:p>
      <w:pPr>
        <w:ind w:left="720" w:right="140" w:hanging="360"/>
        <w:spacing w:after="0" w:line="276" w:lineRule="auto"/>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We cannot guarantee that we will be able to obtain various required licenses in U.S. states or in any other jurisdiction where they may be required in the future.</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investments in foreign companies may involve significant risks in addition to the risks inherent in U.S. investments.</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We expose ourselves to risks when we engage in hedging transactions.</w:t>
      </w:r>
    </w:p>
    <w:p>
      <w:pPr>
        <w:spacing w:after="0" w:line="133" w:lineRule="exact"/>
        <w:rPr>
          <w:rFonts w:ascii="Arial" w:cs="Arial" w:eastAsia="Arial" w:hAnsi="Arial"/>
          <w:sz w:val="20"/>
          <w:szCs w:val="20"/>
          <w:color w:val="231F20"/>
        </w:rPr>
      </w:pPr>
    </w:p>
    <w:p>
      <w:pPr>
        <w:ind w:left="720" w:right="280" w:hanging="360"/>
        <w:spacing w:after="0" w:line="276" w:lineRule="auto"/>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new market structure applicable to derivatives imposed by the Dodd-Frank Act may affect our ability to use over-the-counter (“OTC”) derivatives for hedging purposes.</w:t>
      </w:r>
    </w:p>
    <w:p>
      <w:pPr>
        <w:spacing w:after="0" w:line="64" w:lineRule="exact"/>
        <w:rPr>
          <w:rFonts w:ascii="Arial" w:cs="Arial" w:eastAsia="Arial" w:hAnsi="Arial"/>
          <w:sz w:val="20"/>
          <w:szCs w:val="20"/>
          <w:color w:val="231F20"/>
        </w:rPr>
      </w:pPr>
    </w:p>
    <w:p>
      <w:pPr>
        <w:ind w:left="720" w:right="120" w:hanging="360"/>
        <w:spacing w:after="0" w:line="276" w:lineRule="auto"/>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portfolio investments may present special tax issues, and there are certain risks associated with holding debt obligations that have original issue discount or payment-in-kind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Risks Related to Our Securities</w:t>
      </w:r>
    </w:p>
    <w:p>
      <w:pPr>
        <w:spacing w:after="0" w:line="132" w:lineRule="exact"/>
        <w:rPr>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There is a risk that investors in our common stock may not receive dividends or that our dividends may not grow over time.</w:t>
      </w:r>
    </w:p>
    <w:p>
      <w:pPr>
        <w:spacing w:after="0" w:line="133" w:lineRule="exact"/>
        <w:rPr>
          <w:rFonts w:ascii="Arial" w:cs="Arial" w:eastAsia="Arial" w:hAnsi="Arial"/>
          <w:sz w:val="20"/>
          <w:szCs w:val="20"/>
          <w:color w:val="231F20"/>
        </w:rPr>
      </w:pPr>
    </w:p>
    <w:p>
      <w:pPr>
        <w:ind w:left="720" w:right="660" w:hanging="360"/>
        <w:spacing w:after="0" w:line="276" w:lineRule="auto"/>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Investing in our securities may involve a high degree of risk and the market price of our common stock may fluctuate significantly and could decline.</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Our stockholders will experience dilution in their ownership percentage if they opt out of our dividend reinvestment plan.</w:t>
      </w:r>
    </w:p>
    <w:p>
      <w:pPr>
        <w:spacing w:after="0" w:line="133" w:lineRule="exact"/>
        <w:rPr>
          <w:rFonts w:ascii="Arial" w:cs="Arial" w:eastAsia="Arial" w:hAnsi="Arial"/>
          <w:sz w:val="20"/>
          <w:szCs w:val="20"/>
          <w:color w:val="231F20"/>
        </w:rPr>
      </w:pPr>
    </w:p>
    <w:p>
      <w:pPr>
        <w:ind w:left="720" w:right="100" w:hanging="360"/>
        <w:spacing w:after="0" w:line="276" w:lineRule="auto"/>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Purchases of our common stock by us under the Company 10b5-1 Plan may result in dilution to our net asset value per share and the price of our common stock being higher than the price that otherwise might exist in the open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General Risk Factors</w:t>
      </w:r>
    </w:p>
    <w:p>
      <w:pPr>
        <w:spacing w:after="0" w:line="132" w:lineRule="exact"/>
        <w:rPr>
          <w:sz w:val="20"/>
          <w:szCs w:val="20"/>
          <w:color w:val="auto"/>
        </w:rPr>
      </w:pPr>
    </w:p>
    <w:p>
      <w:pPr>
        <w:ind w:left="720" w:right="20" w:hanging="360"/>
        <w:spacing w:after="0" w:line="276" w:lineRule="auto"/>
        <w:tabs>
          <w:tab w:leader="none" w:pos="72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highly dependent on information systems and systems failures could significantly disrupt our business, which may, in turn, negatively affect the market price of our common stock and our ability to pay dividend.</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laws or regulations governing our operations may adversely affect our business.</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 of geopolitical conflicts and global climate change may impact us and our portfolio companies.</w:t>
      </w:r>
    </w:p>
    <w:p>
      <w:pPr>
        <w:sectPr>
          <w:pgSz w:w="12240" w:h="15840" w:orient="portrait"/>
          <w:cols w:equalWidth="0" w:num="1">
            <w:col w:w="10780"/>
          </w:cols>
          <w:pgMar w:left="720" w:top="932"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28</w:t>
      </w:r>
    </w:p>
    <w:p>
      <w:pPr>
        <w:sectPr>
          <w:pgSz w:w="12240" w:h="15840" w:orient="portrait"/>
          <w:cols w:equalWidth="0" w:num="1">
            <w:col w:w="10780"/>
          </w:cols>
          <w:pgMar w:left="720" w:top="932" w:right="740" w:bottom="175"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and Structure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dependent upon management personnel of the Adviser, Sixth Street and their affiliates for our future success.</w:t>
      </w:r>
    </w:p>
    <w:p>
      <w:pPr>
        <w:spacing w:after="0" w:line="120"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231F20"/>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200" w:lineRule="exact"/>
        <w:rPr>
          <w:sz w:val="20"/>
          <w:szCs w:val="20"/>
          <w:color w:val="auto"/>
        </w:rPr>
      </w:pPr>
    </w:p>
    <w:p>
      <w:pPr>
        <w:ind w:right="240" w:firstLine="245"/>
        <w:spacing w:after="0" w:line="252" w:lineRule="auto"/>
        <w:rPr>
          <w:sz w:val="20"/>
          <w:szCs w:val="20"/>
          <w:color w:val="auto"/>
        </w:rPr>
      </w:pPr>
      <w:r>
        <w:rPr>
          <w:rFonts w:ascii="Times New Roman" w:cs="Times New Roman" w:eastAsia="Times New Roman" w:hAnsi="Times New Roman"/>
          <w:sz w:val="20"/>
          <w:szCs w:val="20"/>
          <w:color w:val="231F20"/>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Regulations governing our operation as a BDC affect our ability to, and the way in which we, raise additional capital.</w:t>
      </w:r>
    </w:p>
    <w:p>
      <w:pPr>
        <w:spacing w:after="0" w:line="120" w:lineRule="exact"/>
        <w:rPr>
          <w:sz w:val="20"/>
          <w:szCs w:val="20"/>
          <w:color w:val="auto"/>
        </w:rPr>
      </w:pPr>
    </w:p>
    <w:p>
      <w:pPr>
        <w:ind w:right="260" w:firstLine="245"/>
        <w:spacing w:after="0" w:line="249" w:lineRule="auto"/>
        <w:rPr>
          <w:sz w:val="20"/>
          <w:szCs w:val="20"/>
          <w:color w:val="auto"/>
        </w:rPr>
      </w:pPr>
      <w:r>
        <w:rPr>
          <w:rFonts w:ascii="Times New Roman" w:cs="Times New Roman" w:eastAsia="Times New Roman" w:hAnsi="Times New Roman"/>
          <w:sz w:val="20"/>
          <w:szCs w:val="20"/>
          <w:color w:val="231F20"/>
        </w:rPr>
        <w:t>The 1940 Act imposes numerous constraints on the operations of BDCs. See “</w:t>
      </w:r>
      <w:r>
        <w:rPr>
          <w:rFonts w:ascii="Times New Roman" w:cs="Times New Roman" w:eastAsia="Times New Roman" w:hAnsi="Times New Roman"/>
          <w:sz w:val="20"/>
          <w:szCs w:val="20"/>
          <w:i w:val="1"/>
          <w:iCs w:val="1"/>
          <w:color w:val="231F20"/>
        </w:rPr>
        <w:t>ITEM 1. BUSINESS—Regulation as a Business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Development Company</w:t>
      </w:r>
      <w:r>
        <w:rPr>
          <w:rFonts w:ascii="Times New Roman" w:cs="Times New Roman" w:eastAsia="Times New Roman" w:hAnsi="Times New Roman"/>
          <w:sz w:val="20"/>
          <w:szCs w:val="20"/>
          <w:color w:val="231F20"/>
        </w:rPr>
        <w:t>” for a discussion of BDC limitations. For example, BDCs are required to invest at least 70% of their total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97" w:lineRule="exact"/>
        <w:rPr>
          <w:sz w:val="20"/>
          <w:szCs w:val="20"/>
          <w:color w:val="auto"/>
        </w:rPr>
      </w:pPr>
    </w:p>
    <w:p>
      <w:pPr>
        <w:jc w:val="both"/>
        <w:ind w:right="440" w:firstLine="245"/>
        <w:spacing w:after="0" w:line="258" w:lineRule="auto"/>
        <w:rPr>
          <w:sz w:val="20"/>
          <w:szCs w:val="20"/>
          <w:color w:val="auto"/>
        </w:rPr>
      </w:pPr>
      <w:r>
        <w:rPr>
          <w:rFonts w:ascii="Times New Roman" w:cs="Times New Roman" w:eastAsia="Times New Roman" w:hAnsi="Times New Roman"/>
          <w:sz w:val="20"/>
          <w:szCs w:val="20"/>
          <w:color w:val="231F20"/>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8" w:lineRule="exact"/>
        <w:rPr>
          <w:sz w:val="20"/>
          <w:szCs w:val="20"/>
          <w:color w:val="auto"/>
        </w:rPr>
      </w:pPr>
    </w:p>
    <w:p>
      <w:pPr>
        <w:ind w:right="40" w:firstLine="245"/>
        <w:spacing w:after="0" w:line="249" w:lineRule="auto"/>
        <w:rPr>
          <w:sz w:val="20"/>
          <w:szCs w:val="20"/>
          <w:color w:val="auto"/>
        </w:rPr>
      </w:pPr>
      <w:r>
        <w:rPr>
          <w:rFonts w:ascii="Times New Roman" w:cs="Times New Roman" w:eastAsia="Times New Roman" w:hAnsi="Times New Roman"/>
          <w:sz w:val="20"/>
          <w:szCs w:val="20"/>
          <w:color w:val="231F20"/>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97"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231F20"/>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206" w:lineRule="exact"/>
        <w:rPr>
          <w:sz w:val="20"/>
          <w:szCs w:val="20"/>
          <w:color w:val="auto"/>
        </w:rPr>
      </w:pPr>
    </w:p>
    <w:p>
      <w:pPr>
        <w:ind w:right="40" w:firstLine="245"/>
        <w:spacing w:after="0" w:line="245" w:lineRule="auto"/>
        <w:rPr>
          <w:sz w:val="20"/>
          <w:szCs w:val="20"/>
          <w:color w:val="auto"/>
        </w:rPr>
      </w:pPr>
      <w:r>
        <w:rPr>
          <w:rFonts w:ascii="Times New Roman" w:cs="Times New Roman" w:eastAsia="Times New Roman" w:hAnsi="Times New Roman"/>
          <w:sz w:val="20"/>
          <w:szCs w:val="20"/>
          <w:color w:val="231F20"/>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202" w:lineRule="exact"/>
        <w:rPr>
          <w:sz w:val="20"/>
          <w:szCs w:val="20"/>
          <w:color w:val="auto"/>
        </w:rPr>
      </w:pPr>
    </w:p>
    <w:p>
      <w:pPr>
        <w:ind w:right="100" w:firstLine="245"/>
        <w:spacing w:after="0" w:line="246" w:lineRule="auto"/>
        <w:rPr>
          <w:sz w:val="20"/>
          <w:szCs w:val="20"/>
          <w:color w:val="auto"/>
        </w:rPr>
      </w:pPr>
      <w:r>
        <w:rPr>
          <w:rFonts w:ascii="Times New Roman" w:cs="Times New Roman" w:eastAsia="Times New Roman" w:hAnsi="Times New Roman"/>
          <w:sz w:val="20"/>
          <w:szCs w:val="20"/>
          <w:color w:val="231F20"/>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25, 2023, we are currently permitted to sell or otherwise issue shares of our common stock at a price below our then-current net asset value per share, subject to the approval of our</w:t>
      </w:r>
    </w:p>
    <w:p>
      <w:pPr>
        <w:sectPr>
          <w:pgSz w:w="12240" w:h="15840" w:orient="portrait"/>
          <w:cols w:equalWidth="0" w:num="1">
            <w:col w:w="10800"/>
          </w:cols>
          <w:pgMar w:left="720" w:top="926" w:right="720" w:bottom="175"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2240" w:h="15840" w:orient="portrait"/>
          <w:cols w:equalWidth="0" w:num="1">
            <w:col w:w="10800"/>
          </w:cols>
          <w:pgMar w:left="720" w:top="926" w:right="720" w:bottom="175" w:gutter="0" w:footer="0" w:header="0"/>
          <w:type w:val="continuous"/>
        </w:sectPr>
      </w:pPr>
    </w:p>
    <w:bookmarkStart w:id="29" w:name="page30"/>
    <w:bookmarkEnd w:id="29"/>
    <w:p>
      <w:pPr>
        <w:ind w:right="160"/>
        <w:spacing w:after="0" w:line="244" w:lineRule="auto"/>
        <w:rPr>
          <w:sz w:val="20"/>
          <w:szCs w:val="20"/>
          <w:color w:val="auto"/>
        </w:rPr>
      </w:pPr>
      <w:r>
        <w:rPr>
          <w:rFonts w:ascii="Times New Roman" w:cs="Times New Roman" w:eastAsia="Times New Roman" w:hAnsi="Times New Roman"/>
          <w:sz w:val="20"/>
          <w:szCs w:val="20"/>
          <w:color w:val="231F20"/>
        </w:rPr>
        <w:t>Board and certain other conditions. Such stockholder approval expires on May 25, 2024.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202" w:lineRule="exact"/>
        <w:rPr>
          <w:sz w:val="20"/>
          <w:szCs w:val="20"/>
          <w:color w:val="auto"/>
        </w:rPr>
      </w:pPr>
    </w:p>
    <w:p>
      <w:pPr>
        <w:ind w:firstLine="245"/>
        <w:spacing w:after="0" w:line="243" w:lineRule="auto"/>
        <w:rPr>
          <w:sz w:val="20"/>
          <w:szCs w:val="20"/>
          <w:color w:val="auto"/>
        </w:rPr>
      </w:pPr>
      <w:r>
        <w:rPr>
          <w:rFonts w:ascii="Times New Roman" w:cs="Times New Roman" w:eastAsia="Times New Roman" w:hAnsi="Times New Roman"/>
          <w:sz w:val="20"/>
          <w:szCs w:val="20"/>
          <w:color w:val="231F20"/>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20"/>
          <w:szCs w:val="20"/>
          <w:i w:val="1"/>
          <w:iCs w:val="1"/>
          <w:color w:val="231F20"/>
        </w:rPr>
        <w:t>—Risks Related to Our Portfolio Company Investments</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i w:val="1"/>
          <w:iCs w:val="1"/>
          <w:color w:val="231F20"/>
        </w:rPr>
        <w:t>We may securitize certain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of our investments, which may subject us to certain structured financing risks</w:t>
      </w:r>
      <w:r>
        <w:rPr>
          <w:rFonts w:ascii="Times New Roman" w:cs="Times New Roman" w:eastAsia="Times New Roman" w:hAnsi="Times New Roman"/>
          <w:sz w:val="20"/>
          <w:szCs w:val="20"/>
          <w:color w:val="231F20"/>
        </w:rPr>
        <w: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borrow money, which magnifies the potential for gain or loss and increases the risk of investing in us.</w:t>
      </w:r>
    </w:p>
    <w:p>
      <w:pPr>
        <w:spacing w:after="0" w:line="120" w:lineRule="exact"/>
        <w:rPr>
          <w:sz w:val="20"/>
          <w:szCs w:val="20"/>
          <w:color w:val="auto"/>
        </w:rPr>
      </w:pPr>
    </w:p>
    <w:p>
      <w:pPr>
        <w:ind w:firstLine="245"/>
        <w:spacing w:after="0" w:line="243" w:lineRule="auto"/>
        <w:rPr>
          <w:sz w:val="20"/>
          <w:szCs w:val="20"/>
          <w:color w:val="auto"/>
        </w:rPr>
      </w:pPr>
      <w:r>
        <w:rPr>
          <w:rFonts w:ascii="Times New Roman" w:cs="Times New Roman" w:eastAsia="Times New Roman" w:hAnsi="Times New Roman"/>
          <w:sz w:val="20"/>
          <w:szCs w:val="20"/>
          <w:color w:val="231F20"/>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20"/>
          <w:szCs w:val="20"/>
          <w:i w:val="1"/>
          <w:iCs w:val="1"/>
          <w:color w:val="231F20"/>
        </w:rPr>
        <w:t>—Risks Related to Our Business and Structure—Even in the event the value of your investment declines,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Management Fee and, in certain circumstances, the Incentive Fee will still be payable to the Adviser</w:t>
      </w:r>
      <w:r>
        <w:rPr>
          <w:rFonts w:ascii="Times New Roman" w:cs="Times New Roman" w:eastAsia="Times New Roman" w:hAnsi="Times New Roman"/>
          <w:sz w:val="20"/>
          <w:szCs w:val="20"/>
          <w:color w:val="231F20"/>
        </w:rPr>
        <w:t>.” The amount of leverage that we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employ will depend on our Adviser’s and our Board’s assessment of market and other factors at the time of any proposed borrowing. We cannot assure you that we will be able to obtain credit at all or on terms acceptable to us.</w:t>
      </w:r>
    </w:p>
    <w:p>
      <w:pPr>
        <w:spacing w:after="0" w:line="206"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231F20"/>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206" w:lineRule="exact"/>
        <w:rPr>
          <w:sz w:val="20"/>
          <w:szCs w:val="20"/>
          <w:color w:val="auto"/>
        </w:rPr>
      </w:pPr>
    </w:p>
    <w:p>
      <w:pPr>
        <w:ind w:right="20" w:firstLine="245"/>
        <w:spacing w:after="0" w:line="258" w:lineRule="auto"/>
        <w:rPr>
          <w:sz w:val="20"/>
          <w:szCs w:val="20"/>
          <w:color w:val="auto"/>
        </w:rPr>
      </w:pPr>
      <w:r>
        <w:rPr>
          <w:rFonts w:ascii="Times New Roman" w:cs="Times New Roman" w:eastAsia="Times New Roman" w:hAnsi="Times New Roman"/>
          <w:sz w:val="20"/>
          <w:szCs w:val="20"/>
          <w:color w:val="231F20"/>
        </w:rPr>
        <w:t>As of December 31, 2023, we had $1,837.2 million principal amount of outstanding indebtedness, which had an annualized interest cost of 7.8% under the terms of our debt, excluding fees (such as fees on undrawn amounts and amortization of upfront fees) and giving effect to the swap-adjusted interest rates on our 2024 Notes, 2026 Notes and 2028 Notes.</w:t>
      </w:r>
    </w:p>
    <w:p>
      <w:pPr>
        <w:spacing w:after="0" w:line="188" w:lineRule="exact"/>
        <w:rPr>
          <w:sz w:val="20"/>
          <w:szCs w:val="20"/>
          <w:color w:val="auto"/>
        </w:rPr>
      </w:pPr>
    </w:p>
    <w:p>
      <w:pPr>
        <w:ind w:right="140" w:firstLine="245"/>
        <w:spacing w:after="0" w:line="258" w:lineRule="auto"/>
        <w:rPr>
          <w:sz w:val="20"/>
          <w:szCs w:val="20"/>
          <w:color w:val="auto"/>
        </w:rPr>
      </w:pPr>
      <w:r>
        <w:rPr>
          <w:rFonts w:ascii="Times New Roman" w:cs="Times New Roman" w:eastAsia="Times New Roman" w:hAnsi="Times New Roman"/>
          <w:sz w:val="20"/>
          <w:szCs w:val="20"/>
          <w:color w:val="231F20"/>
        </w:rPr>
        <w:t>As of December 31, 2023, as adjusted to give effect to the interest rate swaps, the interest rate on the 2024 Notes was three-month SOFR plus 2.54% (on a weighted-average basis), the interest rate on the 2026 Notes was three-month SOFR plus 2.17%, and the interest rate on the 2028 Notes was three-month SOFR plus 2.99%.</w:t>
      </w:r>
    </w:p>
    <w:p>
      <w:pPr>
        <w:spacing w:after="0" w:line="188" w:lineRule="exact"/>
        <w:rPr>
          <w:sz w:val="20"/>
          <w:szCs w:val="20"/>
          <w:color w:val="auto"/>
        </w:rPr>
      </w:pPr>
    </w:p>
    <w:p>
      <w:pPr>
        <w:ind w:right="140" w:firstLine="245"/>
        <w:spacing w:after="0" w:line="277" w:lineRule="auto"/>
        <w:rPr>
          <w:sz w:val="20"/>
          <w:szCs w:val="20"/>
          <w:color w:val="auto"/>
        </w:rPr>
      </w:pPr>
      <w:r>
        <w:rPr>
          <w:rFonts w:ascii="Times New Roman" w:cs="Times New Roman" w:eastAsia="Times New Roman" w:hAnsi="Times New Roman"/>
          <w:sz w:val="20"/>
          <w:szCs w:val="20"/>
          <w:color w:val="231F20"/>
        </w:rPr>
        <w:t>For us to cover these annualized interest payments on indebtedness, we must achieve annual returns on our investments of at least 4.4%. Since we generally pay interest at a floating rate on our debt, an increase in interest rates will generally increase our borrowing</w:t>
      </w:r>
    </w:p>
    <w:p>
      <w:pPr>
        <w:sectPr>
          <w:pgSz w:w="12240" w:h="15840" w:orient="portrait"/>
          <w:cols w:equalWidth="0" w:num="1">
            <w:col w:w="10800"/>
          </w:cols>
          <w:pgMar w:left="720" w:top="930" w:right="720" w:bottom="175"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2240" w:h="15840" w:orient="portrait"/>
          <w:cols w:equalWidth="0" w:num="1">
            <w:col w:w="10800"/>
          </w:cols>
          <w:pgMar w:left="720" w:top="930" w:right="720" w:bottom="175" w:gutter="0" w:footer="0" w:header="0"/>
          <w:type w:val="continuous"/>
        </w:sectPr>
      </w:pPr>
    </w:p>
    <w:bookmarkStart w:id="30" w:name="page31"/>
    <w:bookmarkEnd w:id="30"/>
    <w:p>
      <w:pPr>
        <w:ind w:right="640"/>
        <w:spacing w:after="0" w:line="277" w:lineRule="auto"/>
        <w:rPr>
          <w:sz w:val="20"/>
          <w:szCs w:val="20"/>
          <w:color w:val="auto"/>
        </w:rPr>
      </w:pPr>
      <w:r>
        <w:rPr>
          <w:rFonts w:ascii="Times New Roman" w:cs="Times New Roman" w:eastAsia="Times New Roman" w:hAnsi="Times New Roman"/>
          <w:sz w:val="20"/>
          <w:szCs w:val="20"/>
          <w:color w:val="231F20"/>
        </w:rPr>
        <w:t>costs. We expect that our annualized interest cost and returns required to cover interest will increase if we issue additional debt securities.</w:t>
      </w:r>
    </w:p>
    <w:p>
      <w:pPr>
        <w:spacing w:after="0" w:line="161" w:lineRule="exact"/>
        <w:rPr>
          <w:sz w:val="20"/>
          <w:szCs w:val="20"/>
          <w:color w:val="auto"/>
        </w:rPr>
      </w:pPr>
    </w:p>
    <w:p>
      <w:pPr>
        <w:ind w:right="20" w:firstLine="245"/>
        <w:spacing w:after="0" w:line="239" w:lineRule="auto"/>
        <w:rPr>
          <w:sz w:val="20"/>
          <w:szCs w:val="20"/>
          <w:color w:val="auto"/>
        </w:rPr>
      </w:pPr>
      <w:r>
        <w:rPr>
          <w:rFonts w:ascii="Times New Roman" w:cs="Times New Roman" w:eastAsia="Times New Roman" w:hAnsi="Times New Roman"/>
          <w:sz w:val="20"/>
          <w:szCs w:val="20"/>
          <w:color w:val="231F20"/>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Effects of Leverage Based on Actual Amount of Borrowings Incurred by us as of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rPr>
              <w:t>Assumed Return on Our Portfolio</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4"/>
        </w:trPr>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 xml:space="preserve">(net of expenses) </w:t>
            </w:r>
            <w:r>
              <w:rPr>
                <w:rFonts w:ascii="Times New Roman" w:cs="Times New Roman" w:eastAsia="Times New Roman" w:hAnsi="Times New Roman"/>
                <w:sz w:val="10"/>
                <w:szCs w:val="10"/>
                <w:b w:val="1"/>
                <w:bCs w:val="1"/>
                <w:color w:val="231F20"/>
                <w:w w:val="97"/>
              </w:rPr>
              <w:t>(1)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48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-10%</w:t>
            </w: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231F20"/>
              </w:rPr>
              <w:t>-5%</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0%</w:t>
            </w:r>
          </w:p>
        </w:tc>
        <w:tc>
          <w:tcPr>
            <w:tcW w:w="100" w:type="dxa"/>
            <w:vAlign w:val="bottom"/>
          </w:tcPr>
          <w:p>
            <w:pPr>
              <w:spacing w:after="0"/>
              <w:rPr>
                <w:sz w:val="17"/>
                <w:szCs w:val="17"/>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231F20"/>
              </w:rPr>
              <w:t>5%</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10%</w:t>
            </w:r>
          </w:p>
        </w:tc>
      </w:tr>
      <w:tr>
        <w:trPr>
          <w:trHeight w:val="230"/>
        </w:trPr>
        <w:tc>
          <w:tcPr>
            <w:tcW w:w="4800" w:type="dxa"/>
            <w:vAlign w:val="bottom"/>
            <w:tcBorders>
              <w:top w:val="single" w:sz="8" w:color="CDECFC"/>
            </w:tcBorders>
            <w:shd w:val="clear" w:color="auto" w:fill="CDECFC"/>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Corresponding return to stockholder </w:t>
            </w:r>
            <w:r>
              <w:rPr>
                <w:rFonts w:ascii="Times New Roman" w:cs="Times New Roman" w:eastAsia="Times New Roman" w:hAnsi="Times New Roman"/>
                <w:sz w:val="26"/>
                <w:szCs w:val="26"/>
                <w:color w:val="231F20"/>
                <w:vertAlign w:val="superscript"/>
              </w:rPr>
              <w:t>(2)</w:t>
            </w:r>
          </w:p>
        </w:tc>
        <w:tc>
          <w:tcPr>
            <w:tcW w:w="100" w:type="dxa"/>
            <w:vAlign w:val="bottom"/>
            <w:tcBorders>
              <w:top w:val="single" w:sz="8" w:color="CDECFC"/>
            </w:tcBorders>
            <w:shd w:val="clear" w:color="auto" w:fill="CDECFC"/>
          </w:tcPr>
          <w:p>
            <w:pPr>
              <w:spacing w:after="0"/>
              <w:rPr>
                <w:sz w:val="19"/>
                <w:szCs w:val="19"/>
                <w:color w:val="auto"/>
              </w:rPr>
            </w:pPr>
          </w:p>
        </w:tc>
        <w:tc>
          <w:tcPr>
            <w:tcW w:w="1100" w:type="dxa"/>
            <w:vAlign w:val="bottom"/>
            <w:tcBorders>
              <w:top w:val="single" w:sz="8" w:color="231F20"/>
            </w:tcBorders>
            <w:shd w:val="clear" w:color="auto" w:fill="CDECFC"/>
          </w:tcPr>
          <w:p>
            <w:pPr>
              <w:jc w:val="right"/>
              <w:ind w:right="120"/>
              <w:spacing w:after="0"/>
              <w:rPr>
                <w:sz w:val="20"/>
                <w:szCs w:val="20"/>
                <w:color w:val="auto"/>
              </w:rPr>
            </w:pPr>
            <w:r>
              <w:rPr>
                <w:rFonts w:ascii="Times New Roman" w:cs="Times New Roman" w:eastAsia="Times New Roman" w:hAnsi="Times New Roman"/>
                <w:sz w:val="20"/>
                <w:szCs w:val="20"/>
                <w:color w:val="231F20"/>
              </w:rPr>
              <w:t>(31.9%)</w:t>
            </w:r>
          </w:p>
        </w:tc>
        <w:tc>
          <w:tcPr>
            <w:tcW w:w="100" w:type="dxa"/>
            <w:vAlign w:val="bottom"/>
            <w:tcBorders>
              <w:top w:val="single" w:sz="8" w:color="CDECFC"/>
            </w:tcBorders>
            <w:shd w:val="clear" w:color="auto" w:fill="CDECFC"/>
          </w:tcPr>
          <w:p>
            <w:pPr>
              <w:spacing w:after="0"/>
              <w:rPr>
                <w:sz w:val="19"/>
                <w:szCs w:val="19"/>
                <w:color w:val="auto"/>
              </w:rPr>
            </w:pPr>
          </w:p>
        </w:tc>
        <w:tc>
          <w:tcPr>
            <w:tcW w:w="1100" w:type="dxa"/>
            <w:vAlign w:val="bottom"/>
            <w:tcBorders>
              <w:top w:val="single" w:sz="8" w:color="231F20"/>
            </w:tcBorders>
            <w:shd w:val="clear" w:color="auto" w:fill="CDECFC"/>
          </w:tcPr>
          <w:p>
            <w:pPr>
              <w:jc w:val="right"/>
              <w:ind w:right="130"/>
              <w:spacing w:after="0"/>
              <w:rPr>
                <w:sz w:val="20"/>
                <w:szCs w:val="20"/>
                <w:color w:val="auto"/>
              </w:rPr>
            </w:pPr>
            <w:r>
              <w:rPr>
                <w:rFonts w:ascii="Times New Roman" w:cs="Times New Roman" w:eastAsia="Times New Roman" w:hAnsi="Times New Roman"/>
                <w:sz w:val="20"/>
                <w:szCs w:val="20"/>
                <w:color w:val="231F20"/>
              </w:rPr>
              <w:t>(20.7%)</w:t>
            </w:r>
          </w:p>
        </w:tc>
        <w:tc>
          <w:tcPr>
            <w:tcW w:w="100" w:type="dxa"/>
            <w:vAlign w:val="bottom"/>
            <w:tcBorders>
              <w:top w:val="single" w:sz="8" w:color="CDECFC"/>
            </w:tcBorders>
            <w:shd w:val="clear" w:color="auto" w:fill="CDECFC"/>
          </w:tcPr>
          <w:p>
            <w:pPr>
              <w:spacing w:after="0"/>
              <w:rPr>
                <w:sz w:val="19"/>
                <w:szCs w:val="19"/>
                <w:color w:val="auto"/>
              </w:rPr>
            </w:pPr>
          </w:p>
        </w:tc>
        <w:tc>
          <w:tcPr>
            <w:tcW w:w="1100" w:type="dxa"/>
            <w:vAlign w:val="bottom"/>
            <w:tcBorders>
              <w:top w:val="single" w:sz="8" w:color="231F20"/>
            </w:tcBorders>
            <w:shd w:val="clear" w:color="auto" w:fill="CDECFC"/>
          </w:tcPr>
          <w:p>
            <w:pPr>
              <w:jc w:val="right"/>
              <w:ind w:right="180"/>
              <w:spacing w:after="0"/>
              <w:rPr>
                <w:sz w:val="20"/>
                <w:szCs w:val="20"/>
                <w:color w:val="auto"/>
              </w:rPr>
            </w:pPr>
            <w:r>
              <w:rPr>
                <w:rFonts w:ascii="Times New Roman" w:cs="Times New Roman" w:eastAsia="Times New Roman" w:hAnsi="Times New Roman"/>
                <w:sz w:val="20"/>
                <w:szCs w:val="20"/>
                <w:color w:val="231F20"/>
              </w:rPr>
              <w:t>(9.6%)</w:t>
            </w:r>
          </w:p>
        </w:tc>
        <w:tc>
          <w:tcPr>
            <w:tcW w:w="100" w:type="dxa"/>
            <w:vAlign w:val="bottom"/>
            <w:tcBorders>
              <w:top w:val="single" w:sz="8" w:color="CDECFC"/>
            </w:tcBorders>
            <w:shd w:val="clear" w:color="auto" w:fill="CDECFC"/>
          </w:tcPr>
          <w:p>
            <w:pPr>
              <w:spacing w:after="0"/>
              <w:rPr>
                <w:sz w:val="19"/>
                <w:szCs w:val="19"/>
                <w:color w:val="auto"/>
              </w:rPr>
            </w:pPr>
          </w:p>
        </w:tc>
        <w:tc>
          <w:tcPr>
            <w:tcW w:w="1100" w:type="dxa"/>
            <w:vAlign w:val="bottom"/>
            <w:tcBorders>
              <w:top w:val="single" w:sz="8" w:color="231F20"/>
            </w:tcBorders>
            <w:shd w:val="clear" w:color="auto" w:fill="CDECFC"/>
          </w:tcPr>
          <w:p>
            <w:pPr>
              <w:jc w:val="right"/>
              <w:ind w:right="250"/>
              <w:spacing w:after="0"/>
              <w:rPr>
                <w:sz w:val="20"/>
                <w:szCs w:val="20"/>
                <w:color w:val="auto"/>
              </w:rPr>
            </w:pPr>
            <w:r>
              <w:rPr>
                <w:rFonts w:ascii="Times New Roman" w:cs="Times New Roman" w:eastAsia="Times New Roman" w:hAnsi="Times New Roman"/>
                <w:sz w:val="20"/>
                <w:szCs w:val="20"/>
                <w:color w:val="231F20"/>
              </w:rPr>
              <w:t>1.6%</w:t>
            </w:r>
          </w:p>
        </w:tc>
        <w:tc>
          <w:tcPr>
            <w:tcW w:w="100" w:type="dxa"/>
            <w:vAlign w:val="bottom"/>
            <w:tcBorders>
              <w:top w:val="single" w:sz="8" w:color="CDECFC"/>
            </w:tcBorders>
            <w:shd w:val="clear" w:color="auto" w:fill="CDECFC"/>
          </w:tcPr>
          <w:p>
            <w:pPr>
              <w:spacing w:after="0"/>
              <w:rPr>
                <w:sz w:val="19"/>
                <w:szCs w:val="19"/>
                <w:color w:val="auto"/>
              </w:rPr>
            </w:pPr>
          </w:p>
        </w:tc>
        <w:tc>
          <w:tcPr>
            <w:tcW w:w="1100" w:type="dxa"/>
            <w:vAlign w:val="bottom"/>
            <w:tcBorders>
              <w:top w:val="single" w:sz="8" w:color="231F20"/>
            </w:tcBorders>
            <w:shd w:val="clear" w:color="auto" w:fill="CDECFC"/>
          </w:tcPr>
          <w:p>
            <w:pPr>
              <w:jc w:val="right"/>
              <w:ind w:right="180"/>
              <w:spacing w:after="0"/>
              <w:rPr>
                <w:sz w:val="20"/>
                <w:szCs w:val="20"/>
                <w:color w:val="auto"/>
              </w:rPr>
            </w:pPr>
            <w:r>
              <w:rPr>
                <w:rFonts w:ascii="Times New Roman" w:cs="Times New Roman" w:eastAsia="Times New Roman" w:hAnsi="Times New Roman"/>
                <w:sz w:val="20"/>
                <w:szCs w:val="20"/>
                <w:color w:val="231F20"/>
              </w:rPr>
              <w:t>12.8%</w:t>
            </w:r>
          </w:p>
        </w:tc>
      </w:tr>
    </w:tbl>
    <w:p>
      <w:pPr>
        <w:spacing w:after="0" w:line="211" w:lineRule="exact"/>
        <w:rPr>
          <w:sz w:val="20"/>
          <w:szCs w:val="20"/>
          <w:color w:val="auto"/>
        </w:rPr>
      </w:pPr>
    </w:p>
    <w:p>
      <w:pPr>
        <w:ind w:left="500" w:right="160" w:hanging="500"/>
        <w:spacing w:after="0" w:line="247" w:lineRule="auto"/>
        <w:tabs>
          <w:tab w:leader="none" w:pos="500"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2023. As a result, it has not been updated to take into account any changes in assets or leverage since December 31, 2023.</w:t>
      </w:r>
    </w:p>
    <w:p>
      <w:pPr>
        <w:spacing w:after="0" w:line="1" w:lineRule="exact"/>
        <w:rPr>
          <w:rFonts w:ascii="Times New Roman" w:cs="Times New Roman" w:eastAsia="Times New Roman" w:hAnsi="Times New Roman"/>
          <w:sz w:val="20"/>
          <w:szCs w:val="20"/>
          <w:color w:val="231F20"/>
        </w:rPr>
      </w:pPr>
    </w:p>
    <w:p>
      <w:pPr>
        <w:ind w:left="500" w:right="20" w:hanging="500"/>
        <w:spacing w:after="0" w:line="258" w:lineRule="auto"/>
        <w:tabs>
          <w:tab w:leader="none" w:pos="500" w:val="left"/>
        </w:tabs>
        <w:numPr>
          <w:ilvl w:val="0"/>
          <w:numId w:val="3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order to compute the “Corresponding return to stockholder,” the “Assumed Return on Our Portfolio” is multiplied by the total value of our assets at December 31, 2023 to obtain an assumed return to us. From this amount, the interest expense (calculated by multiplying the weighted average annualized stated interest rate of 7.79% by the approximately $1,837.2 million of principal debt outstanding) is subtracted to determine the return available to stockholders. The return available to stockholders is then divided by the total value of our net assets as of December 31, 2023 to determine the “Corresponding return to stockholder.”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indebtedness could adversely affect our business, financial conditions or results of operations.</w:t>
      </w:r>
    </w:p>
    <w:p>
      <w:pPr>
        <w:spacing w:after="0" w:line="107" w:lineRule="exact"/>
        <w:rPr>
          <w:sz w:val="20"/>
          <w:szCs w:val="20"/>
          <w:color w:val="auto"/>
        </w:rPr>
      </w:pPr>
    </w:p>
    <w:p>
      <w:pPr>
        <w:ind w:firstLine="245"/>
        <w:spacing w:after="0" w:line="233" w:lineRule="auto"/>
        <w:rPr>
          <w:sz w:val="20"/>
          <w:szCs w:val="20"/>
          <w:color w:val="auto"/>
        </w:rPr>
      </w:pPr>
      <w:r>
        <w:rPr>
          <w:rFonts w:ascii="Times New Roman" w:cs="Times New Roman" w:eastAsia="Times New Roman" w:hAnsi="Times New Roman"/>
          <w:sz w:val="20"/>
          <w:szCs w:val="20"/>
          <w:color w:val="231F20"/>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Legislation allows us to incur additional leverage.</w:t>
      </w:r>
    </w:p>
    <w:p>
      <w:pPr>
        <w:spacing w:after="0" w:line="107" w:lineRule="exact"/>
        <w:rPr>
          <w:sz w:val="20"/>
          <w:szCs w:val="20"/>
          <w:color w:val="auto"/>
        </w:rPr>
      </w:pPr>
    </w:p>
    <w:p>
      <w:pPr>
        <w:ind w:firstLine="245"/>
        <w:spacing w:after="0" w:line="236" w:lineRule="auto"/>
        <w:rPr>
          <w:sz w:val="20"/>
          <w:szCs w:val="20"/>
          <w:color w:val="auto"/>
        </w:rPr>
      </w:pPr>
      <w:r>
        <w:rPr>
          <w:rFonts w:ascii="Times New Roman" w:cs="Times New Roman" w:eastAsia="Times New Roman" w:hAnsi="Times New Roman"/>
          <w:sz w:val="20"/>
          <w:szCs w:val="20"/>
          <w:color w:val="231F20"/>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92" w:lineRule="exact"/>
        <w:rPr>
          <w:sz w:val="20"/>
          <w:szCs w:val="20"/>
          <w:color w:val="auto"/>
        </w:rPr>
      </w:pPr>
    </w:p>
    <w:p>
      <w:pPr>
        <w:ind w:firstLine="245"/>
        <w:spacing w:after="0" w:line="236" w:lineRule="auto"/>
        <w:rPr>
          <w:sz w:val="20"/>
          <w:szCs w:val="20"/>
          <w:color w:val="auto"/>
        </w:rPr>
      </w:pPr>
      <w:r>
        <w:rPr>
          <w:rFonts w:ascii="Times New Roman" w:cs="Times New Roman" w:eastAsia="Times New Roman" w:hAnsi="Times New Roman"/>
          <w:sz w:val="20"/>
          <w:szCs w:val="20"/>
          <w:color w:val="231F20"/>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92" w:lineRule="exact"/>
        <w:rPr>
          <w:sz w:val="20"/>
          <w:szCs w:val="20"/>
          <w:color w:val="auto"/>
        </w:rPr>
      </w:pPr>
    </w:p>
    <w:p>
      <w:pPr>
        <w:jc w:val="both"/>
        <w:ind w:right="140" w:firstLine="245"/>
        <w:spacing w:after="0" w:line="238" w:lineRule="auto"/>
        <w:rPr>
          <w:sz w:val="20"/>
          <w:szCs w:val="20"/>
          <w:color w:val="auto"/>
        </w:rPr>
      </w:pPr>
      <w:r>
        <w:rPr>
          <w:rFonts w:ascii="Times New Roman" w:cs="Times New Roman" w:eastAsia="Times New Roman" w:hAnsi="Times New Roman"/>
          <w:sz w:val="20"/>
          <w:szCs w:val="20"/>
          <w:color w:val="231F20"/>
        </w:rPr>
        <w:t>As a result, you may face increased investment risk. We may not be able to implement our strategy to utilize additional leverage successfully. See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i w:val="1"/>
          <w:iCs w:val="1"/>
          <w:color w:val="231F20"/>
        </w:rPr>
        <w:t>We operate in a highly competitive environment for investment opportunities</w:t>
      </w:r>
      <w:r>
        <w:rPr>
          <w:rFonts w:ascii="Times New Roman" w:cs="Times New Roman" w:eastAsia="Times New Roman" w:hAnsi="Times New Roman"/>
          <w:sz w:val="20"/>
          <w:szCs w:val="20"/>
          <w:color w:val="231F20"/>
        </w:rPr>
        <w:t>.” Any impact on returns or equity or our business associated with additional leverage may not outweigh the additional risk. See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i w:val="1"/>
          <w:iCs w:val="1"/>
          <w:color w:val="231F20"/>
        </w:rPr>
        <w:t>We borrow money, which magnifies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the potential for gain or loss and increases the risk of investing in us.</w:t>
      </w:r>
      <w:r>
        <w:rPr>
          <w:rFonts w:ascii="Times New Roman" w:cs="Times New Roman" w:eastAsia="Times New Roman" w:hAnsi="Times New Roman"/>
          <w:sz w:val="20"/>
          <w:szCs w:val="20"/>
          <w:color w:val="231F20"/>
        </w:rPr>
        <w: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operate in a highly competitive market for investment opportunities.</w:t>
      </w:r>
    </w:p>
    <w:p>
      <w:pPr>
        <w:spacing w:after="0" w:line="107" w:lineRule="exact"/>
        <w:rPr>
          <w:sz w:val="20"/>
          <w:szCs w:val="20"/>
          <w:color w:val="auto"/>
        </w:rPr>
      </w:pPr>
    </w:p>
    <w:p>
      <w:pPr>
        <w:ind w:right="100" w:firstLine="245"/>
        <w:spacing w:after="0" w:line="255" w:lineRule="auto"/>
        <w:rPr>
          <w:sz w:val="20"/>
          <w:szCs w:val="20"/>
          <w:color w:val="auto"/>
        </w:rPr>
      </w:pPr>
      <w:r>
        <w:rPr>
          <w:rFonts w:ascii="Times New Roman" w:cs="Times New Roman" w:eastAsia="Times New Roman" w:hAnsi="Times New Roman"/>
          <w:sz w:val="19"/>
          <w:szCs w:val="19"/>
          <w:color w:val="231F20"/>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w:t>
      </w:r>
    </w:p>
    <w:p>
      <w:pPr>
        <w:sectPr>
          <w:pgSz w:w="12240" w:h="15840" w:orient="portrait"/>
          <w:cols w:equalWidth="0" w:num="1">
            <w:col w:w="10800"/>
          </w:cols>
          <w:pgMar w:left="720" w:top="930" w:right="720" w:bottom="175" w:gutter="0" w:footer="0" w:header="0"/>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2240" w:h="15840" w:orient="portrait"/>
          <w:cols w:equalWidth="0" w:num="1">
            <w:col w:w="10800"/>
          </w:cols>
          <w:pgMar w:left="720" w:top="930" w:right="720" w:bottom="175" w:gutter="0" w:footer="0" w:header="0"/>
          <w:type w:val="continuous"/>
        </w:sectPr>
      </w:pPr>
    </w:p>
    <w:bookmarkStart w:id="31" w:name="page32"/>
    <w:bookmarkEnd w:id="31"/>
    <w:p>
      <w:pPr>
        <w:ind w:right="100"/>
        <w:spacing w:after="0" w:line="238" w:lineRule="auto"/>
        <w:rPr>
          <w:sz w:val="20"/>
          <w:szCs w:val="20"/>
          <w:color w:val="auto"/>
        </w:rPr>
      </w:pPr>
      <w:r>
        <w:rPr>
          <w:rFonts w:ascii="Times New Roman" w:cs="Times New Roman" w:eastAsia="Times New Roman" w:hAnsi="Times New Roman"/>
          <w:sz w:val="20"/>
          <w:szCs w:val="20"/>
          <w:color w:val="231F20"/>
        </w:rPr>
        <w:t>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97" w:lineRule="exact"/>
        <w:rPr>
          <w:sz w:val="20"/>
          <w:szCs w:val="20"/>
          <w:color w:val="auto"/>
        </w:rPr>
      </w:pPr>
    </w:p>
    <w:p>
      <w:pPr>
        <w:ind w:right="60" w:firstLine="245"/>
        <w:spacing w:after="0" w:line="237" w:lineRule="auto"/>
        <w:rPr>
          <w:sz w:val="20"/>
          <w:szCs w:val="20"/>
          <w:color w:val="auto"/>
        </w:rPr>
      </w:pPr>
      <w:r>
        <w:rPr>
          <w:rFonts w:ascii="Times New Roman" w:cs="Times New Roman" w:eastAsia="Times New Roman" w:hAnsi="Times New Roman"/>
          <w:sz w:val="20"/>
          <w:szCs w:val="20"/>
          <w:color w:val="231F20"/>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32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source investments, access financing or manage future growth effectively, we may be unable to achieve our investment objective.</w:t>
      </w:r>
    </w:p>
    <w:p>
      <w:pPr>
        <w:spacing w:after="0" w:line="49" w:lineRule="exact"/>
        <w:rPr>
          <w:sz w:val="20"/>
          <w:szCs w:val="20"/>
          <w:color w:val="auto"/>
        </w:rPr>
      </w:pPr>
    </w:p>
    <w:p>
      <w:pPr>
        <w:ind w:right="20" w:firstLine="245"/>
        <w:spacing w:after="0" w:line="235" w:lineRule="auto"/>
        <w:rPr>
          <w:sz w:val="20"/>
          <w:szCs w:val="20"/>
          <w:color w:val="auto"/>
        </w:rPr>
      </w:pPr>
      <w:r>
        <w:rPr>
          <w:rFonts w:ascii="Times New Roman" w:cs="Times New Roman" w:eastAsia="Times New Roman" w:hAnsi="Times New Roman"/>
          <w:sz w:val="20"/>
          <w:szCs w:val="20"/>
          <w:color w:val="231F20"/>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202" w:lineRule="exact"/>
        <w:rPr>
          <w:sz w:val="20"/>
          <w:szCs w:val="20"/>
          <w:color w:val="auto"/>
        </w:rPr>
      </w:pPr>
    </w:p>
    <w:p>
      <w:pPr>
        <w:ind w:right="40" w:firstLine="245"/>
        <w:spacing w:after="0" w:line="242" w:lineRule="auto"/>
        <w:rPr>
          <w:sz w:val="20"/>
          <w:szCs w:val="20"/>
          <w:color w:val="auto"/>
        </w:rPr>
      </w:pPr>
      <w:r>
        <w:rPr>
          <w:rFonts w:ascii="Times New Roman" w:cs="Times New Roman" w:eastAsia="Times New Roman" w:hAnsi="Times New Roman"/>
          <w:sz w:val="20"/>
          <w:szCs w:val="20"/>
          <w:color w:val="231F20"/>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31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Even in the event the value of your investment declines, the Management Fee and, in certain circumstances, the Incentive Fee will still be payable to the Adviser.</w:t>
      </w:r>
    </w:p>
    <w:p>
      <w:pPr>
        <w:spacing w:after="0" w:line="49" w:lineRule="exact"/>
        <w:rPr>
          <w:sz w:val="20"/>
          <w:szCs w:val="20"/>
          <w:color w:val="auto"/>
        </w:rPr>
      </w:pPr>
    </w:p>
    <w:p>
      <w:pPr>
        <w:ind w:right="40" w:firstLine="245"/>
        <w:spacing w:after="0" w:line="236" w:lineRule="auto"/>
        <w:rPr>
          <w:sz w:val="20"/>
          <w:szCs w:val="20"/>
          <w:color w:val="auto"/>
        </w:rPr>
      </w:pPr>
      <w:r>
        <w:rPr>
          <w:rFonts w:ascii="Times New Roman" w:cs="Times New Roman" w:eastAsia="Times New Roman" w:hAnsi="Times New Roman"/>
          <w:sz w:val="20"/>
          <w:szCs w:val="20"/>
          <w:color w:val="231F20"/>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20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9"/>
          <w:szCs w:val="19"/>
          <w:color w:val="231F20"/>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90" w:lineRule="exact"/>
        <w:rPr>
          <w:sz w:val="20"/>
          <w:szCs w:val="20"/>
          <w:color w:val="auto"/>
        </w:rPr>
      </w:pPr>
    </w:p>
    <w:p>
      <w:pPr>
        <w:ind w:right="20" w:firstLine="245"/>
        <w:spacing w:after="0" w:line="239" w:lineRule="auto"/>
        <w:rPr>
          <w:sz w:val="20"/>
          <w:szCs w:val="20"/>
          <w:color w:val="auto"/>
        </w:rPr>
      </w:pPr>
      <w:r>
        <w:rPr>
          <w:rFonts w:ascii="Times New Roman" w:cs="Times New Roman" w:eastAsia="Times New Roman" w:hAnsi="Times New Roman"/>
          <w:sz w:val="20"/>
          <w:szCs w:val="20"/>
          <w:color w:val="231F20"/>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205"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231F20"/>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w:t>
      </w:r>
    </w:p>
    <w:p>
      <w:pPr>
        <w:sectPr>
          <w:pgSz w:w="12240" w:h="15840" w:orient="portrait"/>
          <w:cols w:equalWidth="0" w:num="1">
            <w:col w:w="10760"/>
          </w:cols>
          <w:pgMar w:left="720" w:top="919" w:right="760" w:bottom="175"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32</w:t>
      </w:r>
    </w:p>
    <w:p>
      <w:pPr>
        <w:sectPr>
          <w:pgSz w:w="12240" w:h="15840" w:orient="portrait"/>
          <w:cols w:equalWidth="0" w:num="1">
            <w:col w:w="10760"/>
          </w:cols>
          <w:pgMar w:left="720" w:top="919" w:right="760" w:bottom="175" w:gutter="0" w:footer="0" w:header="0"/>
          <w:type w:val="continuous"/>
        </w:sectPr>
      </w:pPr>
    </w:p>
    <w:bookmarkStart w:id="32" w:name="page33"/>
    <w:bookmarkEnd w:id="32"/>
    <w:p>
      <w:pPr>
        <w:ind w:right="300"/>
        <w:spacing w:after="0" w:line="277" w:lineRule="auto"/>
        <w:rPr>
          <w:sz w:val="20"/>
          <w:szCs w:val="20"/>
          <w:color w:val="auto"/>
        </w:rPr>
      </w:pPr>
      <w:r>
        <w:rPr>
          <w:rFonts w:ascii="Times New Roman" w:cs="Times New Roman" w:eastAsia="Times New Roman" w:hAnsi="Times New Roman"/>
          <w:sz w:val="20"/>
          <w:szCs w:val="20"/>
          <w:color w:val="231F20"/>
        </w:rPr>
        <w:t>producing investments. Such a practice could result in our making more speculative investments than would otherwise be the case, which could result in higher investment losses, particularly during cyclical economic downturns.</w:t>
      </w:r>
    </w:p>
    <w:p>
      <w:pPr>
        <w:spacing w:after="0" w:line="28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To the extent that we do not realize income or choose not to retain after-tax realized net capital gains, we will have a greater need for additional capital to fund our investments and operating expenses.</w:t>
      </w:r>
    </w:p>
    <w:p>
      <w:pPr>
        <w:spacing w:after="0" w:line="49"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231F20"/>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322"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will be subject to corporate-level U.S. federal income tax if we are unable to maintain our qualification as a RIC under Subchapter M of the Code, including as a result of our failure to satisfy the RIC distribution requirements.</w:t>
      </w:r>
    </w:p>
    <w:p>
      <w:pPr>
        <w:spacing w:after="0" w:line="49"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231F20"/>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91" w:lineRule="exact"/>
        <w:rPr>
          <w:sz w:val="20"/>
          <w:szCs w:val="20"/>
          <w:color w:val="auto"/>
        </w:rPr>
      </w:pPr>
    </w:p>
    <w:p>
      <w:pPr>
        <w:ind w:left="500" w:right="220" w:hanging="255"/>
        <w:spacing w:after="0" w:line="276" w:lineRule="auto"/>
        <w:tabs>
          <w:tab w:leader="none" w:pos="5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We must distribute (or be treated as distributing) dividends for tax purposes in each taxable year equal to at least 90% of each of:</w:t>
      </w:r>
    </w:p>
    <w:p>
      <w:pPr>
        <w:spacing w:after="0" w:line="64" w:lineRule="exact"/>
        <w:rPr>
          <w:rFonts w:ascii="Arial" w:cs="Arial" w:eastAsia="Arial" w:hAnsi="Arial"/>
          <w:sz w:val="20"/>
          <w:szCs w:val="20"/>
          <w:color w:val="231F20"/>
        </w:rPr>
      </w:pPr>
    </w:p>
    <w:p>
      <w:pPr>
        <w:ind w:left="500" w:hanging="255"/>
        <w:spacing w:after="0" w:line="276" w:lineRule="auto"/>
        <w:tabs>
          <w:tab w:leader="none" w:pos="5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sum of our net ordinary income and realized net short-term capital gains in excess of realized net long-term capital losses or, investment company taxable income, if any, for that taxable year; and</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net tax-exempt income for that taxable year.</w:t>
      </w:r>
    </w:p>
    <w:p>
      <w:pPr>
        <w:spacing w:after="0" w:line="239" w:lineRule="exact"/>
        <w:rPr>
          <w:sz w:val="20"/>
          <w:szCs w:val="20"/>
          <w:color w:val="auto"/>
        </w:rPr>
      </w:pPr>
    </w:p>
    <w:p>
      <w:pPr>
        <w:ind w:right="40" w:firstLine="245"/>
        <w:spacing w:after="0" w:line="249" w:lineRule="auto"/>
        <w:rPr>
          <w:sz w:val="20"/>
          <w:szCs w:val="20"/>
          <w:color w:val="auto"/>
        </w:rPr>
      </w:pPr>
      <w:r>
        <w:rPr>
          <w:rFonts w:ascii="Times New Roman" w:cs="Times New Roman" w:eastAsia="Times New Roman" w:hAnsi="Times New Roman"/>
          <w:sz w:val="20"/>
          <w:szCs w:val="20"/>
          <w:color w:val="231F20"/>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91" w:lineRule="exact"/>
        <w:rPr>
          <w:sz w:val="20"/>
          <w:szCs w:val="20"/>
          <w:color w:val="auto"/>
        </w:rPr>
      </w:pPr>
    </w:p>
    <w:p>
      <w:pPr>
        <w:ind w:left="500" w:right="140" w:hanging="255"/>
        <w:spacing w:after="0" w:line="276" w:lineRule="auto"/>
        <w:tabs>
          <w:tab w:leader="none" w:pos="50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We must derive at least 90% of our gross income for each taxable year from dividends, interest, gains from the sale of or other disposition of stock or securities or similar sources.</w:t>
      </w:r>
    </w:p>
    <w:p>
      <w:pPr>
        <w:spacing w:after="0" w:line="64" w:lineRule="exact"/>
        <w:rPr>
          <w:rFonts w:ascii="Arial" w:cs="Arial" w:eastAsia="Arial" w:hAnsi="Arial"/>
          <w:sz w:val="20"/>
          <w:szCs w:val="20"/>
          <w:color w:val="231F20"/>
        </w:rPr>
      </w:pPr>
    </w:p>
    <w:p>
      <w:pPr>
        <w:ind w:left="500" w:right="360" w:hanging="255"/>
        <w:spacing w:after="0" w:line="252" w:lineRule="auto"/>
        <w:tabs>
          <w:tab w:leader="none" w:pos="50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93" w:lineRule="exact"/>
        <w:rPr>
          <w:sz w:val="20"/>
          <w:szCs w:val="20"/>
          <w:color w:val="auto"/>
        </w:rPr>
      </w:pPr>
    </w:p>
    <w:p>
      <w:pPr>
        <w:ind w:right="420" w:firstLine="245"/>
        <w:spacing w:after="0" w:line="277" w:lineRule="auto"/>
        <w:rPr>
          <w:sz w:val="20"/>
          <w:szCs w:val="20"/>
          <w:color w:val="auto"/>
        </w:rPr>
      </w:pPr>
      <w:r>
        <w:rPr>
          <w:rFonts w:ascii="Times New Roman" w:cs="Times New Roman" w:eastAsia="Times New Roman" w:hAnsi="Times New Roman"/>
          <w:sz w:val="20"/>
          <w:szCs w:val="20"/>
          <w:color w:val="231F20"/>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33</w:t>
      </w:r>
    </w:p>
    <w:p>
      <w:pPr>
        <w:sectPr>
          <w:pgSz w:w="12240" w:h="15840" w:orient="portrait"/>
          <w:cols w:equalWidth="0" w:num="1">
            <w:col w:w="10760"/>
          </w:cols>
          <w:pgMar w:left="720" w:top="930" w:right="760" w:bottom="175" w:gutter="0" w:footer="0" w:header="0"/>
          <w:type w:val="continuous"/>
        </w:sectPr>
      </w:pPr>
    </w:p>
    <w:bookmarkStart w:id="33" w:name="page34"/>
    <w:bookmarkEnd w:id="33"/>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can be expected to retain some income and capital gains in excess of what is permissible for excise tax purposes and such amounts will be subject to 4% U.S. federal excise tax.</w:t>
      </w:r>
    </w:p>
    <w:p>
      <w:pPr>
        <w:spacing w:after="0" w:line="49" w:lineRule="exact"/>
        <w:rPr>
          <w:sz w:val="20"/>
          <w:szCs w:val="20"/>
          <w:color w:val="auto"/>
        </w:rPr>
      </w:pPr>
    </w:p>
    <w:p>
      <w:pPr>
        <w:ind w:right="120" w:firstLine="245"/>
        <w:spacing w:after="0" w:line="246" w:lineRule="auto"/>
        <w:rPr>
          <w:sz w:val="20"/>
          <w:szCs w:val="20"/>
          <w:color w:val="auto"/>
        </w:rPr>
      </w:pPr>
      <w:r>
        <w:rPr>
          <w:rFonts w:ascii="Times New Roman" w:cs="Times New Roman" w:eastAsia="Times New Roman" w:hAnsi="Times New Roman"/>
          <w:sz w:val="20"/>
          <w:szCs w:val="20"/>
          <w:color w:val="231F20"/>
        </w:rPr>
        <w:t>As of December 31, 2023 and 2022, we elected to retain approximately $91.6 million and $62.8 million of taxable income and capital gains, respectively, in order to provide us with additional liquidity and we recorded an expense of $2.3 million and $2.2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20"/>
          <w:szCs w:val="20"/>
          <w:i w:val="1"/>
          <w:iCs w:val="1"/>
          <w:color w:val="231F20"/>
        </w:rPr>
        <w:t>ITEM 1. BUSINESS—Regulation as a Business Development Company—Regulated Investment Company Classification</w:t>
      </w:r>
      <w:r>
        <w:rPr>
          <w:rFonts w:ascii="Times New Roman" w:cs="Times New Roman" w:eastAsia="Times New Roman" w:hAnsi="Times New Roman"/>
          <w:sz w:val="20"/>
          <w:szCs w:val="20"/>
          <w:color w:val="231F20"/>
        </w:rPr>
        <w:t>” for more information.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exposed to risks associated with changes in interest rates.</w:t>
      </w:r>
    </w:p>
    <w:p>
      <w:pPr>
        <w:spacing w:after="0" w:line="120"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231F20"/>
        </w:rPr>
        <w:t>The majority of our debt investments are based on floating rates, such as Euro Interbank Offer Rate (“EURIBOR”), Term Secured Overnight Financing Rate (“SOFR”), Sterling Overnight Index Average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82"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231F20"/>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80" w:lineRule="exact"/>
        <w:rPr>
          <w:sz w:val="20"/>
          <w:szCs w:val="20"/>
          <w:color w:val="auto"/>
        </w:rPr>
      </w:pPr>
    </w:p>
    <w:p>
      <w:pPr>
        <w:ind w:right="220" w:firstLine="245"/>
        <w:spacing w:after="0" w:line="277" w:lineRule="auto"/>
        <w:rPr>
          <w:sz w:val="20"/>
          <w:szCs w:val="20"/>
          <w:color w:val="auto"/>
        </w:rPr>
      </w:pPr>
      <w:r>
        <w:rPr>
          <w:rFonts w:ascii="Times New Roman" w:cs="Times New Roman" w:eastAsia="Times New Roman" w:hAnsi="Times New Roman"/>
          <w:sz w:val="20"/>
          <w:szCs w:val="20"/>
          <w:color w:val="231F20"/>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49" w:lineRule="exact"/>
        <w:rPr>
          <w:sz w:val="20"/>
          <w:szCs w:val="20"/>
          <w:color w:val="auto"/>
        </w:rPr>
      </w:pPr>
    </w:p>
    <w:p>
      <w:pPr>
        <w:ind w:right="820" w:firstLine="245"/>
        <w:spacing w:after="0" w:line="277" w:lineRule="auto"/>
        <w:rPr>
          <w:sz w:val="20"/>
          <w:szCs w:val="20"/>
          <w:color w:val="auto"/>
        </w:rPr>
      </w:pPr>
      <w:r>
        <w:rPr>
          <w:rFonts w:ascii="Times New Roman" w:cs="Times New Roman" w:eastAsia="Times New Roman" w:hAnsi="Times New Roman"/>
          <w:sz w:val="20"/>
          <w:szCs w:val="20"/>
          <w:color w:val="231F20"/>
        </w:rPr>
        <w:t>We may use interest rate risk management techniques in an effort to limit our exposure to interest rate fluctuations. These techniques may include various interest rate hedging activities to the extent permitted by the 1940 Act.</w:t>
      </w:r>
    </w:p>
    <w:p>
      <w:pPr>
        <w:spacing w:after="0" w:line="49" w:lineRule="exact"/>
        <w:rPr>
          <w:sz w:val="20"/>
          <w:szCs w:val="20"/>
          <w:color w:val="auto"/>
        </w:rPr>
      </w:pPr>
    </w:p>
    <w:p>
      <w:pPr>
        <w:ind w:right="540" w:firstLine="245"/>
        <w:spacing w:after="0" w:line="258" w:lineRule="auto"/>
        <w:rPr>
          <w:sz w:val="20"/>
          <w:szCs w:val="20"/>
          <w:color w:val="auto"/>
        </w:rPr>
      </w:pPr>
      <w:r>
        <w:rPr>
          <w:rFonts w:ascii="Times New Roman" w:cs="Times New Roman" w:eastAsia="Times New Roman" w:hAnsi="Times New Roman"/>
          <w:sz w:val="20"/>
          <w:szCs w:val="20"/>
          <w:color w:val="231F20"/>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68"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20"/>
          <w:szCs w:val="20"/>
          <w:color w:val="231F20"/>
        </w:rPr>
        <w:t>U.S. dollar borrowings under our Revolving Credit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such as U.S. dollar LIBOR. The use of SOFR is relatively new, and there could be unanticipated difficulties or disruptions with the calculation and publication of SOFR. Additionally, any successor rate to SOFR under our revolving credit facility may not have the same characteristics as SOFR or LIBOR. As a result, the amount of interest we may pay on our revolving credit facility is difficult to predict.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Adviser and its affiliates, officers and employees may face certain conflicts of interest.</w:t>
      </w:r>
    </w:p>
    <w:p>
      <w:pPr>
        <w:spacing w:after="0" w:line="120"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200" w:lineRule="exact"/>
        <w:rPr>
          <w:sz w:val="20"/>
          <w:szCs w:val="20"/>
          <w:color w:val="auto"/>
        </w:rPr>
      </w:pPr>
    </w:p>
    <w:p>
      <w:pPr>
        <w:ind w:right="80" w:firstLine="245"/>
        <w:spacing w:after="0" w:line="270" w:lineRule="auto"/>
        <w:rPr>
          <w:sz w:val="20"/>
          <w:szCs w:val="20"/>
          <w:color w:val="auto"/>
        </w:rPr>
      </w:pPr>
      <w:r>
        <w:rPr>
          <w:rFonts w:ascii="Times New Roman" w:cs="Times New Roman" w:eastAsia="Times New Roman" w:hAnsi="Times New Roman"/>
          <w:sz w:val="19"/>
          <w:szCs w:val="19"/>
          <w:color w:val="231F20"/>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w:t>
      </w:r>
    </w:p>
    <w:p>
      <w:pPr>
        <w:sectPr>
          <w:pgSz w:w="12240" w:h="15840" w:orient="portrait"/>
          <w:cols w:equalWidth="0" w:num="1">
            <w:col w:w="10800"/>
          </w:cols>
          <w:pgMar w:left="720" w:top="930" w:right="720" w:bottom="175"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2240" w:h="15840" w:orient="portrait"/>
          <w:cols w:equalWidth="0" w:num="1">
            <w:col w:w="10800"/>
          </w:cols>
          <w:pgMar w:left="720" w:top="930" w:right="720" w:bottom="175" w:gutter="0" w:footer="0" w:header="0"/>
          <w:type w:val="continuous"/>
        </w:sectPr>
      </w:pPr>
    </w:p>
    <w:bookmarkStart w:id="34" w:name="page35"/>
    <w:bookmarkEnd w:id="34"/>
    <w:p>
      <w:pPr>
        <w:ind w:right="240"/>
        <w:spacing w:after="0" w:line="247" w:lineRule="auto"/>
        <w:rPr>
          <w:sz w:val="20"/>
          <w:szCs w:val="20"/>
          <w:color w:val="auto"/>
        </w:rPr>
      </w:pPr>
      <w:r>
        <w:rPr>
          <w:rFonts w:ascii="Times New Roman" w:cs="Times New Roman" w:eastAsia="Times New Roman" w:hAnsi="Times New Roman"/>
          <w:sz w:val="20"/>
          <w:szCs w:val="20"/>
          <w:color w:val="231F20"/>
        </w:rPr>
        <w:t>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200"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231F20"/>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those affiliates must be the same as those applicable to us. 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w:t>
      </w:r>
    </w:p>
    <w:p>
      <w:pPr>
        <w:spacing w:after="0" w:line="202"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231F20"/>
        </w:rPr>
        <w:t>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w:t>
      </w:r>
    </w:p>
    <w:p>
      <w:pPr>
        <w:spacing w:after="0" w:line="202" w:lineRule="exact"/>
        <w:rPr>
          <w:sz w:val="20"/>
          <w:szCs w:val="20"/>
          <w:color w:val="auto"/>
        </w:rPr>
      </w:pPr>
    </w:p>
    <w:p>
      <w:pPr>
        <w:ind w:right="200" w:firstLine="245"/>
        <w:spacing w:after="0" w:line="277" w:lineRule="auto"/>
        <w:rPr>
          <w:sz w:val="20"/>
          <w:szCs w:val="20"/>
          <w:color w:val="auto"/>
        </w:rPr>
      </w:pPr>
      <w:r>
        <w:rPr>
          <w:rFonts w:ascii="Times New Roman" w:cs="Times New Roman" w:eastAsia="Times New Roman" w:hAnsi="Times New Roman"/>
          <w:sz w:val="20"/>
          <w:szCs w:val="20"/>
          <w:color w:val="231F20"/>
        </w:rPr>
        <w:t>We cannot assure you when or whether we will apply for any other exemptive relief in the future and whether such orders will be obtained.</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enter into transactions with our affiliates is restricted.</w:t>
      </w:r>
    </w:p>
    <w:p>
      <w:pPr>
        <w:spacing w:after="0" w:line="240" w:lineRule="exact"/>
        <w:rPr>
          <w:sz w:val="20"/>
          <w:szCs w:val="20"/>
          <w:color w:val="auto"/>
        </w:rPr>
      </w:pPr>
    </w:p>
    <w:p>
      <w:pPr>
        <w:ind w:right="20" w:firstLine="245"/>
        <w:spacing w:after="0" w:line="259" w:lineRule="auto"/>
        <w:rPr>
          <w:sz w:val="20"/>
          <w:szCs w:val="20"/>
          <w:color w:val="auto"/>
        </w:rPr>
      </w:pPr>
      <w:r>
        <w:rPr>
          <w:rFonts w:ascii="Times New Roman" w:cs="Times New Roman" w:eastAsia="Times New Roman" w:hAnsi="Times New Roman"/>
          <w:sz w:val="19"/>
          <w:szCs w:val="19"/>
          <w:color w:val="231F20"/>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88" w:lineRule="exact"/>
        <w:rPr>
          <w:sz w:val="20"/>
          <w:szCs w:val="20"/>
          <w:color w:val="auto"/>
        </w:rPr>
      </w:pPr>
    </w:p>
    <w:p>
      <w:pPr>
        <w:ind w:right="180" w:firstLine="245"/>
        <w:spacing w:after="0" w:line="249" w:lineRule="auto"/>
        <w:rPr>
          <w:sz w:val="20"/>
          <w:szCs w:val="20"/>
          <w:color w:val="auto"/>
        </w:rPr>
      </w:pPr>
      <w:r>
        <w:rPr>
          <w:rFonts w:ascii="Times New Roman" w:cs="Times New Roman" w:eastAsia="Times New Roman" w:hAnsi="Times New Roman"/>
          <w:sz w:val="20"/>
          <w:szCs w:val="20"/>
          <w:color w:val="231F20"/>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97" w:lineRule="exact"/>
        <w:rPr>
          <w:sz w:val="20"/>
          <w:szCs w:val="20"/>
          <w:color w:val="auto"/>
        </w:rPr>
      </w:pPr>
    </w:p>
    <w:p>
      <w:pPr>
        <w:ind w:firstLine="245"/>
        <w:spacing w:after="0" w:line="243" w:lineRule="auto"/>
        <w:rPr>
          <w:sz w:val="20"/>
          <w:szCs w:val="20"/>
          <w:color w:val="auto"/>
        </w:rPr>
      </w:pPr>
      <w:r>
        <w:rPr>
          <w:rFonts w:ascii="Times New Roman" w:cs="Times New Roman" w:eastAsia="Times New Roman" w:hAnsi="Times New Roman"/>
          <w:sz w:val="20"/>
          <w:szCs w:val="20"/>
          <w:color w:val="231F20"/>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w:t>
      </w:r>
    </w:p>
    <w:p>
      <w:pPr>
        <w:sectPr>
          <w:pgSz w:w="12240" w:h="15840" w:orient="portrait"/>
          <w:cols w:equalWidth="0" w:num="1">
            <w:col w:w="10800"/>
          </w:cols>
          <w:pgMar w:left="720" w:top="930" w:right="720" w:bottom="175"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2240" w:h="15840" w:orient="portrait"/>
          <w:cols w:equalWidth="0" w:num="1">
            <w:col w:w="10800"/>
          </w:cols>
          <w:pgMar w:left="720" w:top="930" w:right="720" w:bottom="175" w:gutter="0" w:footer="0" w:header="0"/>
          <w:type w:val="continuous"/>
        </w:sectPr>
      </w:pPr>
    </w:p>
    <w:bookmarkStart w:id="35" w:name="page36"/>
    <w:bookmarkEnd w:id="35"/>
    <w:p>
      <w:pPr>
        <w:spacing w:after="0" w:line="252" w:lineRule="auto"/>
        <w:rPr>
          <w:sz w:val="20"/>
          <w:szCs w:val="20"/>
          <w:color w:val="auto"/>
        </w:rPr>
      </w:pPr>
      <w:r>
        <w:rPr>
          <w:rFonts w:ascii="Times New Roman" w:cs="Times New Roman" w:eastAsia="Times New Roman" w:hAnsi="Times New Roman"/>
          <w:sz w:val="20"/>
          <w:szCs w:val="20"/>
          <w:color w:val="231F20"/>
        </w:rPr>
        <w:t>without seeking approval by a majority of our Independent Directors. Our Board has established certain criteria to describe the characteristics of potential co-investment transactions in which we are permitted to participate and regarding which the Adviser should be notified.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194" w:lineRule="exact"/>
        <w:rPr>
          <w:sz w:val="20"/>
          <w:szCs w:val="20"/>
          <w:color w:val="auto"/>
        </w:rPr>
      </w:pPr>
    </w:p>
    <w:p>
      <w:pPr>
        <w:ind w:right="340" w:firstLine="245"/>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68" w:lineRule="exact"/>
        <w:rPr>
          <w:sz w:val="20"/>
          <w:szCs w:val="20"/>
          <w:color w:val="auto"/>
        </w:rPr>
      </w:pPr>
    </w:p>
    <w:p>
      <w:pPr>
        <w:ind w:right="60" w:firstLine="245"/>
        <w:spacing w:after="0" w:line="244" w:lineRule="auto"/>
        <w:rPr>
          <w:sz w:val="20"/>
          <w:szCs w:val="20"/>
          <w:color w:val="auto"/>
        </w:rPr>
      </w:pPr>
      <w:r>
        <w:rPr>
          <w:rFonts w:ascii="Times New Roman" w:cs="Times New Roman" w:eastAsia="Times New Roman" w:hAnsi="Times New Roman"/>
          <w:sz w:val="20"/>
          <w:szCs w:val="20"/>
          <w:color w:val="231F20"/>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202"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94" w:lineRule="exact"/>
        <w:rPr>
          <w:sz w:val="20"/>
          <w:szCs w:val="20"/>
          <w:color w:val="auto"/>
        </w:rPr>
      </w:pPr>
    </w:p>
    <w:p>
      <w:pPr>
        <w:ind w:right="240" w:firstLine="245"/>
        <w:spacing w:after="0" w:line="258" w:lineRule="auto"/>
        <w:rPr>
          <w:sz w:val="20"/>
          <w:szCs w:val="20"/>
          <w:color w:val="auto"/>
        </w:rPr>
      </w:pPr>
      <w:r>
        <w:rPr>
          <w:rFonts w:ascii="Times New Roman" w:cs="Times New Roman" w:eastAsia="Times New Roman" w:hAnsi="Times New Roman"/>
          <w:sz w:val="20"/>
          <w:szCs w:val="20"/>
          <w:color w:val="231F20"/>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3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8" w:lineRule="exact"/>
        <w:rPr>
          <w:sz w:val="20"/>
          <w:szCs w:val="20"/>
          <w:color w:val="auto"/>
        </w:rPr>
      </w:pPr>
    </w:p>
    <w:p>
      <w:pPr>
        <w:ind w:right="60" w:firstLine="245"/>
        <w:spacing w:after="0" w:line="261" w:lineRule="auto"/>
        <w:rPr>
          <w:sz w:val="20"/>
          <w:szCs w:val="20"/>
          <w:color w:val="auto"/>
        </w:rPr>
      </w:pPr>
      <w:r>
        <w:rPr>
          <w:rFonts w:ascii="Times New Roman" w:cs="Times New Roman" w:eastAsia="Times New Roman" w:hAnsi="Times New Roman"/>
          <w:sz w:val="19"/>
          <w:szCs w:val="19"/>
          <w:color w:val="231F20"/>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7" w:lineRule="exact"/>
        <w:rPr>
          <w:sz w:val="20"/>
          <w:szCs w:val="20"/>
          <w:color w:val="auto"/>
        </w:rPr>
      </w:pPr>
    </w:p>
    <w:p>
      <w:pPr>
        <w:ind w:right="100" w:firstLine="245"/>
        <w:spacing w:after="0" w:line="243" w:lineRule="auto"/>
        <w:rPr>
          <w:sz w:val="20"/>
          <w:szCs w:val="20"/>
          <w:color w:val="auto"/>
        </w:rPr>
      </w:pPr>
      <w:r>
        <w:rPr>
          <w:rFonts w:ascii="Times New Roman" w:cs="Times New Roman" w:eastAsia="Times New Roman" w:hAnsi="Times New Roman"/>
          <w:sz w:val="20"/>
          <w:szCs w:val="20"/>
          <w:color w:val="231F20"/>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Any failure to maintain our status as a BDC would reduce our operating flexibility.</w:t>
      </w:r>
    </w:p>
    <w:p>
      <w:pPr>
        <w:spacing w:after="0" w:line="120" w:lineRule="exact"/>
        <w:rPr>
          <w:sz w:val="20"/>
          <w:szCs w:val="20"/>
          <w:color w:val="auto"/>
        </w:rPr>
      </w:pPr>
    </w:p>
    <w:p>
      <w:pPr>
        <w:ind w:right="80" w:firstLine="245"/>
        <w:spacing w:after="0" w:line="252" w:lineRule="auto"/>
        <w:rPr>
          <w:sz w:val="20"/>
          <w:szCs w:val="20"/>
          <w:color w:val="auto"/>
        </w:rPr>
      </w:pPr>
      <w:r>
        <w:rPr>
          <w:rFonts w:ascii="Times New Roman" w:cs="Times New Roman" w:eastAsia="Times New Roman" w:hAnsi="Times New Roman"/>
          <w:sz w:val="20"/>
          <w:szCs w:val="20"/>
          <w:color w:val="231F20"/>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ectPr>
          <w:pgSz w:w="12240" w:h="15840" w:orient="portrait"/>
          <w:cols w:equalWidth="0" w:num="1">
            <w:col w:w="10800"/>
          </w:cols>
          <w:pgMar w:left="720" w:top="930" w:right="720" w:bottom="175"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2240" w:h="15840" w:orient="portrait"/>
          <w:cols w:equalWidth="0" w:num="1">
            <w:col w:w="10800"/>
          </w:cols>
          <w:pgMar w:left="720" w:top="930" w:right="720" w:bottom="175"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i w:val="1"/>
          <w:iCs w:val="1"/>
          <w:color w:val="231F20"/>
        </w:rPr>
        <w:t>We incur significant costs as a result of being a publicly traded company.</w:t>
      </w:r>
    </w:p>
    <w:p>
      <w:pPr>
        <w:spacing w:after="0" w:line="120" w:lineRule="exact"/>
        <w:rPr>
          <w:sz w:val="20"/>
          <w:szCs w:val="20"/>
          <w:color w:val="auto"/>
        </w:rPr>
      </w:pPr>
    </w:p>
    <w:p>
      <w:pPr>
        <w:ind w:right="160" w:firstLine="245"/>
        <w:spacing w:after="0" w:line="249" w:lineRule="auto"/>
        <w:rPr>
          <w:sz w:val="20"/>
          <w:szCs w:val="20"/>
          <w:color w:val="auto"/>
        </w:rPr>
      </w:pPr>
      <w:r>
        <w:rPr>
          <w:rFonts w:ascii="Times New Roman" w:cs="Times New Roman" w:eastAsia="Times New Roman" w:hAnsi="Times New Roman"/>
          <w:sz w:val="20"/>
          <w:szCs w:val="20"/>
          <w:color w:val="231F20"/>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3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8"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231F20"/>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 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experience fluctuations in our quarterly results.</w:t>
      </w:r>
    </w:p>
    <w:p>
      <w:pPr>
        <w:spacing w:after="0" w:line="120" w:lineRule="exact"/>
        <w:rPr>
          <w:sz w:val="20"/>
          <w:szCs w:val="20"/>
          <w:color w:val="auto"/>
        </w:rPr>
      </w:pPr>
    </w:p>
    <w:p>
      <w:pPr>
        <w:ind w:right="200" w:firstLine="245"/>
        <w:spacing w:after="0" w:line="252" w:lineRule="auto"/>
        <w:rPr>
          <w:sz w:val="20"/>
          <w:szCs w:val="20"/>
          <w:color w:val="auto"/>
        </w:rPr>
      </w:pPr>
      <w:r>
        <w:rPr>
          <w:rFonts w:ascii="Times New Roman" w:cs="Times New Roman" w:eastAsia="Times New Roman" w:hAnsi="Times New Roman"/>
          <w:sz w:val="20"/>
          <w:szCs w:val="20"/>
          <w:color w:val="231F20"/>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314"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Provisions of the General Corporation Law of the State of Delaware and our certificate of incorporation and bylaws could deter takeover attempts and have an adverse effect on the price of our common stock.</w:t>
      </w:r>
    </w:p>
    <w:p>
      <w:pPr>
        <w:spacing w:after="0" w:line="49" w:lineRule="exact"/>
        <w:rPr>
          <w:sz w:val="20"/>
          <w:szCs w:val="20"/>
          <w:color w:val="auto"/>
        </w:rPr>
      </w:pPr>
    </w:p>
    <w:p>
      <w:pPr>
        <w:ind w:right="20" w:firstLine="245"/>
        <w:spacing w:after="0" w:line="242" w:lineRule="auto"/>
        <w:rPr>
          <w:sz w:val="20"/>
          <w:szCs w:val="20"/>
          <w:color w:val="auto"/>
        </w:rPr>
      </w:pPr>
      <w:r>
        <w:rPr>
          <w:rFonts w:ascii="Times New Roman" w:cs="Times New Roman" w:eastAsia="Times New Roman" w:hAnsi="Times New Roman"/>
          <w:sz w:val="20"/>
          <w:szCs w:val="20"/>
          <w:color w:val="231F20"/>
        </w:rPr>
        <w:t>The General Corporation Law of the State of Delaware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Certain investors are limited in their ability to make significant investments in us.</w:t>
      </w:r>
    </w:p>
    <w:p>
      <w:pPr>
        <w:spacing w:after="0" w:line="120" w:lineRule="exact"/>
        <w:rPr>
          <w:sz w:val="20"/>
          <w:szCs w:val="20"/>
          <w:color w:val="auto"/>
        </w:rPr>
      </w:pPr>
    </w:p>
    <w:p>
      <w:pPr>
        <w:jc w:val="both"/>
        <w:ind w:firstLine="245"/>
        <w:spacing w:after="0" w:line="252" w:lineRule="auto"/>
        <w:rPr>
          <w:sz w:val="20"/>
          <w:szCs w:val="20"/>
          <w:color w:val="auto"/>
        </w:rPr>
      </w:pPr>
      <w:r>
        <w:rPr>
          <w:rFonts w:ascii="Times New Roman" w:cs="Times New Roman" w:eastAsia="Times New Roman" w:hAnsi="Times New Roman"/>
          <w:sz w:val="20"/>
          <w:szCs w:val="20"/>
          <w:color w:val="231F20"/>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w:t>
      </w:r>
    </w:p>
    <w:p>
      <w:pPr>
        <w:sectPr>
          <w:pgSz w:w="12240" w:h="15840" w:orient="portrait"/>
          <w:cols w:equalWidth="0" w:num="1">
            <w:col w:w="10800"/>
          </w:cols>
          <w:pgMar w:left="720" w:top="930" w:right="720" w:bottom="175"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2240" w:h="15840" w:orient="portrait"/>
          <w:cols w:equalWidth="0" w:num="1">
            <w:col w:w="10800"/>
          </w:cols>
          <w:pgMar w:left="720" w:top="930" w:right="720" w:bottom="175" w:gutter="0" w:footer="0" w:header="0"/>
          <w:type w:val="continuous"/>
        </w:sectPr>
      </w:pPr>
    </w:p>
    <w:bookmarkStart w:id="37" w:name="page38"/>
    <w:bookmarkEnd w:id="37"/>
    <w:p>
      <w:pPr>
        <w:ind w:right="220"/>
        <w:spacing w:after="0" w:line="277" w:lineRule="auto"/>
        <w:rPr>
          <w:sz w:val="20"/>
          <w:szCs w:val="20"/>
          <w:color w:val="auto"/>
        </w:rPr>
      </w:pPr>
      <w:r>
        <w:rPr>
          <w:rFonts w:ascii="Times New Roman" w:cs="Times New Roman" w:eastAsia="Times New Roman" w:hAnsi="Times New Roman"/>
          <w:sz w:val="20"/>
          <w:szCs w:val="20"/>
          <w:color w:val="231F20"/>
        </w:rPr>
        <w:t>Act are also subject to this restriction. As a result, certain investors may be precluded from acquiring additional shares at a time that they might desire to do so.</w:t>
      </w:r>
    </w:p>
    <w:p>
      <w:pPr>
        <w:spacing w:after="0" w:line="289"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9"/>
          <w:szCs w:val="19"/>
          <w:b w:val="1"/>
          <w:bCs w:val="1"/>
          <w:i w:val="1"/>
          <w:iCs w:val="1"/>
          <w:color w:val="231F20"/>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51"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231F20"/>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209"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231F20"/>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Board may change our investment objective, operating policies and strategies without prior notice or stockholder approval.</w:t>
      </w:r>
    </w:p>
    <w:p>
      <w:pPr>
        <w:spacing w:after="0" w:line="12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231F20"/>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tax laws, including the Tax Cuts and Jobs Act and the Inflation Reduction Act may adversely affect our business.</w:t>
      </w:r>
    </w:p>
    <w:p>
      <w:pPr>
        <w:spacing w:after="0" w:line="115" w:lineRule="exact"/>
        <w:rPr>
          <w:sz w:val="20"/>
          <w:szCs w:val="20"/>
          <w:color w:val="auto"/>
        </w:rPr>
      </w:pPr>
    </w:p>
    <w:p>
      <w:pPr>
        <w:ind w:right="140" w:firstLine="245"/>
        <w:spacing w:after="0" w:line="238" w:lineRule="auto"/>
        <w:rPr>
          <w:sz w:val="20"/>
          <w:szCs w:val="20"/>
          <w:color w:val="auto"/>
        </w:rPr>
      </w:pPr>
      <w:r>
        <w:rPr>
          <w:rFonts w:ascii="Times New Roman" w:cs="Times New Roman" w:eastAsia="Times New Roman" w:hAnsi="Times New Roman"/>
          <w:sz w:val="20"/>
          <w:szCs w:val="20"/>
          <w:color w:val="231F20"/>
        </w:rPr>
        <w:t>Changes to U.S. tax laws, including the Tax Cuts and Jobs Act enacted on December 22, 2017 (“Tax Reform”), the Coronavirus Aid, Relief, and Economic Security Act enacted on March 27, 2020 (the “CARES Act”) and the Inflation Reduction Act, enacted on August 16, 2022 (the “IRA”)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In addition, the IRA introduced a corporate alternative minimum tax of 15% of the “adjusted financial statement income” of certain domestic corporations as well as a 1% excise tax on the fair market value of stock repurchases by certain domestic corporations, effective for tax years beginning in 2023. Further changes could be made under the new Presidential administration in the United States. Such changes to the tax laws, including (i) changes to interest deductibility, utility of net operating losses and other provisions of Tax Reform, (ii) the corporate alternative minimum tax, excise tax on stock repurchases and other provisions of the IRA or (iii) changes pursuant to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IRA and other changes in tax laws on the loan market and about the tax consequences of an investment in us.</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38</w:t>
      </w:r>
    </w:p>
    <w:p>
      <w:pPr>
        <w:sectPr>
          <w:pgSz w:w="12240" w:h="15840" w:orient="portrait"/>
          <w:cols w:equalWidth="0" w:num="1">
            <w:col w:w="10780"/>
          </w:cols>
          <w:pgMar w:left="720" w:top="930" w:right="740" w:bottom="175" w:gutter="0" w:footer="0" w:header="0"/>
          <w:type w:val="continuous"/>
        </w:sectPr>
      </w:pPr>
    </w:p>
    <w:bookmarkStart w:id="38" w:name="page39"/>
    <w:bookmarkEnd w:id="38"/>
    <w:p>
      <w:pPr>
        <w:ind w:right="320"/>
        <w:spacing w:after="0" w:line="272"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risks associated with artificial intelligence, including the application of various forms of artificial intelligence such as machine learning technology.</w:t>
      </w:r>
    </w:p>
    <w:p>
      <w:pPr>
        <w:spacing w:after="0" w:line="49" w:lineRule="exact"/>
        <w:rPr>
          <w:sz w:val="20"/>
          <w:szCs w:val="20"/>
          <w:color w:val="auto"/>
        </w:rPr>
      </w:pPr>
    </w:p>
    <w:p>
      <w:pPr>
        <w:ind w:right="60" w:firstLine="245"/>
        <w:spacing w:after="0"/>
        <w:rPr>
          <w:sz w:val="20"/>
          <w:szCs w:val="20"/>
          <w:color w:val="auto"/>
        </w:rPr>
      </w:pPr>
      <w:r>
        <w:rPr>
          <w:rFonts w:ascii="Times New Roman" w:cs="Times New Roman" w:eastAsia="Times New Roman" w:hAnsi="Times New Roman"/>
          <w:sz w:val="20"/>
          <w:szCs w:val="20"/>
          <w:color w:val="231F20"/>
        </w:rPr>
        <w:t>Recent technological advances in artificial intelligence, including machine learning technology (“Machine Learning Technology”), pose risks to us and our portfolio companies. We and our portfolio companies could be exposed to the risks of Machine Learning Technology if third-party service providers or any counterparties use Machine Learning Technology in their business activities. We and the Adviser are not in a position to control the use of Machine Learning Technology in third-party products or services. Use of Machine Learning Technology could include the input of confidential information in contravention of applicable policies, contractual or other obligations or restrictions, resulting in such confidential information becoming partly accessible by other third-party Machine Learning Technology applications and users. Machine Learning Technology and its applications continue to develop rapidly, and we cannot predict the risks that may arise from such developments.</w:t>
      </w:r>
    </w:p>
    <w:p>
      <w:pPr>
        <w:spacing w:after="0" w:line="82" w:lineRule="exact"/>
        <w:rPr>
          <w:sz w:val="20"/>
          <w:szCs w:val="20"/>
          <w:color w:val="auto"/>
        </w:rPr>
      </w:pPr>
    </w:p>
    <w:p>
      <w:pPr>
        <w:ind w:right="160" w:firstLine="245"/>
        <w:spacing w:after="0" w:line="242" w:lineRule="auto"/>
        <w:rPr>
          <w:sz w:val="20"/>
          <w:szCs w:val="20"/>
          <w:color w:val="auto"/>
        </w:rPr>
      </w:pPr>
      <w:r>
        <w:rPr>
          <w:rFonts w:ascii="Times New Roman" w:cs="Times New Roman" w:eastAsia="Times New Roman" w:hAnsi="Times New Roman"/>
          <w:sz w:val="20"/>
          <w:szCs w:val="20"/>
          <w:color w:val="231F20"/>
        </w:rPr>
        <w:t>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a degree of inaccuracy and error and could otherwise be inadequate or flawed, which would be likely to degrade the effectiveness of Machine Learning Technology. To the extent we or our portfolio companies are exposed to the risks of Machine Learning Technology use, any such inaccuracies or errors could adversely impact us or our portfolio companies.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Economic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Inflation and global supply chain issues may adversely affect our business.</w:t>
      </w:r>
    </w:p>
    <w:p>
      <w:pPr>
        <w:spacing w:after="0" w:line="115" w:lineRule="exact"/>
        <w:rPr>
          <w:sz w:val="20"/>
          <w:szCs w:val="20"/>
          <w:color w:val="auto"/>
        </w:rPr>
      </w:pPr>
    </w:p>
    <w:p>
      <w:pPr>
        <w:ind w:right="40" w:firstLine="245"/>
        <w:spacing w:after="0" w:line="242" w:lineRule="auto"/>
        <w:rPr>
          <w:sz w:val="20"/>
          <w:szCs w:val="20"/>
          <w:color w:val="auto"/>
        </w:rPr>
      </w:pPr>
      <w:r>
        <w:rPr>
          <w:rFonts w:ascii="Times New Roman" w:cs="Times New Roman" w:eastAsia="Times New Roman" w:hAnsi="Times New Roman"/>
          <w:sz w:val="20"/>
          <w:szCs w:val="20"/>
          <w:color w:val="231F20"/>
        </w:rPr>
        <w:t>Inflation and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80" w:lineRule="exact"/>
        <w:rPr>
          <w:sz w:val="20"/>
          <w:szCs w:val="20"/>
          <w:color w:val="auto"/>
        </w:rPr>
      </w:pPr>
    </w:p>
    <w:p>
      <w:pPr>
        <w:ind w:firstLine="245"/>
        <w:spacing w:after="0" w:line="253" w:lineRule="auto"/>
        <w:rPr>
          <w:sz w:val="20"/>
          <w:szCs w:val="20"/>
          <w:color w:val="auto"/>
        </w:rPr>
      </w:pPr>
      <w:r>
        <w:rPr>
          <w:rFonts w:ascii="Times New Roman" w:cs="Times New Roman" w:eastAsia="Times New Roman" w:hAnsi="Times New Roman"/>
          <w:sz w:val="20"/>
          <w:szCs w:val="20"/>
          <w:color w:val="231F20"/>
        </w:rPr>
        <w:t>Economic activity has continued to accelerate across sectors and regions. Nevertheless, global supply chain issues have, and may in the future, lead to a rise in energy prices. Inflation may continue in the near to medium-term, particularly in the U.S., with the possibility that monetary policy may tighten in response. Persistent inflationary pressures could affect our obligors’ profit margins.</w:t>
      </w:r>
    </w:p>
    <w:p>
      <w:pPr>
        <w:spacing w:after="0" w:line="68" w:lineRule="exact"/>
        <w:rPr>
          <w:sz w:val="20"/>
          <w:szCs w:val="20"/>
          <w:color w:val="auto"/>
        </w:rPr>
      </w:pPr>
    </w:p>
    <w:p>
      <w:pPr>
        <w:ind w:firstLine="245"/>
        <w:spacing w:after="0" w:line="238" w:lineRule="auto"/>
        <w:rPr>
          <w:sz w:val="20"/>
          <w:szCs w:val="20"/>
          <w:color w:val="auto"/>
        </w:rPr>
      </w:pPr>
      <w:r>
        <w:rPr>
          <w:rFonts w:ascii="Times New Roman" w:cs="Times New Roman" w:eastAsia="Times New Roman" w:hAnsi="Times New Roman"/>
          <w:sz w:val="20"/>
          <w:szCs w:val="20"/>
          <w:color w:val="231F20"/>
        </w:rPr>
        <w:t>Additionally,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Company's portfolio investments. For example, existing and any additional supply chain and other laws, regulations, or executive orders by either country that restrict or prohibit transactions or impose requirements or limitations on business could impair the ability of U.S.-based companies (in which the Company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is portfolio investments.</w:t>
      </w:r>
    </w:p>
    <w:p>
      <w:pPr>
        <w:spacing w:after="0" w:line="329" w:lineRule="exact"/>
        <w:rPr>
          <w:sz w:val="20"/>
          <w:szCs w:val="20"/>
          <w:color w:val="auto"/>
        </w:rPr>
      </w:pPr>
    </w:p>
    <w:p>
      <w:pPr>
        <w:ind w:right="860"/>
        <w:spacing w:after="0" w:line="272" w:lineRule="auto"/>
        <w:rPr>
          <w:sz w:val="20"/>
          <w:szCs w:val="20"/>
          <w:color w:val="auto"/>
        </w:rPr>
      </w:pPr>
      <w:r>
        <w:rPr>
          <w:rFonts w:ascii="Times New Roman" w:cs="Times New Roman" w:eastAsia="Times New Roman" w:hAnsi="Times New Roman"/>
          <w:sz w:val="20"/>
          <w:szCs w:val="20"/>
          <w:b w:val="1"/>
          <w:bCs w:val="1"/>
          <w:i w:val="1"/>
          <w:iCs w:val="1"/>
          <w:color w:val="231F20"/>
        </w:rPr>
        <w:t>We are currently operating in a period of disruption, volatility and uncertainty in the capital markets and in the economy generally.</w:t>
      </w:r>
    </w:p>
    <w:p>
      <w:pPr>
        <w:spacing w:after="0" w:line="169" w:lineRule="exact"/>
        <w:rPr>
          <w:sz w:val="20"/>
          <w:szCs w:val="20"/>
          <w:color w:val="auto"/>
        </w:rPr>
      </w:pPr>
    </w:p>
    <w:p>
      <w:pPr>
        <w:ind w:right="140" w:firstLine="245"/>
        <w:spacing w:after="0" w:line="253" w:lineRule="auto"/>
        <w:rPr>
          <w:sz w:val="20"/>
          <w:szCs w:val="20"/>
          <w:color w:val="auto"/>
        </w:rPr>
      </w:pPr>
      <w:r>
        <w:rPr>
          <w:rFonts w:ascii="Times New Roman" w:cs="Times New Roman" w:eastAsia="Times New Roman" w:hAnsi="Times New Roman"/>
          <w:sz w:val="19"/>
          <w:szCs w:val="19"/>
          <w:color w:val="231F20"/>
        </w:rPr>
        <w:t>The U.S. capital markets have experienced extreme volatility and disruption in recent years, following the spread of COVID-19 in the United States and globally.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and may in the future implement,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94" w:lineRule="exact"/>
        <w:rPr>
          <w:sz w:val="20"/>
          <w:szCs w:val="20"/>
          <w:color w:val="auto"/>
        </w:rPr>
      </w:pPr>
    </w:p>
    <w:p>
      <w:pPr>
        <w:ind w:right="40" w:firstLine="245"/>
        <w:spacing w:after="0" w:line="253" w:lineRule="auto"/>
        <w:rPr>
          <w:sz w:val="20"/>
          <w:szCs w:val="20"/>
          <w:color w:val="auto"/>
        </w:rPr>
      </w:pPr>
      <w:r>
        <w:rPr>
          <w:rFonts w:ascii="Times New Roman" w:cs="Times New Roman" w:eastAsia="Times New Roman" w:hAnsi="Times New Roman"/>
          <w:sz w:val="20"/>
          <w:szCs w:val="20"/>
          <w:color w:val="231F20"/>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w:t>
      </w:r>
    </w:p>
    <w:p>
      <w:pPr>
        <w:sectPr>
          <w:pgSz w:w="12240" w:h="15840" w:orient="portrait"/>
          <w:cols w:equalWidth="0" w:num="1">
            <w:col w:w="10800"/>
          </w:cols>
          <w:pgMar w:left="720" w:top="926" w:right="720" w:bottom="175"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2240" w:h="15840" w:orient="portrait"/>
          <w:cols w:equalWidth="0" w:num="1">
            <w:col w:w="10800"/>
          </w:cols>
          <w:pgMar w:left="720" w:top="926" w:right="720" w:bottom="175" w:gutter="0" w:footer="0" w:header="0"/>
          <w:type w:val="continuous"/>
        </w:sectPr>
      </w:pPr>
    </w:p>
    <w:bookmarkStart w:id="39" w:name="page40"/>
    <w:bookmarkEnd w:id="39"/>
    <w:p>
      <w:pPr>
        <w:ind w:right="380"/>
        <w:spacing w:after="0" w:line="272" w:lineRule="auto"/>
        <w:rPr>
          <w:sz w:val="20"/>
          <w:szCs w:val="20"/>
          <w:color w:val="auto"/>
        </w:rPr>
      </w:pPr>
      <w:r>
        <w:rPr>
          <w:rFonts w:ascii="Times New Roman" w:cs="Times New Roman" w:eastAsia="Times New Roman" w:hAnsi="Times New Roman"/>
          <w:sz w:val="20"/>
          <w:szCs w:val="20"/>
          <w:color w:val="231F20"/>
        </w:rPr>
        <w:t>take advantage of attractive investment opportunities that are created during these periods. In addition, the debt capital that will be available in the future, if any, may be at a higher cost and on less favorable terms and conditions.</w:t>
      </w:r>
    </w:p>
    <w:p>
      <w:pPr>
        <w:spacing w:after="0" w:line="289"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20"/>
          <w:szCs w:val="20"/>
          <w:b w:val="1"/>
          <w:bCs w:val="1"/>
          <w:i w:val="1"/>
          <w:iCs w:val="1"/>
          <w:color w:val="231F20"/>
        </w:rPr>
        <w:t>The current state of the economy and financial markets increases the likelihood of adverse effects on our financial position and results of operations.</w:t>
      </w:r>
    </w:p>
    <w:p>
      <w:pPr>
        <w:spacing w:after="0" w:line="49" w:lineRule="exact"/>
        <w:rPr>
          <w:sz w:val="20"/>
          <w:szCs w:val="20"/>
          <w:color w:val="auto"/>
        </w:rPr>
      </w:pPr>
    </w:p>
    <w:p>
      <w:pPr>
        <w:ind w:right="20" w:firstLine="245"/>
        <w:spacing w:after="0" w:line="238" w:lineRule="auto"/>
        <w:rPr>
          <w:sz w:val="20"/>
          <w:szCs w:val="20"/>
          <w:color w:val="auto"/>
        </w:rPr>
      </w:pPr>
      <w:r>
        <w:rPr>
          <w:rFonts w:ascii="Times New Roman" w:cs="Times New Roman" w:eastAsia="Times New Roman" w:hAnsi="Times New Roman"/>
          <w:sz w:val="20"/>
          <w:szCs w:val="20"/>
          <w:color w:val="231F20"/>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ongoing conflicts between Russia and Ukraine and Israel and Hamas and related responses, has led to, from time to time,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89" w:lineRule="exact"/>
        <w:rPr>
          <w:sz w:val="20"/>
          <w:szCs w:val="20"/>
          <w:color w:val="auto"/>
        </w:rPr>
      </w:pPr>
    </w:p>
    <w:p>
      <w:pPr>
        <w:ind w:right="260" w:firstLine="245"/>
        <w:spacing w:after="0" w:line="244" w:lineRule="auto"/>
        <w:rPr>
          <w:sz w:val="20"/>
          <w:szCs w:val="20"/>
          <w:color w:val="auto"/>
        </w:rPr>
      </w:pPr>
      <w:r>
        <w:rPr>
          <w:rFonts w:ascii="Times New Roman" w:cs="Times New Roman" w:eastAsia="Times New Roman" w:hAnsi="Times New Roman"/>
          <w:sz w:val="20"/>
          <w:szCs w:val="20"/>
          <w:color w:val="231F20"/>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1" w:lineRule="exact"/>
        <w:rPr>
          <w:sz w:val="20"/>
          <w:szCs w:val="20"/>
          <w:color w:val="auto"/>
        </w:rPr>
      </w:pPr>
    </w:p>
    <w:p>
      <w:pPr>
        <w:ind w:left="500" w:hanging="255"/>
        <w:spacing w:after="0"/>
        <w:tabs>
          <w:tab w:leader="none" w:pos="5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our receipt of a reduced level of interest income from our portfolio companies;</w:t>
      </w:r>
    </w:p>
    <w:p>
      <w:pPr>
        <w:spacing w:after="0" w:line="128" w:lineRule="exact"/>
        <w:rPr>
          <w:rFonts w:ascii="Arial" w:cs="Arial" w:eastAsia="Arial" w:hAnsi="Arial"/>
          <w:sz w:val="20"/>
          <w:szCs w:val="20"/>
          <w:color w:val="231F20"/>
        </w:rPr>
      </w:pPr>
    </w:p>
    <w:p>
      <w:pPr>
        <w:ind w:left="500" w:hanging="255"/>
        <w:spacing w:after="0"/>
        <w:tabs>
          <w:tab w:leader="none" w:pos="5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decreases in the value of collateral securing some of our loans and the value of our equity investments; and</w:t>
      </w:r>
    </w:p>
    <w:p>
      <w:pPr>
        <w:spacing w:after="0" w:line="128" w:lineRule="exact"/>
        <w:rPr>
          <w:rFonts w:ascii="Arial" w:cs="Arial" w:eastAsia="Arial" w:hAnsi="Arial"/>
          <w:sz w:val="20"/>
          <w:szCs w:val="20"/>
          <w:color w:val="231F20"/>
        </w:rPr>
      </w:pPr>
    </w:p>
    <w:p>
      <w:pPr>
        <w:ind w:left="500" w:hanging="255"/>
        <w:spacing w:after="0"/>
        <w:tabs>
          <w:tab w:leader="none" w:pos="5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ultimately, losses or charge-offs related to our investments.</w:t>
      </w:r>
    </w:p>
    <w:p>
      <w:pPr>
        <w:spacing w:after="0" w:line="354"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20"/>
          <w:szCs w:val="20"/>
          <w:b w:val="1"/>
          <w:bCs w:val="1"/>
          <w:i w:val="1"/>
          <w:iCs w:val="1"/>
          <w:color w:val="231F20"/>
        </w:rPr>
        <w:t>Uncertainty about financial stability could have a significant adverse effect on our business, results of operations and financial condition.</w:t>
      </w:r>
    </w:p>
    <w:p>
      <w:pPr>
        <w:spacing w:after="0" w:line="49" w:lineRule="exact"/>
        <w:rPr>
          <w:sz w:val="20"/>
          <w:szCs w:val="20"/>
          <w:color w:val="auto"/>
        </w:rPr>
      </w:pPr>
    </w:p>
    <w:p>
      <w:pPr>
        <w:ind w:right="40" w:firstLine="245"/>
        <w:spacing w:after="0"/>
        <w:rPr>
          <w:sz w:val="20"/>
          <w:szCs w:val="20"/>
          <w:color w:val="auto"/>
        </w:rPr>
      </w:pPr>
      <w:r>
        <w:rPr>
          <w:rFonts w:ascii="Times New Roman" w:cs="Times New Roman" w:eastAsia="Times New Roman" w:hAnsi="Times New Roman"/>
          <w:sz w:val="20"/>
          <w:szCs w:val="20"/>
          <w:color w:val="231F20"/>
        </w:rPr>
        <w:t>Due to federal budget deficit concerns, S&amp;P downgraded the federal government’s credit rating from AAA to AA+ for the first time in history on August 5, 2011. Further, in 2023, Fitch downgraded the federal government’s credit rating from AAA to AA+. Further downgrades or warnings by S&amp;P, Moody’s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202" w:lineRule="exact"/>
        <w:rPr>
          <w:sz w:val="20"/>
          <w:szCs w:val="20"/>
          <w:color w:val="auto"/>
        </w:rPr>
      </w:pPr>
    </w:p>
    <w:p>
      <w:pPr>
        <w:ind w:right="100" w:firstLine="245"/>
        <w:spacing w:after="0" w:line="242" w:lineRule="auto"/>
        <w:rPr>
          <w:sz w:val="20"/>
          <w:szCs w:val="20"/>
          <w:color w:val="auto"/>
        </w:rPr>
      </w:pPr>
      <w:r>
        <w:rPr>
          <w:rFonts w:ascii="Times New Roman" w:cs="Times New Roman" w:eastAsia="Times New Roman" w:hAnsi="Times New Roman"/>
          <w:sz w:val="20"/>
          <w:szCs w:val="20"/>
          <w:color w:val="231F20"/>
        </w:rPr>
        <w:t>After raising the target range for the federal funds rate in 2017 and 2018, the Federal Reserve lowered the target rate three times in 2019 and two times in 2020. Following recent heightened inflation, the Federal Reserve raised the target rate four times in 2023, raising the fed funds rate by about three percentage points in a six month period. In 2024, it is possible that the Federal Reserve will raise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200" w:lineRule="exact"/>
        <w:rPr>
          <w:sz w:val="20"/>
          <w:szCs w:val="20"/>
          <w:color w:val="auto"/>
        </w:rPr>
      </w:pPr>
    </w:p>
    <w:p>
      <w:pPr>
        <w:ind w:firstLine="245"/>
        <w:spacing w:after="0" w:line="239" w:lineRule="auto"/>
        <w:rPr>
          <w:sz w:val="20"/>
          <w:szCs w:val="20"/>
          <w:color w:val="auto"/>
        </w:rPr>
      </w:pPr>
      <w:r>
        <w:rPr>
          <w:rFonts w:ascii="Times New Roman" w:cs="Times New Roman" w:eastAsia="Times New Roman" w:hAnsi="Times New Roman"/>
          <w:sz w:val="20"/>
          <w:szCs w:val="20"/>
          <w:color w:val="231F20"/>
        </w:rPr>
        <w:t>As a result of the 2022 U.S. election, the Democratic Party currently controls the executive branch of government and the Senate, while the Republican Party controls the House of Representatives. The divided U.S. Congress makes passage of legislation that could significantly affect the regulation of U.S. financial markets less likely. Despite the reduced likelihood of congressional action with respect to financial services, areas subject to potential change or amendment include the Wall Street Reform and Consumer Protection Act, or the Dodd-Frank Act, and the authority of the Federal Reserve and the Financial Stability Oversight Council. Additionally, under the divided control of the Congress, the likelihood of a failure to increase the debt ceiling and a default by the federal government is increased.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2240" w:h="15840" w:orient="portrait"/>
          <w:cols w:equalWidth="0" w:num="1">
            <w:col w:w="10800"/>
          </w:cols>
          <w:pgMar w:left="720" w:top="926" w:right="720" w:bottom="175"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231F20"/>
        </w:rPr>
        <w:t>Economic recessions or downturns could impair our portfolio companies and harm our operating results.</w:t>
      </w:r>
    </w:p>
    <w:p>
      <w:pPr>
        <w:spacing w:after="0" w:line="120" w:lineRule="exact"/>
        <w:rPr>
          <w:sz w:val="20"/>
          <w:szCs w:val="20"/>
          <w:color w:val="auto"/>
        </w:rPr>
      </w:pPr>
    </w:p>
    <w:p>
      <w:pPr>
        <w:ind w:right="60" w:firstLine="245"/>
        <w:spacing w:after="0" w:line="245" w:lineRule="auto"/>
        <w:rPr>
          <w:sz w:val="20"/>
          <w:szCs w:val="20"/>
          <w:color w:val="auto"/>
        </w:rPr>
      </w:pPr>
      <w:r>
        <w:rPr>
          <w:rFonts w:ascii="Times New Roman" w:cs="Times New Roman" w:eastAsia="Times New Roman" w:hAnsi="Times New Roman"/>
          <w:sz w:val="20"/>
          <w:szCs w:val="20"/>
          <w:color w:val="231F20"/>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202"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231F20"/>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Portfolio Company Investments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investments are very risky and highly speculative.</w:t>
      </w:r>
    </w:p>
    <w:p>
      <w:pPr>
        <w:spacing w:after="0" w:line="120" w:lineRule="exact"/>
        <w:rPr>
          <w:sz w:val="20"/>
          <w:szCs w:val="20"/>
          <w:color w:val="auto"/>
        </w:rPr>
      </w:pPr>
    </w:p>
    <w:p>
      <w:pPr>
        <w:ind w:right="140" w:firstLine="245"/>
        <w:spacing w:after="0" w:line="247" w:lineRule="auto"/>
        <w:rPr>
          <w:sz w:val="20"/>
          <w:szCs w:val="20"/>
          <w:color w:val="auto"/>
        </w:rPr>
      </w:pPr>
      <w:r>
        <w:rPr>
          <w:rFonts w:ascii="Times New Roman" w:cs="Times New Roman" w:eastAsia="Times New Roman" w:hAnsi="Times New Roman"/>
          <w:sz w:val="20"/>
          <w:szCs w:val="20"/>
          <w:color w:val="231F20"/>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200"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i w:val="1"/>
          <w:iCs w:val="1"/>
          <w:color w:val="231F20"/>
        </w:rPr>
        <w:t>First-Lien Debt</w:t>
      </w:r>
      <w:r>
        <w:rPr>
          <w:rFonts w:ascii="Times New Roman" w:cs="Times New Roman" w:eastAsia="Times New Roman" w:hAnsi="Times New Roman"/>
          <w:sz w:val="20"/>
          <w:szCs w:val="20"/>
          <w:color w:val="231F20"/>
        </w:rPr>
        <w:t>. When we make a first-lien loan, we generally take a security interest in the available assets of the portfolio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company, including 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202"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i w:val="1"/>
          <w:iCs w:val="1"/>
          <w:color w:val="231F20"/>
        </w:rPr>
        <w:t>Second-Lien and Mezzanine Debt</w:t>
      </w:r>
      <w:r>
        <w:rPr>
          <w:rFonts w:ascii="Times New Roman" w:cs="Times New Roman" w:eastAsia="Times New Roman" w:hAnsi="Times New Roman"/>
          <w:sz w:val="20"/>
          <w:szCs w:val="20"/>
          <w:color w:val="231F20"/>
        </w:rPr>
        <w:t>. Our investments in second-lien and mezzanine debt generally are subordinated to senior loans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will either have junior security interests or be unsecured. As such, other creditors may rank senior to us in the event of insolvency. This may result in greater risk and loss of principal.</w:t>
      </w:r>
    </w:p>
    <w:p>
      <w:pPr>
        <w:spacing w:after="0" w:line="188"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Equity and Other Investments. </w:t>
      </w:r>
      <w:r>
        <w:rPr>
          <w:rFonts w:ascii="Times New Roman" w:cs="Times New Roman" w:eastAsia="Times New Roman" w:hAnsi="Times New Roman"/>
          <w:sz w:val="20"/>
          <w:szCs w:val="20"/>
          <w:color w:val="231F20"/>
        </w:rPr>
        <w:t>When we invest in first-lien debt, second-lien debt or mezzanine debt, we may acquire equity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securities, such as 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 xml:space="preserve">Preferred Stock. </w:t>
      </w:r>
      <w:r>
        <w:rPr>
          <w:rFonts w:ascii="Times New Roman" w:cs="Times New Roman" w:eastAsia="Times New Roman" w:hAnsi="Times New Roman"/>
          <w:sz w:val="20"/>
          <w:szCs w:val="20"/>
          <w:color w:val="231F20"/>
        </w:rPr>
        <w:t>To the extent we invest in preferred securities, we may incur particular risks, including:</w:t>
      </w:r>
    </w:p>
    <w:p>
      <w:pPr>
        <w:spacing w:after="0" w:line="134" w:lineRule="exact"/>
        <w:rPr>
          <w:sz w:val="20"/>
          <w:szCs w:val="20"/>
          <w:color w:val="auto"/>
        </w:rPr>
      </w:pPr>
    </w:p>
    <w:p>
      <w:pPr>
        <w:ind w:left="500" w:right="400" w:hanging="255"/>
        <w:spacing w:after="0" w:line="258" w:lineRule="auto"/>
        <w:tabs>
          <w:tab w:leader="none" w:pos="5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1" w:lineRule="exact"/>
        <w:rPr>
          <w:rFonts w:ascii="Arial" w:cs="Arial" w:eastAsia="Arial" w:hAnsi="Arial"/>
          <w:sz w:val="20"/>
          <w:szCs w:val="20"/>
          <w:color w:val="231F20"/>
        </w:rPr>
      </w:pPr>
    </w:p>
    <w:p>
      <w:pPr>
        <w:ind w:left="500" w:right="60" w:hanging="255"/>
        <w:spacing w:after="0" w:line="258" w:lineRule="auto"/>
        <w:tabs>
          <w:tab w:leader="none" w:pos="5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41</w:t>
      </w:r>
    </w:p>
    <w:p>
      <w:pPr>
        <w:sectPr>
          <w:pgSz w:w="12240" w:h="15840" w:orient="portrait"/>
          <w:cols w:equalWidth="0" w:num="1">
            <w:col w:w="10760"/>
          </w:cols>
          <w:pgMar w:left="720" w:top="930" w:right="760" w:bottom="175" w:gutter="0" w:footer="0" w:header="0"/>
          <w:type w:val="continuous"/>
        </w:sectPr>
      </w:pPr>
    </w:p>
    <w:bookmarkStart w:id="41" w:name="page42"/>
    <w:bookmarkEnd w:id="41"/>
    <w:p>
      <w:pPr>
        <w:ind w:left="500" w:right="20" w:hanging="255"/>
        <w:spacing w:after="0" w:line="278" w:lineRule="auto"/>
        <w:tabs>
          <w:tab w:leader="none" w:pos="500" w:val="left"/>
        </w:tabs>
        <w:numPr>
          <w:ilvl w:val="0"/>
          <w:numId w:val="44"/>
        </w:numPr>
        <w:rPr>
          <w:rFonts w:ascii="Arial" w:cs="Arial" w:eastAsia="Arial" w:hAnsi="Arial"/>
          <w:sz w:val="19"/>
          <w:szCs w:val="19"/>
          <w:color w:val="231F20"/>
        </w:rPr>
      </w:pPr>
      <w:r>
        <w:rPr>
          <w:rFonts w:ascii="Times New Roman" w:cs="Times New Roman" w:eastAsia="Times New Roman" w:hAnsi="Times New Roman"/>
          <w:sz w:val="19"/>
          <w:szCs w:val="19"/>
          <w:color w:val="231F20"/>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In addition, our investments generally involve a number of significant risks, including:</w:t>
      </w:r>
    </w:p>
    <w:p>
      <w:pPr>
        <w:spacing w:after="0" w:line="134" w:lineRule="exact"/>
        <w:rPr>
          <w:sz w:val="20"/>
          <w:szCs w:val="20"/>
          <w:color w:val="auto"/>
        </w:rPr>
      </w:pPr>
    </w:p>
    <w:p>
      <w:pPr>
        <w:ind w:left="500" w:right="120" w:hanging="255"/>
        <w:spacing w:after="0" w:line="258" w:lineRule="auto"/>
        <w:tabs>
          <w:tab w:leader="none" w:pos="5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1" w:lineRule="exact"/>
        <w:rPr>
          <w:rFonts w:ascii="Arial" w:cs="Arial" w:eastAsia="Arial" w:hAnsi="Arial"/>
          <w:sz w:val="20"/>
          <w:szCs w:val="20"/>
          <w:color w:val="231F20"/>
        </w:rPr>
      </w:pPr>
    </w:p>
    <w:p>
      <w:pPr>
        <w:ind w:left="500" w:right="220" w:hanging="255"/>
        <w:spacing w:after="0" w:line="258" w:lineRule="auto"/>
        <w:tabs>
          <w:tab w:leader="none" w:pos="5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81" w:lineRule="exact"/>
        <w:rPr>
          <w:rFonts w:ascii="Arial" w:cs="Arial" w:eastAsia="Arial" w:hAnsi="Arial"/>
          <w:sz w:val="20"/>
          <w:szCs w:val="20"/>
          <w:color w:val="231F20"/>
        </w:rPr>
      </w:pPr>
    </w:p>
    <w:p>
      <w:pPr>
        <w:jc w:val="both"/>
        <w:ind w:left="500" w:right="100" w:hanging="255"/>
        <w:spacing w:after="0" w:line="258" w:lineRule="auto"/>
        <w:tabs>
          <w:tab w:leader="none" w:pos="5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1" w:lineRule="exact"/>
        <w:rPr>
          <w:rFonts w:ascii="Arial" w:cs="Arial" w:eastAsia="Arial" w:hAnsi="Arial"/>
          <w:sz w:val="20"/>
          <w:szCs w:val="20"/>
          <w:color w:val="231F20"/>
        </w:rPr>
      </w:pPr>
    </w:p>
    <w:p>
      <w:pPr>
        <w:ind w:left="500" w:right="160" w:hanging="255"/>
        <w:spacing w:after="0" w:line="258" w:lineRule="auto"/>
        <w:tabs>
          <w:tab w:leader="none" w:pos="5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1" w:lineRule="exact"/>
        <w:rPr>
          <w:rFonts w:ascii="Arial" w:cs="Arial" w:eastAsia="Arial" w:hAnsi="Arial"/>
          <w:sz w:val="20"/>
          <w:szCs w:val="20"/>
          <w:color w:val="231F20"/>
        </w:rPr>
      </w:pPr>
    </w:p>
    <w:p>
      <w:pPr>
        <w:ind w:left="500" w:right="460" w:hanging="255"/>
        <w:spacing w:after="0" w:line="304" w:lineRule="auto"/>
        <w:tabs>
          <w:tab w:leader="none" w:pos="50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39" w:lineRule="exact"/>
        <w:rPr>
          <w:rFonts w:ascii="Arial" w:cs="Arial" w:eastAsia="Arial" w:hAnsi="Arial"/>
          <w:sz w:val="19"/>
          <w:szCs w:val="19"/>
          <w:color w:val="231F20"/>
        </w:rPr>
      </w:pPr>
    </w:p>
    <w:p>
      <w:pPr>
        <w:ind w:left="500" w:right="560" w:hanging="255"/>
        <w:spacing w:after="0" w:line="276" w:lineRule="auto"/>
        <w:tabs>
          <w:tab w:leader="none" w:pos="5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executive officers, directors and Adviser may, in the ordinary course of business, be named as defendants in litigation arising from our investments in the portfolio companies;</w:t>
      </w:r>
    </w:p>
    <w:p>
      <w:pPr>
        <w:spacing w:after="0" w:line="64" w:lineRule="exact"/>
        <w:rPr>
          <w:rFonts w:ascii="Arial" w:cs="Arial" w:eastAsia="Arial" w:hAnsi="Arial"/>
          <w:sz w:val="20"/>
          <w:szCs w:val="20"/>
          <w:color w:val="231F20"/>
        </w:rPr>
      </w:pPr>
    </w:p>
    <w:p>
      <w:pPr>
        <w:ind w:left="500" w:right="260" w:hanging="255"/>
        <w:spacing w:after="0" w:line="258" w:lineRule="auto"/>
        <w:tabs>
          <w:tab w:leader="none" w:pos="5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81" w:lineRule="exact"/>
        <w:rPr>
          <w:rFonts w:ascii="Arial" w:cs="Arial" w:eastAsia="Arial" w:hAnsi="Arial"/>
          <w:sz w:val="20"/>
          <w:szCs w:val="20"/>
          <w:color w:val="231F20"/>
        </w:rPr>
      </w:pPr>
    </w:p>
    <w:p>
      <w:pPr>
        <w:ind w:left="500" w:right="340" w:hanging="255"/>
        <w:spacing w:after="0" w:line="276" w:lineRule="auto"/>
        <w:tabs>
          <w:tab w:leader="none" w:pos="5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companies in which we invest may have difficulty accessing the capital markets to meet future capital needs, which may limit their ability to grow or to repay their outstanding indebtedness upon maturity.</w:t>
      </w:r>
    </w:p>
    <w:p>
      <w:pPr>
        <w:spacing w:after="0" w:line="290"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8" w:lineRule="exact"/>
        <w:rPr>
          <w:sz w:val="20"/>
          <w:szCs w:val="20"/>
          <w:color w:val="auto"/>
        </w:rPr>
      </w:pPr>
    </w:p>
    <w:p>
      <w:pPr>
        <w:ind w:right="120" w:firstLine="245"/>
        <w:spacing w:after="0" w:line="245" w:lineRule="auto"/>
        <w:rPr>
          <w:sz w:val="20"/>
          <w:szCs w:val="20"/>
          <w:color w:val="auto"/>
        </w:rPr>
      </w:pPr>
      <w:r>
        <w:rPr>
          <w:rFonts w:ascii="Times New Roman" w:cs="Times New Roman" w:eastAsia="Times New Roman" w:hAnsi="Times New Roman"/>
          <w:sz w:val="20"/>
          <w:szCs w:val="20"/>
          <w:color w:val="231F20"/>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202"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231F20"/>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206" w:lineRule="exact"/>
        <w:rPr>
          <w:sz w:val="20"/>
          <w:szCs w:val="20"/>
          <w:color w:val="auto"/>
        </w:rPr>
      </w:pPr>
    </w:p>
    <w:p>
      <w:pPr>
        <w:ind w:right="80" w:firstLine="245"/>
        <w:spacing w:after="0" w:line="252" w:lineRule="auto"/>
        <w:rPr>
          <w:sz w:val="20"/>
          <w:szCs w:val="20"/>
          <w:color w:val="auto"/>
        </w:rPr>
      </w:pPr>
      <w:r>
        <w:rPr>
          <w:rFonts w:ascii="Times New Roman" w:cs="Times New Roman" w:eastAsia="Times New Roman" w:hAnsi="Times New Roman"/>
          <w:sz w:val="20"/>
          <w:szCs w:val="20"/>
          <w:color w:val="231F20"/>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ectPr>
          <w:pgSz w:w="12240" w:h="15840" w:orient="portrait"/>
          <w:cols w:equalWidth="0" w:num="1">
            <w:col w:w="10780"/>
          </w:cols>
          <w:pgMar w:left="720" w:top="944" w:right="740" w:bottom="175"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42</w:t>
      </w:r>
    </w:p>
    <w:p>
      <w:pPr>
        <w:sectPr>
          <w:pgSz w:w="12240" w:h="15840" w:orient="portrait"/>
          <w:cols w:equalWidth="0" w:num="1">
            <w:col w:w="10780"/>
          </w:cols>
          <w:pgMar w:left="720" w:top="944" w:right="740" w:bottom="175"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i w:val="1"/>
          <w:iCs w:val="1"/>
          <w:color w:val="231F20"/>
        </w:rPr>
        <w:t>The lack of liquidity in our investments may adversely affect our business.</w:t>
      </w:r>
    </w:p>
    <w:p>
      <w:pPr>
        <w:spacing w:after="0" w:line="120" w:lineRule="exact"/>
        <w:rPr>
          <w:sz w:val="20"/>
          <w:szCs w:val="20"/>
          <w:color w:val="auto"/>
        </w:rPr>
      </w:pPr>
    </w:p>
    <w:p>
      <w:pPr>
        <w:ind w:right="60" w:firstLine="245"/>
        <w:spacing w:after="0" w:line="247" w:lineRule="auto"/>
        <w:rPr>
          <w:sz w:val="20"/>
          <w:szCs w:val="20"/>
          <w:color w:val="auto"/>
        </w:rPr>
      </w:pPr>
      <w:r>
        <w:rPr>
          <w:rFonts w:ascii="Times New Roman" w:cs="Times New Roman" w:eastAsia="Times New Roman" w:hAnsi="Times New Roman"/>
          <w:sz w:val="20"/>
          <w:szCs w:val="20"/>
          <w:color w:val="231F20"/>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3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68" w:lineRule="exact"/>
        <w:rPr>
          <w:sz w:val="20"/>
          <w:szCs w:val="20"/>
          <w:color w:val="auto"/>
        </w:rPr>
      </w:pPr>
    </w:p>
    <w:p>
      <w:pPr>
        <w:ind w:firstLine="245"/>
        <w:spacing w:after="0" w:line="244" w:lineRule="auto"/>
        <w:rPr>
          <w:sz w:val="20"/>
          <w:szCs w:val="20"/>
          <w:color w:val="auto"/>
        </w:rPr>
      </w:pPr>
      <w:r>
        <w:rPr>
          <w:rFonts w:ascii="Times New Roman" w:cs="Times New Roman" w:eastAsia="Times New Roman" w:hAnsi="Times New Roman"/>
          <w:sz w:val="20"/>
          <w:szCs w:val="20"/>
          <w:color w:val="231F20"/>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securitize certain of our investments, which may subject us to certain structured financing risks.</w:t>
      </w:r>
    </w:p>
    <w:p>
      <w:pPr>
        <w:spacing w:after="0" w:line="120" w:lineRule="exact"/>
        <w:rPr>
          <w:sz w:val="20"/>
          <w:szCs w:val="20"/>
          <w:color w:val="auto"/>
        </w:rPr>
      </w:pPr>
    </w:p>
    <w:p>
      <w:pPr>
        <w:ind w:right="140" w:firstLine="245"/>
        <w:spacing w:after="0" w:line="252" w:lineRule="auto"/>
        <w:rPr>
          <w:sz w:val="20"/>
          <w:szCs w:val="20"/>
          <w:color w:val="auto"/>
        </w:rPr>
      </w:pPr>
      <w:r>
        <w:rPr>
          <w:rFonts w:ascii="Times New Roman" w:cs="Times New Roman" w:eastAsia="Times New Roman" w:hAnsi="Times New Roman"/>
          <w:sz w:val="20"/>
          <w:szCs w:val="20"/>
          <w:color w:val="231F20"/>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94"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231F20"/>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202" w:lineRule="exact"/>
        <w:rPr>
          <w:sz w:val="20"/>
          <w:szCs w:val="20"/>
          <w:color w:val="auto"/>
        </w:rPr>
      </w:pPr>
    </w:p>
    <w:p>
      <w:pPr>
        <w:ind w:firstLine="245"/>
        <w:spacing w:after="0" w:line="263" w:lineRule="auto"/>
        <w:rPr>
          <w:sz w:val="20"/>
          <w:szCs w:val="20"/>
          <w:color w:val="auto"/>
        </w:rPr>
      </w:pPr>
      <w:r>
        <w:rPr>
          <w:rFonts w:ascii="Times New Roman" w:cs="Times New Roman" w:eastAsia="Times New Roman" w:hAnsi="Times New Roman"/>
          <w:sz w:val="19"/>
          <w:szCs w:val="19"/>
          <w:color w:val="231F20"/>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3" w:lineRule="exact"/>
        <w:rPr>
          <w:sz w:val="20"/>
          <w:szCs w:val="20"/>
          <w:color w:val="auto"/>
        </w:rPr>
      </w:pPr>
    </w:p>
    <w:p>
      <w:pPr>
        <w:jc w:val="both"/>
        <w:ind w:right="260" w:firstLine="245"/>
        <w:spacing w:after="0" w:line="258" w:lineRule="auto"/>
        <w:rPr>
          <w:sz w:val="20"/>
          <w:szCs w:val="20"/>
          <w:color w:val="auto"/>
        </w:rPr>
      </w:pPr>
      <w:r>
        <w:rPr>
          <w:rFonts w:ascii="Times New Roman" w:cs="Times New Roman" w:eastAsia="Times New Roman" w:hAnsi="Times New Roman"/>
          <w:sz w:val="20"/>
          <w:szCs w:val="20"/>
          <w:color w:val="231F20"/>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20"/>
          <w:szCs w:val="20"/>
          <w:i w:val="1"/>
          <w:iCs w:val="1"/>
          <w:color w:val="231F20"/>
        </w:rPr>
        <w:t>ITEM 1. BUSINESS – Regulation as 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Business Development Company.”</w:t>
      </w:r>
    </w:p>
    <w:p>
      <w:pPr>
        <w:spacing w:after="0" w:line="308"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68" w:lineRule="exact"/>
        <w:rPr>
          <w:sz w:val="20"/>
          <w:szCs w:val="20"/>
          <w:color w:val="auto"/>
        </w:rPr>
      </w:pPr>
    </w:p>
    <w:p>
      <w:pPr>
        <w:ind w:right="200" w:firstLine="245"/>
        <w:spacing w:after="0" w:line="270" w:lineRule="auto"/>
        <w:rPr>
          <w:sz w:val="20"/>
          <w:szCs w:val="20"/>
          <w:color w:val="auto"/>
        </w:rPr>
      </w:pPr>
      <w:r>
        <w:rPr>
          <w:rFonts w:ascii="Times New Roman" w:cs="Times New Roman" w:eastAsia="Times New Roman" w:hAnsi="Times New Roman"/>
          <w:sz w:val="19"/>
          <w:szCs w:val="19"/>
          <w:color w:val="231F20"/>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w:t>
      </w:r>
    </w:p>
    <w:p>
      <w:pPr>
        <w:sectPr>
          <w:pgSz w:w="12240" w:h="15840" w:orient="portrait"/>
          <w:cols w:equalWidth="0" w:num="1">
            <w:col w:w="10780"/>
          </w:cols>
          <w:pgMar w:left="720" w:top="930" w:right="740" w:bottom="175" w:gutter="0" w:footer="0" w:header="0"/>
        </w:sectPr>
      </w:pP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43</w:t>
      </w:r>
    </w:p>
    <w:p>
      <w:pPr>
        <w:sectPr>
          <w:pgSz w:w="12240" w:h="15840" w:orient="portrait"/>
          <w:cols w:equalWidth="0" w:num="1">
            <w:col w:w="10780"/>
          </w:cols>
          <w:pgMar w:left="720" w:top="930" w:right="740" w:bottom="175" w:gutter="0" w:footer="0" w:header="0"/>
          <w:type w:val="continuous"/>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20"/>
          <w:szCs w:val="20"/>
          <w:color w:val="231F20"/>
        </w:rPr>
        <w:t>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exposed to risks associated with changes in interest rates.</w:t>
      </w:r>
    </w:p>
    <w:p>
      <w:pPr>
        <w:spacing w:after="0" w:line="120" w:lineRule="exact"/>
        <w:rPr>
          <w:sz w:val="20"/>
          <w:szCs w:val="20"/>
          <w:color w:val="auto"/>
        </w:rPr>
      </w:pPr>
    </w:p>
    <w:p>
      <w:pPr>
        <w:ind w:right="40" w:firstLine="245"/>
        <w:spacing w:after="0" w:line="263" w:lineRule="auto"/>
        <w:rPr>
          <w:sz w:val="20"/>
          <w:szCs w:val="20"/>
          <w:color w:val="auto"/>
        </w:rPr>
      </w:pPr>
      <w:r>
        <w:rPr>
          <w:rFonts w:ascii="Times New Roman" w:cs="Times New Roman" w:eastAsia="Times New Roman" w:hAnsi="Times New Roman"/>
          <w:sz w:val="19"/>
          <w:szCs w:val="19"/>
          <w:color w:val="231F20"/>
        </w:rPr>
        <w:t>The majority of our debt investments are based on floating rates, such as SOFR, EURIBOR,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3"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231F20"/>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Times New Roman" w:cs="Times New Roman" w:eastAsia="Times New Roman" w:hAnsi="Times New Roman"/>
          <w:sz w:val="20"/>
          <w:szCs w:val="20"/>
          <w:i w:val="1"/>
          <w:iCs w:val="1"/>
          <w:color w:val="231F20"/>
        </w:rPr>
        <w:t>—Risks Related 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Economic Conditions—Uncertainty about financial stability could have a significant adverse effect on our business, results of operations and financial condition.</w:t>
      </w:r>
      <w:r>
        <w:rPr>
          <w:rFonts w:ascii="Times New Roman" w:cs="Times New Roman" w:eastAsia="Times New Roman" w:hAnsi="Times New Roman"/>
          <w:sz w:val="20"/>
          <w:szCs w:val="20"/>
          <w:color w:val="231F20"/>
        </w:rPr>
        <w:t>”</w:t>
      </w:r>
    </w:p>
    <w:p>
      <w:pPr>
        <w:spacing w:after="0" w:line="206" w:lineRule="exact"/>
        <w:rPr>
          <w:sz w:val="20"/>
          <w:szCs w:val="20"/>
          <w:color w:val="auto"/>
        </w:rPr>
      </w:pPr>
    </w:p>
    <w:p>
      <w:pPr>
        <w:ind w:right="200" w:firstLine="245"/>
        <w:spacing w:after="0" w:line="277" w:lineRule="auto"/>
        <w:rPr>
          <w:sz w:val="20"/>
          <w:szCs w:val="20"/>
          <w:color w:val="auto"/>
        </w:rPr>
      </w:pPr>
      <w:r>
        <w:rPr>
          <w:rFonts w:ascii="Times New Roman" w:cs="Times New Roman" w:eastAsia="Times New Roman" w:hAnsi="Times New Roman"/>
          <w:sz w:val="20"/>
          <w:szCs w:val="20"/>
          <w:color w:val="231F20"/>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9" w:lineRule="exact"/>
        <w:rPr>
          <w:sz w:val="20"/>
          <w:szCs w:val="20"/>
          <w:color w:val="auto"/>
        </w:rPr>
      </w:pPr>
    </w:p>
    <w:p>
      <w:pPr>
        <w:ind w:right="240" w:firstLine="245"/>
        <w:spacing w:after="0" w:line="258" w:lineRule="auto"/>
        <w:rPr>
          <w:sz w:val="20"/>
          <w:szCs w:val="20"/>
          <w:color w:val="auto"/>
        </w:rPr>
      </w:pPr>
      <w:r>
        <w:rPr>
          <w:rFonts w:ascii="Times New Roman" w:cs="Times New Roman" w:eastAsia="Times New Roman" w:hAnsi="Times New Roman"/>
          <w:sz w:val="20"/>
          <w:szCs w:val="20"/>
          <w:color w:val="231F20"/>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20"/>
          <w:szCs w:val="20"/>
          <w:i w:val="1"/>
          <w:iCs w:val="1"/>
          <w:color w:val="231F20"/>
        </w:rPr>
        <w:t>—Risks Related to Our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Portfolio Company Investments—We expose ourselves to risks when we engage in hedging transactions.</w:t>
      </w:r>
      <w:r>
        <w:rPr>
          <w:rFonts w:ascii="Times New Roman" w:cs="Times New Roman" w:eastAsia="Times New Roman" w:hAnsi="Times New Roman"/>
          <w:sz w:val="20"/>
          <w:szCs w:val="20"/>
          <w:color w:val="231F20"/>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realize expected returns on our invested capital.</w:t>
      </w:r>
    </w:p>
    <w:p>
      <w:pPr>
        <w:spacing w:after="0" w:line="120"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231F20"/>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97"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314"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By originating loans to companies that are experiencing significant financial or business difficulties, we may be exposed to distressed lending risks.</w:t>
      </w:r>
    </w:p>
    <w:p>
      <w:pPr>
        <w:spacing w:after="0" w:line="49" w:lineRule="exact"/>
        <w:rPr>
          <w:sz w:val="20"/>
          <w:szCs w:val="20"/>
          <w:color w:val="auto"/>
        </w:rPr>
      </w:pPr>
    </w:p>
    <w:p>
      <w:pPr>
        <w:ind w:right="80" w:firstLine="245"/>
        <w:spacing w:after="0" w:line="245" w:lineRule="auto"/>
        <w:rPr>
          <w:sz w:val="20"/>
          <w:szCs w:val="20"/>
          <w:color w:val="auto"/>
        </w:rPr>
      </w:pPr>
      <w:r>
        <w:rPr>
          <w:rFonts w:ascii="Times New Roman" w:cs="Times New Roman" w:eastAsia="Times New Roman" w:hAnsi="Times New Roman"/>
          <w:sz w:val="20"/>
          <w:szCs w:val="20"/>
          <w:color w:val="231F20"/>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44</w:t>
      </w:r>
    </w:p>
    <w:p>
      <w:pPr>
        <w:sectPr>
          <w:pgSz w:w="12240" w:h="15840" w:orient="portrait"/>
          <w:cols w:equalWidth="0" w:num="1">
            <w:col w:w="10780"/>
          </w:cols>
          <w:pgMar w:left="720" w:top="930" w:right="740" w:bottom="175" w:gutter="0" w:footer="0" w:header="0"/>
          <w:type w:val="continuous"/>
        </w:sectPr>
      </w:pPr>
    </w:p>
    <w:bookmarkStart w:id="44" w:name="page45"/>
    <w:bookmarkEnd w:id="44"/>
    <w:p>
      <w:pPr>
        <w:ind w:right="9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portfolio companies in some cases may incur debt or issue equity securities that rank equally with, or senior to, our investments in those companies.</w:t>
      </w:r>
    </w:p>
    <w:p>
      <w:pPr>
        <w:spacing w:after="0" w:line="49"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231F20"/>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202" w:lineRule="exact"/>
        <w:rPr>
          <w:sz w:val="20"/>
          <w:szCs w:val="20"/>
          <w:color w:val="auto"/>
        </w:rPr>
      </w:pPr>
    </w:p>
    <w:p>
      <w:pPr>
        <w:ind w:right="80" w:firstLine="245"/>
        <w:spacing w:after="0" w:line="246" w:lineRule="auto"/>
        <w:rPr>
          <w:sz w:val="20"/>
          <w:szCs w:val="20"/>
          <w:color w:val="auto"/>
        </w:rPr>
      </w:pPr>
      <w:r>
        <w:rPr>
          <w:rFonts w:ascii="Times New Roman" w:cs="Times New Roman" w:eastAsia="Times New Roman" w:hAnsi="Times New Roman"/>
          <w:sz w:val="20"/>
          <w:szCs w:val="20"/>
          <w:color w:val="231F20"/>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exposed to special risks associated with bankruptcy cases.</w:t>
      </w:r>
    </w:p>
    <w:p>
      <w:pPr>
        <w:spacing w:after="0" w:line="120"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00"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231F20"/>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200" w:lineRule="exact"/>
        <w:rPr>
          <w:sz w:val="20"/>
          <w:szCs w:val="20"/>
          <w:color w:val="auto"/>
        </w:rPr>
      </w:pPr>
    </w:p>
    <w:p>
      <w:pPr>
        <w:ind w:right="140" w:firstLine="245"/>
        <w:spacing w:after="0" w:line="252" w:lineRule="auto"/>
        <w:rPr>
          <w:sz w:val="20"/>
          <w:szCs w:val="20"/>
          <w:color w:val="auto"/>
        </w:rPr>
      </w:pPr>
      <w:r>
        <w:rPr>
          <w:rFonts w:ascii="Times New Roman" w:cs="Times New Roman" w:eastAsia="Times New Roman" w:hAnsi="Times New Roman"/>
          <w:sz w:val="20"/>
          <w:szCs w:val="20"/>
          <w:color w:val="231F20"/>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failure to make follow-on investments in our portfolio companies could impair the value of our investments.</w:t>
      </w:r>
    </w:p>
    <w:p>
      <w:pPr>
        <w:spacing w:after="0" w:line="120" w:lineRule="exact"/>
        <w:rPr>
          <w:sz w:val="20"/>
          <w:szCs w:val="20"/>
          <w:color w:val="auto"/>
        </w:rPr>
      </w:pPr>
    </w:p>
    <w:p>
      <w:pPr>
        <w:ind w:right="80" w:firstLine="245"/>
        <w:spacing w:after="0" w:line="277" w:lineRule="auto"/>
        <w:rPr>
          <w:sz w:val="20"/>
          <w:szCs w:val="20"/>
          <w:color w:val="auto"/>
        </w:rPr>
      </w:pPr>
      <w:r>
        <w:rPr>
          <w:rFonts w:ascii="Times New Roman" w:cs="Times New Roman" w:eastAsia="Times New Roman" w:hAnsi="Times New Roman"/>
          <w:sz w:val="20"/>
          <w:szCs w:val="20"/>
          <w:color w:val="231F20"/>
        </w:rPr>
        <w:t>Following an initial investment in a portfolio company, we may make additional investments in that portfolio company as “follow-on” investments to:</w:t>
      </w:r>
    </w:p>
    <w:p>
      <w:pPr>
        <w:spacing w:after="0" w:line="63" w:lineRule="exact"/>
        <w:rPr>
          <w:sz w:val="20"/>
          <w:szCs w:val="20"/>
          <w:color w:val="auto"/>
        </w:rPr>
      </w:pPr>
    </w:p>
    <w:p>
      <w:pPr>
        <w:ind w:left="500" w:hanging="255"/>
        <w:spacing w:after="0"/>
        <w:tabs>
          <w:tab w:leader="none" w:pos="50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 or maintain in whole or in part our equity ownership percentage;</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exercise warrants, options or convertible securities that were acquired in the original or subsequent financing; or</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attempt to preserve or enhance the value of our investment.</w:t>
      </w:r>
    </w:p>
    <w:p>
      <w:pPr>
        <w:spacing w:after="0" w:line="239"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231F20"/>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2240" w:h="15840" w:orient="portrait"/>
          <w:cols w:equalWidth="0" w:num="1">
            <w:col w:w="10800"/>
          </w:cols>
          <w:pgMar w:left="720" w:top="930" w:right="720" w:bottom="175" w:gutter="0" w:footer="0" w:header="0"/>
          <w:type w:val="continuous"/>
        </w:sectPr>
      </w:pPr>
    </w:p>
    <w:bookmarkStart w:id="45" w:name="page46"/>
    <w:bookmarkEnd w:id="45"/>
    <w:p>
      <w:pPr>
        <w:jc w:val="both"/>
        <w:ind w:right="120" w:firstLine="245"/>
        <w:spacing w:after="0" w:line="249" w:lineRule="auto"/>
        <w:rPr>
          <w:sz w:val="20"/>
          <w:szCs w:val="20"/>
          <w:color w:val="auto"/>
        </w:rPr>
      </w:pPr>
      <w:r>
        <w:rPr>
          <w:rFonts w:ascii="Times New Roman" w:cs="Times New Roman" w:eastAsia="Times New Roman" w:hAnsi="Times New Roman"/>
          <w:sz w:val="20"/>
          <w:szCs w:val="20"/>
          <w:color w:val="231F20"/>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enter into transactions with our affiliates is restricted.</w:t>
      </w:r>
    </w:p>
    <w:p>
      <w:pPr>
        <w:spacing w:after="0" w:line="110" w:lineRule="exact"/>
        <w:rPr>
          <w:sz w:val="20"/>
          <w:szCs w:val="20"/>
          <w:color w:val="auto"/>
        </w:rPr>
      </w:pPr>
    </w:p>
    <w:p>
      <w:pPr>
        <w:ind w:right="20" w:firstLine="245"/>
        <w:spacing w:after="0" w:line="248" w:lineRule="auto"/>
        <w:rPr>
          <w:sz w:val="20"/>
          <w:szCs w:val="20"/>
          <w:color w:val="auto"/>
        </w:rPr>
      </w:pPr>
      <w:r>
        <w:rPr>
          <w:rFonts w:ascii="Times New Roman" w:cs="Times New Roman" w:eastAsia="Times New Roman" w:hAnsi="Times New Roman"/>
          <w:sz w:val="19"/>
          <w:szCs w:val="19"/>
          <w:color w:val="231F20"/>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200" w:lineRule="exact"/>
        <w:rPr>
          <w:sz w:val="20"/>
          <w:szCs w:val="20"/>
          <w:color w:val="auto"/>
        </w:rPr>
      </w:pPr>
    </w:p>
    <w:p>
      <w:pPr>
        <w:ind w:right="180" w:firstLine="245"/>
        <w:spacing w:after="0" w:line="249" w:lineRule="auto"/>
        <w:rPr>
          <w:sz w:val="20"/>
          <w:szCs w:val="20"/>
          <w:color w:val="auto"/>
        </w:rPr>
      </w:pPr>
      <w:r>
        <w:rPr>
          <w:rFonts w:ascii="Times New Roman" w:cs="Times New Roman" w:eastAsia="Times New Roman" w:hAnsi="Times New Roman"/>
          <w:sz w:val="20"/>
          <w:szCs w:val="20"/>
          <w:color w:val="231F20"/>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97"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231F20"/>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Any acquisitions or strategic investments that we pursue are subject to risks and uncertainties.</w:t>
      </w:r>
    </w:p>
    <w:p>
      <w:pPr>
        <w:spacing w:after="0" w:line="120" w:lineRule="exact"/>
        <w:rPr>
          <w:sz w:val="20"/>
          <w:szCs w:val="20"/>
          <w:color w:val="auto"/>
        </w:rPr>
      </w:pPr>
    </w:p>
    <w:p>
      <w:pPr>
        <w:ind w:right="80" w:firstLine="245"/>
        <w:spacing w:after="0" w:line="247" w:lineRule="auto"/>
        <w:rPr>
          <w:sz w:val="20"/>
          <w:szCs w:val="20"/>
          <w:color w:val="auto"/>
        </w:rPr>
      </w:pPr>
      <w:r>
        <w:rPr>
          <w:rFonts w:ascii="Times New Roman" w:cs="Times New Roman" w:eastAsia="Times New Roman" w:hAnsi="Times New Roman"/>
          <w:sz w:val="20"/>
          <w:szCs w:val="20"/>
          <w:color w:val="231F20"/>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200" w:lineRule="exact"/>
        <w:rPr>
          <w:sz w:val="20"/>
          <w:szCs w:val="20"/>
          <w:color w:val="auto"/>
        </w:rPr>
      </w:pPr>
    </w:p>
    <w:p>
      <w:pPr>
        <w:ind w:right="40" w:firstLine="245"/>
        <w:spacing w:after="0" w:line="245" w:lineRule="auto"/>
        <w:rPr>
          <w:sz w:val="20"/>
          <w:szCs w:val="20"/>
          <w:color w:val="auto"/>
        </w:rPr>
      </w:pPr>
      <w:r>
        <w:rPr>
          <w:rFonts w:ascii="Times New Roman" w:cs="Times New Roman" w:eastAsia="Times New Roman" w:hAnsi="Times New Roman"/>
          <w:sz w:val="20"/>
          <w:szCs w:val="20"/>
          <w:color w:val="231F20"/>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2240" w:h="15840" w:orient="portrait"/>
          <w:cols w:equalWidth="0" w:num="1">
            <w:col w:w="10800"/>
          </w:cols>
          <w:pgMar w:left="720" w:top="930" w:right="720" w:bottom="175" w:gutter="0" w:footer="0" w:header="0"/>
          <w:type w:val="continuous"/>
        </w:sectPr>
      </w:pPr>
    </w:p>
    <w:bookmarkStart w:id="46" w:name="page47"/>
    <w:bookmarkEnd w:id="46"/>
    <w:p>
      <w:pPr>
        <w:ind w:right="80" w:firstLine="245"/>
        <w:spacing w:after="0" w:line="258" w:lineRule="auto"/>
        <w:rPr>
          <w:sz w:val="20"/>
          <w:szCs w:val="20"/>
          <w:color w:val="auto"/>
        </w:rPr>
      </w:pPr>
      <w:r>
        <w:rPr>
          <w:rFonts w:ascii="Times New Roman" w:cs="Times New Roman" w:eastAsia="Times New Roman" w:hAnsi="Times New Roman"/>
          <w:sz w:val="20"/>
          <w:szCs w:val="20"/>
          <w:color w:val="231F20"/>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30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We cannot guarantee that we will be able to obtain various required licenses in U.S. states or in any other jurisdiction where they may be required in the future.</w:t>
      </w:r>
    </w:p>
    <w:p>
      <w:pPr>
        <w:spacing w:after="0" w:line="49" w:lineRule="exact"/>
        <w:rPr>
          <w:sz w:val="20"/>
          <w:szCs w:val="20"/>
          <w:color w:val="auto"/>
        </w:rPr>
      </w:pPr>
    </w:p>
    <w:p>
      <w:pPr>
        <w:ind w:right="120" w:firstLine="245"/>
        <w:spacing w:after="0" w:line="236" w:lineRule="auto"/>
        <w:rPr>
          <w:sz w:val="20"/>
          <w:szCs w:val="20"/>
          <w:color w:val="auto"/>
        </w:rPr>
      </w:pPr>
      <w:r>
        <w:rPr>
          <w:rFonts w:ascii="Times New Roman" w:cs="Times New Roman" w:eastAsia="Times New Roman" w:hAnsi="Times New Roman"/>
          <w:sz w:val="20"/>
          <w:szCs w:val="20"/>
          <w:color w:val="231F20"/>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investments in foreign companies may involve significant risks in addition to the risks inherent in U.S. investments.</w:t>
      </w:r>
    </w:p>
    <w:p>
      <w:pPr>
        <w:spacing w:after="0" w:line="110" w:lineRule="exact"/>
        <w:rPr>
          <w:sz w:val="20"/>
          <w:szCs w:val="20"/>
          <w:color w:val="auto"/>
        </w:rPr>
      </w:pPr>
    </w:p>
    <w:p>
      <w:pPr>
        <w:ind w:right="80" w:firstLine="245"/>
        <w:spacing w:after="0" w:line="235" w:lineRule="auto"/>
        <w:rPr>
          <w:sz w:val="20"/>
          <w:szCs w:val="20"/>
          <w:color w:val="auto"/>
        </w:rPr>
      </w:pPr>
      <w:r>
        <w:rPr>
          <w:rFonts w:ascii="Times New Roman" w:cs="Times New Roman" w:eastAsia="Times New Roman" w:hAnsi="Times New Roman"/>
          <w:sz w:val="20"/>
          <w:szCs w:val="20"/>
          <w:color w:val="231F20"/>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Russia’s invasion of Ukraine and the war between Israel and Hamas in the Middle East, among other current events, could have negative impacts on the economies of countries in Europe and elsewhere. In addition, interest income derived from loans to foreign companies is not eligible to be distributed to our non-U.S. stockholders free from withholding taxes.</w:t>
      </w:r>
    </w:p>
    <w:p>
      <w:pPr>
        <w:spacing w:after="0" w:line="197" w:lineRule="exact"/>
        <w:rPr>
          <w:sz w:val="20"/>
          <w:szCs w:val="20"/>
          <w:color w:val="auto"/>
        </w:rPr>
      </w:pPr>
    </w:p>
    <w:p>
      <w:pPr>
        <w:jc w:val="both"/>
        <w:ind w:right="20" w:firstLine="245"/>
        <w:spacing w:after="0" w:line="239" w:lineRule="auto"/>
        <w:rPr>
          <w:sz w:val="20"/>
          <w:szCs w:val="20"/>
          <w:color w:val="auto"/>
        </w:rPr>
      </w:pPr>
      <w:r>
        <w:rPr>
          <w:rFonts w:ascii="Times New Roman" w:cs="Times New Roman" w:eastAsia="Times New Roman" w:hAnsi="Times New Roman"/>
          <w:sz w:val="20"/>
          <w:szCs w:val="20"/>
          <w:color w:val="231F20"/>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expose ourselves to risks when we engage in hedging transactions.</w:t>
      </w:r>
    </w:p>
    <w:p>
      <w:pPr>
        <w:spacing w:after="0" w:line="110" w:lineRule="exact"/>
        <w:rPr>
          <w:sz w:val="20"/>
          <w:szCs w:val="20"/>
          <w:color w:val="auto"/>
        </w:rPr>
      </w:pPr>
    </w:p>
    <w:p>
      <w:pPr>
        <w:ind w:right="100" w:firstLine="245"/>
        <w:spacing w:after="0" w:line="237" w:lineRule="auto"/>
        <w:rPr>
          <w:sz w:val="20"/>
          <w:szCs w:val="20"/>
          <w:color w:val="auto"/>
        </w:rPr>
      </w:pPr>
      <w:r>
        <w:rPr>
          <w:rFonts w:ascii="Times New Roman" w:cs="Times New Roman" w:eastAsia="Times New Roman" w:hAnsi="Times New Roman"/>
          <w:sz w:val="20"/>
          <w:szCs w:val="20"/>
          <w:color w:val="231F20"/>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200" w:lineRule="exact"/>
        <w:rPr>
          <w:sz w:val="20"/>
          <w:szCs w:val="20"/>
          <w:color w:val="auto"/>
        </w:rPr>
      </w:pPr>
    </w:p>
    <w:p>
      <w:pPr>
        <w:ind w:right="40" w:firstLine="245"/>
        <w:spacing w:after="0" w:line="236" w:lineRule="auto"/>
        <w:rPr>
          <w:sz w:val="20"/>
          <w:szCs w:val="20"/>
          <w:color w:val="auto"/>
        </w:rPr>
      </w:pPr>
      <w:r>
        <w:rPr>
          <w:rFonts w:ascii="Times New Roman" w:cs="Times New Roman" w:eastAsia="Times New Roman" w:hAnsi="Times New Roman"/>
          <w:sz w:val="20"/>
          <w:szCs w:val="20"/>
          <w:color w:val="231F20"/>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ind w:right="60" w:firstLine="245"/>
        <w:spacing w:after="0" w:line="237" w:lineRule="auto"/>
        <w:rPr>
          <w:sz w:val="20"/>
          <w:szCs w:val="20"/>
          <w:color w:val="auto"/>
        </w:rPr>
      </w:pPr>
      <w:r>
        <w:rPr>
          <w:rFonts w:ascii="Times New Roman" w:cs="Times New Roman" w:eastAsia="Times New Roman" w:hAnsi="Times New Roman"/>
          <w:sz w:val="20"/>
          <w:szCs w:val="20"/>
          <w:color w:val="231F20"/>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200"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231F20"/>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2023 Notes, 2024 Notes, 2026 Notes and 2028 Notes, which bear interest at fixed rates, we entered into fixed-to-floating interest rate swaps to align the interest rates of our liabilities with our investment portfolio, which</w:t>
      </w:r>
    </w:p>
    <w:p>
      <w:pPr>
        <w:sectPr>
          <w:pgSz w:w="12240" w:h="15840" w:orient="portrait"/>
          <w:cols w:equalWidth="0" w:num="1">
            <w:col w:w="10800"/>
          </w:cols>
          <w:pgMar w:left="720" w:top="930" w:right="720" w:bottom="175" w:gutter="0" w:footer="0" w:header="0"/>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2240" w:h="15840" w:orient="portrait"/>
          <w:cols w:equalWidth="0" w:num="1">
            <w:col w:w="10800"/>
          </w:cols>
          <w:pgMar w:left="720" w:top="930" w:right="720" w:bottom="175" w:gutter="0" w:footer="0" w:header="0"/>
          <w:type w:val="continuous"/>
        </w:sectPr>
      </w:pPr>
    </w:p>
    <w:bookmarkStart w:id="47" w:name="page48"/>
    <w:bookmarkEnd w:id="47"/>
    <w:p>
      <w:pPr>
        <w:ind w:right="40"/>
        <w:spacing w:after="0" w:line="239" w:lineRule="auto"/>
        <w:rPr>
          <w:sz w:val="20"/>
          <w:szCs w:val="20"/>
          <w:color w:val="auto"/>
        </w:rPr>
      </w:pPr>
      <w:r>
        <w:rPr>
          <w:rFonts w:ascii="Times New Roman" w:cs="Times New Roman" w:eastAsia="Times New Roman" w:hAnsi="Times New Roman"/>
          <w:sz w:val="20"/>
          <w:szCs w:val="20"/>
          <w:color w:val="231F20"/>
        </w:rPr>
        <w:t>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201" w:lineRule="exact"/>
        <w:rPr>
          <w:sz w:val="20"/>
          <w:szCs w:val="20"/>
          <w:color w:val="auto"/>
        </w:rPr>
      </w:pPr>
    </w:p>
    <w:p>
      <w:pPr>
        <w:ind w:firstLine="245"/>
        <w:spacing w:after="0" w:line="238" w:lineRule="auto"/>
        <w:rPr>
          <w:sz w:val="20"/>
          <w:szCs w:val="20"/>
          <w:color w:val="auto"/>
        </w:rPr>
      </w:pPr>
      <w:r>
        <w:rPr>
          <w:rFonts w:ascii="Times New Roman" w:cs="Times New Roman" w:eastAsia="Times New Roman" w:hAnsi="Times New Roman"/>
          <w:sz w:val="20"/>
          <w:szCs w:val="20"/>
          <w:color w:val="231F20"/>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20"/>
          <w:szCs w:val="20"/>
          <w:i w:val="1"/>
          <w:iCs w:val="1"/>
          <w:color w:val="231F20"/>
        </w:rPr>
        <w:t>—Risks Related to Our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Portfolio Company Investments—The new market structure applicable to derivatives imposed by the Dodd-Frank Act may affect our ability to use over-the-counter (“OTC”) derivatives for hedging purposes</w:t>
      </w:r>
      <w:r>
        <w:rPr>
          <w:rFonts w:ascii="Times New Roman" w:cs="Times New Roman" w:eastAsia="Times New Roman" w:hAnsi="Times New Roman"/>
          <w:sz w:val="20"/>
          <w:szCs w:val="20"/>
          <w:color w:val="231F20"/>
        </w:rPr>
        <w:t>.” See also “</w:t>
      </w:r>
      <w:r>
        <w:rPr>
          <w:rFonts w:ascii="Times New Roman" w:cs="Times New Roman" w:eastAsia="Times New Roman" w:hAnsi="Times New Roman"/>
          <w:sz w:val="20"/>
          <w:szCs w:val="20"/>
          <w:i w:val="1"/>
          <w:iCs w:val="1"/>
          <w:color w:val="231F20"/>
        </w:rPr>
        <w:t>—Risks Related to Our Portfolio Company Investments—We are exposed to risks associated with changes in interest rates</w:t>
      </w:r>
      <w:r>
        <w:rPr>
          <w:rFonts w:ascii="Times New Roman" w:cs="Times New Roman" w:eastAsia="Times New Roman" w:hAnsi="Times New Roman"/>
          <w:sz w:val="20"/>
          <w:szCs w:val="20"/>
          <w:color w:val="231F20"/>
        </w:rPr>
        <w:t>” and “</w:t>
      </w:r>
      <w:r>
        <w:rPr>
          <w:rFonts w:ascii="Times New Roman" w:cs="Times New Roman" w:eastAsia="Times New Roman" w:hAnsi="Times New Roman"/>
          <w:sz w:val="20"/>
          <w:szCs w:val="20"/>
          <w:i w:val="1"/>
          <w:iCs w:val="1"/>
          <w:color w:val="231F20"/>
        </w:rPr>
        <w:t>ITEM 7. MANAGEMENT’S DISCUSSION AND ANALYSIS OF FINANCIAL CONDITION AND RESULTS OF OPERATIONS—Results of Operations—Hedging</w:t>
      </w:r>
      <w:r>
        <w:rPr>
          <w:rFonts w:ascii="Times New Roman" w:cs="Times New Roman" w:eastAsia="Times New Roman" w:hAnsi="Times New Roman"/>
          <w:sz w:val="20"/>
          <w:szCs w:val="20"/>
          <w:color w:val="231F20"/>
        </w:rPr>
        <w:t>.”</w:t>
      </w:r>
    </w:p>
    <w:p>
      <w:pPr>
        <w:spacing w:after="0" w:line="209" w:lineRule="exact"/>
        <w:rPr>
          <w:sz w:val="20"/>
          <w:szCs w:val="20"/>
          <w:color w:val="auto"/>
        </w:rPr>
      </w:pPr>
    </w:p>
    <w:p>
      <w:pPr>
        <w:ind w:firstLine="245"/>
        <w:spacing w:after="0" w:line="239" w:lineRule="auto"/>
        <w:rPr>
          <w:sz w:val="20"/>
          <w:szCs w:val="20"/>
          <w:color w:val="auto"/>
        </w:rPr>
      </w:pPr>
      <w:r>
        <w:rPr>
          <w:rFonts w:ascii="Times New Roman" w:cs="Times New Roman" w:eastAsia="Times New Roman" w:hAnsi="Times New Roman"/>
          <w:sz w:val="20"/>
          <w:szCs w:val="20"/>
          <w:color w:val="231F20"/>
        </w:rPr>
        <w:t>Finally, the SEC has recently adopted Rule 18f-4, which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326"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20"/>
          <w:szCs w:val="20"/>
          <w:b w:val="1"/>
          <w:bCs w:val="1"/>
          <w:i w:val="1"/>
          <w:iCs w:val="1"/>
          <w:color w:val="231F20"/>
        </w:rPr>
        <w:t>The new market structure applicable to derivatives imposed by the Dodd-Frank Act may affect our ability to use over-the-counter (“OTC”) derivatives for hedging purposes.</w:t>
      </w:r>
    </w:p>
    <w:p>
      <w:pPr>
        <w:spacing w:after="0" w:line="49" w:lineRule="exact"/>
        <w:rPr>
          <w:sz w:val="20"/>
          <w:szCs w:val="20"/>
          <w:color w:val="auto"/>
        </w:rPr>
      </w:pPr>
    </w:p>
    <w:p>
      <w:pPr>
        <w:ind w:right="80" w:firstLine="245"/>
        <w:spacing w:after="0" w:line="247" w:lineRule="auto"/>
        <w:rPr>
          <w:sz w:val="20"/>
          <w:szCs w:val="20"/>
          <w:color w:val="auto"/>
        </w:rPr>
      </w:pPr>
      <w:r>
        <w:rPr>
          <w:rFonts w:ascii="Times New Roman" w:cs="Times New Roman" w:eastAsia="Times New Roman" w:hAnsi="Times New Roman"/>
          <w:sz w:val="20"/>
          <w:szCs w:val="20"/>
          <w:color w:val="231F20"/>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19" w:lineRule="exact"/>
        <w:rPr>
          <w:sz w:val="20"/>
          <w:szCs w:val="20"/>
          <w:color w:val="auto"/>
        </w:rPr>
      </w:pPr>
    </w:p>
    <w:p>
      <w:pPr>
        <w:ind w:firstLine="245"/>
        <w:spacing w:after="0" w:line="238" w:lineRule="auto"/>
        <w:rPr>
          <w:sz w:val="20"/>
          <w:szCs w:val="20"/>
          <w:color w:val="auto"/>
        </w:rPr>
      </w:pPr>
      <w:r>
        <w:rPr>
          <w:rFonts w:ascii="Times New Roman" w:cs="Times New Roman" w:eastAsia="Times New Roman" w:hAnsi="Times New Roman"/>
          <w:sz w:val="20"/>
          <w:szCs w:val="20"/>
          <w:color w:val="231F20"/>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2024 Notes, 2026 Notes and 2028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203" w:lineRule="exact"/>
        <w:rPr>
          <w:sz w:val="20"/>
          <w:szCs w:val="20"/>
          <w:color w:val="auto"/>
        </w:rPr>
      </w:pPr>
    </w:p>
    <w:p>
      <w:pPr>
        <w:ind w:right="20" w:firstLine="245"/>
        <w:spacing w:after="0"/>
        <w:rPr>
          <w:sz w:val="20"/>
          <w:szCs w:val="20"/>
          <w:color w:val="auto"/>
        </w:rPr>
      </w:pPr>
      <w:r>
        <w:rPr>
          <w:rFonts w:ascii="Times New Roman" w:cs="Times New Roman" w:eastAsia="Times New Roman" w:hAnsi="Times New Roman"/>
          <w:sz w:val="20"/>
          <w:szCs w:val="20"/>
          <w:color w:val="231F20"/>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2545715</wp:posOffset>
                </wp:positionH>
                <wp:positionV relativeFrom="paragraph">
                  <wp:posOffset>-923290</wp:posOffset>
                </wp:positionV>
                <wp:extent cx="3175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0.45pt,-72.6999pt" to="202.95pt,-72.6999pt" o:allowincell="f" strokecolor="#231F20" strokeweight="0.5pt"/>
            </w:pict>
          </mc:Fallback>
        </mc:AlternateContent>
      </w:r>
    </w:p>
    <w:p>
      <w:pPr>
        <w:sectPr>
          <w:pgSz w:w="12240" w:h="15840" w:orient="portrait"/>
          <w:cols w:equalWidth="0" w:num="1">
            <w:col w:w="10780"/>
          </w:cols>
          <w:pgMar w:left="720" w:top="922"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48</w:t>
      </w:r>
    </w:p>
    <w:p>
      <w:pPr>
        <w:sectPr>
          <w:pgSz w:w="12240" w:h="15840" w:orient="portrait"/>
          <w:cols w:equalWidth="0" w:num="1">
            <w:col w:w="10780"/>
          </w:cols>
          <w:pgMar w:left="720" w:top="922" w:right="740" w:bottom="175" w:gutter="0" w:footer="0" w:header="0"/>
          <w:type w:val="continuous"/>
        </w:sectPr>
      </w:pPr>
    </w:p>
    <w:bookmarkStart w:id="48" w:name="page49"/>
    <w:bookmarkEnd w:id="48"/>
    <w:p>
      <w:pPr>
        <w:ind w:right="60"/>
        <w:spacing w:after="0" w:line="272" w:lineRule="auto"/>
        <w:rPr>
          <w:sz w:val="20"/>
          <w:szCs w:val="20"/>
          <w:color w:val="auto"/>
        </w:rPr>
      </w:pPr>
      <w:r>
        <w:rPr>
          <w:rFonts w:ascii="Times New Roman" w:cs="Times New Roman" w:eastAsia="Times New Roman" w:hAnsi="Times New Roman"/>
          <w:sz w:val="20"/>
          <w:szCs w:val="20"/>
          <w:b w:val="1"/>
          <w:bCs w:val="1"/>
          <w:i w:val="1"/>
          <w:iCs w:val="1"/>
          <w:color w:val="231F20"/>
        </w:rPr>
        <w:t>If we cease to be eligible for an exemption from regulation as a commodity pool operator, our compliance expenses could increase substantially.</w:t>
      </w:r>
    </w:p>
    <w:p>
      <w:pPr>
        <w:spacing w:after="0" w:line="49" w:lineRule="exact"/>
        <w:rPr>
          <w:sz w:val="20"/>
          <w:szCs w:val="20"/>
          <w:color w:val="auto"/>
        </w:rPr>
      </w:pPr>
    </w:p>
    <w:p>
      <w:pPr>
        <w:ind w:right="40" w:firstLine="245"/>
        <w:spacing w:after="0" w:line="253" w:lineRule="auto"/>
        <w:rPr>
          <w:sz w:val="20"/>
          <w:szCs w:val="20"/>
          <w:color w:val="auto"/>
        </w:rPr>
      </w:pPr>
      <w:r>
        <w:rPr>
          <w:rFonts w:ascii="Times New Roman" w:cs="Times New Roman" w:eastAsia="Times New Roman" w:hAnsi="Times New Roman"/>
          <w:sz w:val="20"/>
          <w:szCs w:val="20"/>
          <w:color w:val="231F20"/>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83" w:lineRule="exact"/>
        <w:rPr>
          <w:sz w:val="20"/>
          <w:szCs w:val="20"/>
          <w:color w:val="auto"/>
        </w:rPr>
      </w:pPr>
    </w:p>
    <w:p>
      <w:pPr>
        <w:ind w:left="500" w:hanging="255"/>
        <w:spacing w:after="0"/>
        <w:tabs>
          <w:tab w:leader="none" w:pos="50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to be regulated by the SEC as a BDC;</w:t>
      </w:r>
    </w:p>
    <w:p>
      <w:pPr>
        <w:spacing w:after="0" w:line="128" w:lineRule="exact"/>
        <w:rPr>
          <w:rFonts w:ascii="Arial" w:cs="Arial" w:eastAsia="Arial" w:hAnsi="Arial"/>
          <w:sz w:val="20"/>
          <w:szCs w:val="20"/>
          <w:color w:val="231F20"/>
        </w:rPr>
      </w:pPr>
    </w:p>
    <w:p>
      <w:pPr>
        <w:ind w:left="500" w:hanging="255"/>
        <w:spacing w:after="0"/>
        <w:tabs>
          <w:tab w:leader="none" w:pos="50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confine our trading in CFTC-regulated derivatives within specified thresholds; and</w:t>
      </w:r>
    </w:p>
    <w:p>
      <w:pPr>
        <w:spacing w:after="0" w:line="128" w:lineRule="exact"/>
        <w:rPr>
          <w:rFonts w:ascii="Arial" w:cs="Arial" w:eastAsia="Arial" w:hAnsi="Arial"/>
          <w:sz w:val="20"/>
          <w:szCs w:val="20"/>
          <w:color w:val="231F20"/>
        </w:rPr>
      </w:pPr>
    </w:p>
    <w:p>
      <w:pPr>
        <w:ind w:left="500" w:hanging="255"/>
        <w:spacing w:after="0"/>
        <w:tabs>
          <w:tab w:leader="none" w:pos="50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are not marketed to the public as a commodity pool or as a vehicle for trading in CFTC-regulated derivatives.</w:t>
      </w:r>
    </w:p>
    <w:p>
      <w:pPr>
        <w:spacing w:after="0" w:line="238"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231F20"/>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portfolio investments may present special tax issues.</w:t>
      </w:r>
    </w:p>
    <w:p>
      <w:pPr>
        <w:spacing w:after="0" w:line="120" w:lineRule="exact"/>
        <w:rPr>
          <w:sz w:val="20"/>
          <w:szCs w:val="20"/>
          <w:color w:val="auto"/>
        </w:rPr>
      </w:pPr>
    </w:p>
    <w:p>
      <w:pPr>
        <w:ind w:firstLine="245"/>
        <w:spacing w:after="0" w:line="243" w:lineRule="auto"/>
        <w:rPr>
          <w:sz w:val="20"/>
          <w:szCs w:val="20"/>
          <w:color w:val="auto"/>
        </w:rPr>
      </w:pPr>
      <w:r>
        <w:rPr>
          <w:rFonts w:ascii="Times New Roman" w:cs="Times New Roman" w:eastAsia="Times New Roman" w:hAnsi="Times New Roman"/>
          <w:sz w:val="20"/>
          <w:szCs w:val="20"/>
          <w:color w:val="231F20"/>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20"/>
          <w:szCs w:val="20"/>
          <w:i w:val="1"/>
          <w:iCs w:val="1"/>
          <w:color w:val="231F20"/>
        </w:rPr>
        <w:t>ITEM 1. BUSINESS—Regulation as a Business Development Company</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Regulated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Investment Company Classification</w:t>
      </w:r>
      <w:r>
        <w:rPr>
          <w:rFonts w:ascii="Times New Roman" w:cs="Times New Roman" w:eastAsia="Times New Roman" w:hAnsi="Times New Roman"/>
          <w:sz w:val="20"/>
          <w:szCs w:val="20"/>
          <w:color w:val="231F20"/>
        </w:rPr>
        <w:t>” for more information.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There are certain risks associated with holding debt obligations that have original issue discount or payment-in-kind interest.</w:t>
      </w:r>
    </w:p>
    <w:p>
      <w:pPr>
        <w:spacing w:after="0" w:line="120" w:lineRule="exact"/>
        <w:rPr>
          <w:sz w:val="20"/>
          <w:szCs w:val="20"/>
          <w:color w:val="auto"/>
        </w:rPr>
      </w:pPr>
    </w:p>
    <w:p>
      <w:pPr>
        <w:ind w:right="100" w:firstLine="245"/>
        <w:spacing w:after="0" w:line="258" w:lineRule="auto"/>
        <w:rPr>
          <w:sz w:val="20"/>
          <w:szCs w:val="20"/>
          <w:color w:val="auto"/>
        </w:rPr>
      </w:pPr>
      <w:r>
        <w:rPr>
          <w:rFonts w:ascii="Times New Roman" w:cs="Times New Roman" w:eastAsia="Times New Roman" w:hAnsi="Times New Roman"/>
          <w:sz w:val="20"/>
          <w:szCs w:val="20"/>
          <w:color w:val="231F20"/>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8" w:lineRule="exact"/>
        <w:rPr>
          <w:sz w:val="20"/>
          <w:szCs w:val="20"/>
          <w:color w:val="auto"/>
        </w:rPr>
      </w:pPr>
    </w:p>
    <w:p>
      <w:pPr>
        <w:ind w:right="120" w:firstLine="245"/>
        <w:spacing w:after="0" w:line="252" w:lineRule="auto"/>
        <w:rPr>
          <w:sz w:val="20"/>
          <w:szCs w:val="20"/>
          <w:color w:val="auto"/>
        </w:rPr>
      </w:pPr>
      <w:r>
        <w:rPr>
          <w:rFonts w:ascii="Times New Roman" w:cs="Times New Roman" w:eastAsia="Times New Roman" w:hAnsi="Times New Roman"/>
          <w:sz w:val="20"/>
          <w:szCs w:val="20"/>
          <w:color w:val="231F20"/>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94" w:lineRule="exact"/>
        <w:rPr>
          <w:sz w:val="20"/>
          <w:szCs w:val="20"/>
          <w:color w:val="auto"/>
        </w:rPr>
      </w:pPr>
    </w:p>
    <w:p>
      <w:pPr>
        <w:ind w:right="220" w:firstLine="245"/>
        <w:spacing w:after="0" w:line="258" w:lineRule="auto"/>
        <w:rPr>
          <w:sz w:val="20"/>
          <w:szCs w:val="20"/>
          <w:color w:val="auto"/>
        </w:rPr>
      </w:pPr>
      <w:r>
        <w:rPr>
          <w:rFonts w:ascii="Times New Roman" w:cs="Times New Roman" w:eastAsia="Times New Roman" w:hAnsi="Times New Roman"/>
          <w:sz w:val="20"/>
          <w:szCs w:val="20"/>
          <w:color w:val="231F20"/>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88" w:lineRule="exact"/>
        <w:rPr>
          <w:sz w:val="20"/>
          <w:szCs w:val="20"/>
          <w:color w:val="auto"/>
        </w:rPr>
      </w:pPr>
    </w:p>
    <w:p>
      <w:pPr>
        <w:ind w:right="320" w:firstLine="245"/>
        <w:spacing w:after="0" w:line="252" w:lineRule="auto"/>
        <w:rPr>
          <w:sz w:val="20"/>
          <w:szCs w:val="20"/>
          <w:color w:val="auto"/>
        </w:rPr>
      </w:pPr>
      <w:r>
        <w:rPr>
          <w:rFonts w:ascii="Times New Roman" w:cs="Times New Roman" w:eastAsia="Times New Roman" w:hAnsi="Times New Roman"/>
          <w:sz w:val="20"/>
          <w:szCs w:val="20"/>
          <w:color w:val="231F20"/>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49</w:t>
      </w:r>
    </w:p>
    <w:p>
      <w:pPr>
        <w:sectPr>
          <w:pgSz w:w="12240" w:h="15840" w:orient="portrait"/>
          <w:cols w:equalWidth="0" w:num="1">
            <w:col w:w="10780"/>
          </w:cols>
          <w:pgMar w:left="720" w:top="926" w:right="740" w:bottom="175" w:gutter="0" w:footer="0" w:header="0"/>
          <w:type w:val="continuous"/>
        </w:sectPr>
      </w:pPr>
    </w:p>
    <w:bookmarkStart w:id="49" w:name="page50"/>
    <w:bookmarkEnd w:id="49"/>
    <w:p>
      <w:pPr>
        <w:jc w:val="both"/>
        <w:ind w:right="80" w:firstLine="245"/>
        <w:spacing w:after="0" w:line="253" w:lineRule="auto"/>
        <w:rPr>
          <w:sz w:val="20"/>
          <w:szCs w:val="20"/>
          <w:color w:val="auto"/>
        </w:rPr>
      </w:pPr>
      <w:r>
        <w:rPr>
          <w:rFonts w:ascii="Times New Roman" w:cs="Times New Roman" w:eastAsia="Times New Roman" w:hAnsi="Times New Roman"/>
          <w:sz w:val="20"/>
          <w:szCs w:val="20"/>
          <w:color w:val="231F20"/>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There is a risk that investors in our common stock may not receive dividends or that our dividends may not grow over time.</w:t>
      </w:r>
    </w:p>
    <w:p>
      <w:pPr>
        <w:spacing w:after="0" w:line="115" w:lineRule="exact"/>
        <w:rPr>
          <w:sz w:val="20"/>
          <w:szCs w:val="20"/>
          <w:color w:val="auto"/>
        </w:rPr>
      </w:pPr>
    </w:p>
    <w:p>
      <w:pPr>
        <w:ind w:right="40" w:firstLine="245"/>
        <w:spacing w:after="0"/>
        <w:rPr>
          <w:sz w:val="20"/>
          <w:szCs w:val="20"/>
          <w:color w:val="auto"/>
        </w:rPr>
      </w:pPr>
      <w:r>
        <w:rPr>
          <w:rFonts w:ascii="Times New Roman" w:cs="Times New Roman" w:eastAsia="Times New Roman" w:hAnsi="Times New Roman"/>
          <w:sz w:val="20"/>
          <w:szCs w:val="20"/>
          <w:color w:val="231F20"/>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202" w:lineRule="exact"/>
        <w:rPr>
          <w:sz w:val="20"/>
          <w:szCs w:val="20"/>
          <w:color w:val="auto"/>
        </w:rPr>
      </w:pPr>
    </w:p>
    <w:p>
      <w:pPr>
        <w:ind w:right="120" w:firstLine="245"/>
        <w:spacing w:after="0" w:line="244" w:lineRule="auto"/>
        <w:rPr>
          <w:sz w:val="20"/>
          <w:szCs w:val="20"/>
          <w:color w:val="auto"/>
        </w:rPr>
      </w:pPr>
      <w:r>
        <w:rPr>
          <w:rFonts w:ascii="Times New Roman" w:cs="Times New Roman" w:eastAsia="Times New Roman" w:hAnsi="Times New Roman"/>
          <w:sz w:val="20"/>
          <w:szCs w:val="20"/>
          <w:color w:val="231F20"/>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20"/>
          <w:szCs w:val="20"/>
          <w:i w:val="1"/>
          <w:iCs w:val="1"/>
          <w:color w:val="231F20"/>
        </w:rPr>
        <w:t>—Risks Related to Our Portfolio Company Investments—There are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certain risks associated with holding debt obligations that have original issue discount or payment-in-kind interest</w:t>
      </w:r>
      <w:r>
        <w:rPr>
          <w:rFonts w:ascii="Times New Roman" w:cs="Times New Roman" w:eastAsia="Times New Roman" w:hAnsi="Times New Roman"/>
          <w:sz w:val="20"/>
          <w:szCs w:val="20"/>
          <w:color w:val="231F20"/>
        </w:rPr>
        <w:t>.”</w:t>
      </w:r>
    </w:p>
    <w:p>
      <w:pPr>
        <w:spacing w:after="0" w:line="197"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231F20"/>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200" w:lineRule="exact"/>
        <w:rPr>
          <w:sz w:val="20"/>
          <w:szCs w:val="20"/>
          <w:color w:val="auto"/>
        </w:rPr>
      </w:pPr>
    </w:p>
    <w:p>
      <w:pPr>
        <w:ind w:right="40" w:firstLine="245"/>
        <w:spacing w:after="0" w:line="273" w:lineRule="auto"/>
        <w:rPr>
          <w:sz w:val="20"/>
          <w:szCs w:val="20"/>
          <w:color w:val="auto"/>
        </w:rPr>
      </w:pPr>
      <w:r>
        <w:rPr>
          <w:rFonts w:ascii="Times New Roman" w:cs="Times New Roman" w:eastAsia="Times New Roman" w:hAnsi="Times New Roman"/>
          <w:sz w:val="19"/>
          <w:szCs w:val="19"/>
          <w:color w:val="231F20"/>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0" w:lineRule="exact"/>
        <w:rPr>
          <w:sz w:val="20"/>
          <w:szCs w:val="20"/>
          <w:color w:val="auto"/>
        </w:rPr>
      </w:pPr>
    </w:p>
    <w:p>
      <w:pPr>
        <w:ind w:right="20" w:firstLine="245"/>
        <w:spacing w:after="0" w:line="242" w:lineRule="auto"/>
        <w:rPr>
          <w:sz w:val="20"/>
          <w:szCs w:val="20"/>
          <w:color w:val="auto"/>
        </w:rPr>
      </w:pPr>
      <w:r>
        <w:rPr>
          <w:rFonts w:ascii="Times New Roman" w:cs="Times New Roman" w:eastAsia="Times New Roman" w:hAnsi="Times New Roman"/>
          <w:sz w:val="20"/>
          <w:szCs w:val="20"/>
          <w:color w:val="231F20"/>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200"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231F20"/>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in our securities may involve a high degree of risk.</w:t>
      </w:r>
    </w:p>
    <w:p>
      <w:pPr>
        <w:spacing w:after="0" w:line="115" w:lineRule="exact"/>
        <w:rPr>
          <w:sz w:val="20"/>
          <w:szCs w:val="20"/>
          <w:color w:val="auto"/>
        </w:rPr>
      </w:pPr>
    </w:p>
    <w:p>
      <w:pPr>
        <w:ind w:right="580" w:firstLine="245"/>
        <w:spacing w:after="0" w:line="253" w:lineRule="auto"/>
        <w:rPr>
          <w:sz w:val="20"/>
          <w:szCs w:val="20"/>
          <w:color w:val="auto"/>
        </w:rPr>
      </w:pPr>
      <w:r>
        <w:rPr>
          <w:rFonts w:ascii="Times New Roman" w:cs="Times New Roman" w:eastAsia="Times New Roman" w:hAnsi="Times New Roman"/>
          <w:sz w:val="20"/>
          <w:szCs w:val="20"/>
          <w:color w:val="231F20"/>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market price of our common stock may fluctuate significantly.</w:t>
      </w:r>
    </w:p>
    <w:p>
      <w:pPr>
        <w:spacing w:after="0" w:line="115" w:lineRule="exact"/>
        <w:rPr>
          <w:sz w:val="20"/>
          <w:szCs w:val="20"/>
          <w:color w:val="auto"/>
        </w:rPr>
      </w:pPr>
    </w:p>
    <w:p>
      <w:pPr>
        <w:ind w:right="300" w:firstLine="245"/>
        <w:spacing w:after="0" w:line="272" w:lineRule="auto"/>
        <w:rPr>
          <w:sz w:val="20"/>
          <w:szCs w:val="20"/>
          <w:color w:val="auto"/>
        </w:rPr>
      </w:pPr>
      <w:r>
        <w:rPr>
          <w:rFonts w:ascii="Times New Roman" w:cs="Times New Roman" w:eastAsia="Times New Roman" w:hAnsi="Times New Roman"/>
          <w:sz w:val="20"/>
          <w:szCs w:val="20"/>
          <w:color w:val="231F20"/>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3" w:lineRule="exact"/>
        <w:rPr>
          <w:sz w:val="20"/>
          <w:szCs w:val="20"/>
          <w:color w:val="auto"/>
        </w:rPr>
      </w:pPr>
    </w:p>
    <w:p>
      <w:pPr>
        <w:ind w:left="500" w:right="40" w:hanging="255"/>
        <w:spacing w:after="0" w:line="271" w:lineRule="auto"/>
        <w:tabs>
          <w:tab w:leader="none" w:pos="50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significant volatility in the market price and trading volume of securities of BDCs or other companies in our sector, which is not necessarily related to the operating performance of these companies;</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regulatory policies or tax guidelines, particularly with respect to RICs or BDCs;</w:t>
      </w:r>
    </w:p>
    <w:p>
      <w:pPr>
        <w:sectPr>
          <w:pgSz w:w="12240" w:h="15840" w:orient="portrait"/>
          <w:cols w:equalWidth="0" w:num="1">
            <w:col w:w="10800"/>
          </w:cols>
          <w:pgMar w:left="720" w:top="926" w:right="720" w:bottom="175"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2240" w:h="15840" w:orient="portrait"/>
          <w:cols w:equalWidth="0" w:num="1">
            <w:col w:w="10800"/>
          </w:cols>
          <w:pgMar w:left="720" w:top="926" w:right="720" w:bottom="175" w:gutter="0" w:footer="0" w:header="0"/>
          <w:type w:val="continuous"/>
        </w:sectPr>
      </w:pPr>
    </w:p>
    <w:bookmarkStart w:id="50" w:name="page51"/>
    <w:bookmarkEnd w:id="50"/>
    <w:p>
      <w:pPr>
        <w:ind w:left="500" w:right="140" w:hanging="255"/>
        <w:spacing w:after="0" w:line="276" w:lineRule="auto"/>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exclusion of BDC common stock from certain market indices, which could reduce the ability of certain investment funds to own our common stock and put short term selling pressure on our common stock;</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loss of RIC or BDC status;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or perceived changes in earnings or variations in operating results;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our portfolio of investments;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or perceived changes in the value of our portfolio of investments;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accounting guidelines governing valuation of our investments;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any shortfall in revenue or net income or any increase in losses from levels expected by investors or securities analysts;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any downgrades to our credit rating or placement on a negative watch status by a credit rating agency;</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departure of the Adviser’s or any of its affiliates’ key personnel;</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operating performance of companies comparable to us;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short-selling pressure with respect to shares of our common stock or BDCs generally;</w:t>
      </w:r>
    </w:p>
    <w:p>
      <w:pPr>
        <w:spacing w:after="0" w:line="133" w:lineRule="exact"/>
        <w:rPr>
          <w:rFonts w:ascii="Arial" w:cs="Arial" w:eastAsia="Arial" w:hAnsi="Arial"/>
          <w:sz w:val="20"/>
          <w:szCs w:val="20"/>
          <w:color w:val="231F20"/>
        </w:rPr>
      </w:pPr>
    </w:p>
    <w:p>
      <w:pPr>
        <w:ind w:left="500" w:right="320" w:hanging="255"/>
        <w:spacing w:after="0" w:line="276" w:lineRule="auto"/>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sales of our securities convertible into or exchangeable or exercisable for our common stock or the conversion of such securities;</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uncertainty surrounding the strength of the U.S. economy;</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concerns regarding European sovereign debt and Brexit;</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concerns regarding volatility in the Chinese stock market and Chinese currency;</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concerns regarding U.S. and global tariffs and trade policy;</w:t>
      </w:r>
    </w:p>
    <w:p>
      <w:pPr>
        <w:spacing w:after="0" w:line="133" w:lineRule="exact"/>
        <w:rPr>
          <w:rFonts w:ascii="Arial" w:cs="Arial" w:eastAsia="Arial" w:hAnsi="Arial"/>
          <w:sz w:val="20"/>
          <w:szCs w:val="20"/>
          <w:color w:val="231F20"/>
        </w:rPr>
      </w:pPr>
    </w:p>
    <w:p>
      <w:pPr>
        <w:ind w:left="500" w:right="1820" w:hanging="255"/>
        <w:spacing w:after="0" w:line="276" w:lineRule="auto"/>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the large-scale invasion of Ukraine by Russia that began in February 2022, related sanctions and other potential retaliatory actions or responses;</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fluctuations in base interest rates, such as SOFR, EURIBOR, SONIA, the Federal Funds Rate or the Prime Rate;</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public health epidemics on the global economy, such as the COVID-19 pandemic and its worldwide impact;</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economic trends and other external factors; and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loss of a major funding source.</w:t>
      </w:r>
    </w:p>
    <w:p>
      <w:pPr>
        <w:spacing w:after="0" w:line="239" w:lineRule="exact"/>
        <w:rPr>
          <w:sz w:val="20"/>
          <w:szCs w:val="20"/>
          <w:color w:val="auto"/>
        </w:rPr>
      </w:pPr>
    </w:p>
    <w:p>
      <w:pPr>
        <w:ind w:right="20" w:firstLine="245"/>
        <w:spacing w:after="0" w:line="258" w:lineRule="auto"/>
        <w:rPr>
          <w:sz w:val="20"/>
          <w:szCs w:val="20"/>
          <w:color w:val="auto"/>
        </w:rPr>
      </w:pPr>
      <w:r>
        <w:rPr>
          <w:rFonts w:ascii="Times New Roman" w:cs="Times New Roman" w:eastAsia="Times New Roman" w:hAnsi="Times New Roman"/>
          <w:sz w:val="20"/>
          <w:szCs w:val="20"/>
          <w:color w:val="231F20"/>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cannot assure you that the market price of shares of our common stock will not decline.</w:t>
      </w:r>
    </w:p>
    <w:p>
      <w:pPr>
        <w:spacing w:after="0" w:line="120"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231F20"/>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20"/>
          <w:szCs w:val="20"/>
          <w:i w:val="1"/>
          <w:iCs w:val="1"/>
          <w:color w:val="231F20"/>
        </w:rPr>
        <w:t>“—Risks Related to Our Business and Structure—Regulations governing our operation as a BDC affect our ability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to, and the way in which we, raise additional capital.”</w:t>
      </w:r>
    </w:p>
    <w:p>
      <w:pPr>
        <w:spacing w:after="0" w:line="326"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Sales of substantial amounts of our common stock in the public market may have an adverse effect on the market price of our common stock.</w:t>
      </w:r>
    </w:p>
    <w:p>
      <w:pPr>
        <w:spacing w:after="0" w:line="49"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231F20"/>
        </w:rPr>
        <w:t>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w:t>
      </w:r>
    </w:p>
    <w:p>
      <w:pPr>
        <w:sectPr>
          <w:pgSz w:w="12240" w:h="15840" w:orient="portrait"/>
          <w:cols w:equalWidth="0" w:num="1">
            <w:col w:w="10800"/>
          </w:cols>
          <w:pgMar w:left="720" w:top="944" w:right="720" w:bottom="175"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2240" w:h="15840" w:orient="portrait"/>
          <w:cols w:equalWidth="0" w:num="1">
            <w:col w:w="10800"/>
          </w:cols>
          <w:pgMar w:left="720" w:top="944" w:right="720" w:bottom="175" w:gutter="0" w:footer="0" w:header="0"/>
          <w:type w:val="continuous"/>
        </w:sectPr>
      </w:pPr>
    </w:p>
    <w:bookmarkStart w:id="51" w:name="page52"/>
    <w:bookmarkEnd w:id="51"/>
    <w:p>
      <w:pPr>
        <w:ind w:right="240"/>
        <w:spacing w:after="0" w:line="277" w:lineRule="auto"/>
        <w:rPr>
          <w:sz w:val="20"/>
          <w:szCs w:val="20"/>
          <w:color w:val="auto"/>
        </w:rPr>
      </w:pPr>
      <w:r>
        <w:rPr>
          <w:rFonts w:ascii="Times New Roman" w:cs="Times New Roman" w:eastAsia="Times New Roman" w:hAnsi="Times New Roman"/>
          <w:sz w:val="20"/>
          <w:szCs w:val="20"/>
          <w:color w:val="231F20"/>
        </w:rPr>
        <w:t>securities or the availability of securities for future sales will have on the market price of our common stock prevailing from time to time.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stockholders will experience dilution in their ownership percentage if they opt out of our dividend reinvestment plan.</w:t>
      </w:r>
    </w:p>
    <w:p>
      <w:pPr>
        <w:spacing w:after="0" w:line="120" w:lineRule="exact"/>
        <w:rPr>
          <w:sz w:val="20"/>
          <w:szCs w:val="20"/>
          <w:color w:val="auto"/>
        </w:rPr>
      </w:pPr>
    </w:p>
    <w:p>
      <w:pPr>
        <w:ind w:right="80" w:firstLine="245"/>
        <w:spacing w:after="0" w:line="247" w:lineRule="auto"/>
        <w:rPr>
          <w:sz w:val="20"/>
          <w:szCs w:val="20"/>
          <w:color w:val="auto"/>
        </w:rPr>
      </w:pPr>
      <w:r>
        <w:rPr>
          <w:rFonts w:ascii="Times New Roman" w:cs="Times New Roman" w:eastAsia="Times New Roman" w:hAnsi="Times New Roman"/>
          <w:sz w:val="20"/>
          <w:szCs w:val="20"/>
          <w:color w:val="231F20"/>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20"/>
          <w:szCs w:val="20"/>
          <w:i w:val="1"/>
          <w:iCs w:val="1"/>
          <w:color w:val="231F20"/>
        </w:rPr>
        <w:t>“ITEM 1. BUSINESS—Dividend Policy</w:t>
      </w:r>
      <w:r>
        <w:rPr>
          <w:rFonts w:ascii="Times New Roman" w:cs="Times New Roman" w:eastAsia="Times New Roman" w:hAnsi="Times New Roman"/>
          <w:sz w:val="20"/>
          <w:szCs w:val="20"/>
          <w:color w:val="231F20"/>
        </w:rPr>
        <w:t>” and “</w:t>
      </w:r>
      <w:r>
        <w:rPr>
          <w:rFonts w:ascii="Times New Roman" w:cs="Times New Roman" w:eastAsia="Times New Roman" w:hAnsi="Times New Roman"/>
          <w:sz w:val="20"/>
          <w:szCs w:val="20"/>
          <w:i w:val="1"/>
          <w:iCs w:val="1"/>
          <w:color w:val="231F20"/>
        </w:rPr>
        <w:t>ITEM 1. BUSINESS—Dividend Reinvestment Plan</w:t>
      </w:r>
      <w:r>
        <w:rPr>
          <w:rFonts w:ascii="Times New Roman" w:cs="Times New Roman" w:eastAsia="Times New Roman" w:hAnsi="Times New Roman"/>
          <w:sz w:val="20"/>
          <w:szCs w:val="20"/>
          <w:color w:val="231F20"/>
        </w:rPr>
        <w:t>” for a description of our dividend policy and obligations.</w:t>
      </w:r>
    </w:p>
    <w:p>
      <w:pPr>
        <w:spacing w:after="0" w:line="200"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231F20"/>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32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Purchases of our common stock by us under the Company 10b5-1 Plan may result in the price of our common stock being higher than the price that otherwise might exist in the open market.</w:t>
      </w:r>
    </w:p>
    <w:p>
      <w:pPr>
        <w:spacing w:after="0" w:line="49"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231F20"/>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2024.</w:t>
      </w:r>
    </w:p>
    <w:p>
      <w:pPr>
        <w:spacing w:after="0" w:line="194"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231F20"/>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Purchases of our common stock by us under the Company 10b5-1 Plan may result in dilution to our net asset value per share.</w:t>
      </w:r>
    </w:p>
    <w:p>
      <w:pPr>
        <w:spacing w:after="0" w:line="120"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20"/>
          <w:szCs w:val="20"/>
          <w:color w:val="231F20"/>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15, 2023. Under the Company 10b5-1 Plan, the agent will increase the volume of purchases made as the price of our common stock declines, subject to volume restrictions.</w:t>
      </w:r>
    </w:p>
    <w:p>
      <w:pPr>
        <w:spacing w:after="0" w:line="197" w:lineRule="exact"/>
        <w:rPr>
          <w:sz w:val="20"/>
          <w:szCs w:val="20"/>
          <w:color w:val="auto"/>
        </w:rPr>
      </w:pPr>
    </w:p>
    <w:p>
      <w:pPr>
        <w:jc w:val="both"/>
        <w:ind w:right="100" w:firstLine="245"/>
        <w:spacing w:after="0" w:line="258" w:lineRule="auto"/>
        <w:rPr>
          <w:sz w:val="20"/>
          <w:szCs w:val="20"/>
          <w:color w:val="auto"/>
        </w:rPr>
      </w:pPr>
      <w:r>
        <w:rPr>
          <w:rFonts w:ascii="Times New Roman" w:cs="Times New Roman" w:eastAsia="Times New Roman" w:hAnsi="Times New Roman"/>
          <w:sz w:val="20"/>
          <w:szCs w:val="20"/>
          <w:color w:val="231F20"/>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8" w:lineRule="exact"/>
        <w:rPr>
          <w:sz w:val="20"/>
          <w:szCs w:val="20"/>
          <w:color w:val="auto"/>
        </w:rPr>
      </w:pPr>
    </w:p>
    <w:p>
      <w:pPr>
        <w:jc w:val="both"/>
        <w:ind w:right="260" w:firstLine="245"/>
        <w:spacing w:after="0" w:line="277" w:lineRule="auto"/>
        <w:rPr>
          <w:sz w:val="20"/>
          <w:szCs w:val="20"/>
          <w:color w:val="auto"/>
        </w:rPr>
      </w:pPr>
      <w:r>
        <w:rPr>
          <w:rFonts w:ascii="Times New Roman" w:cs="Times New Roman" w:eastAsia="Times New Roman" w:hAnsi="Times New Roman"/>
          <w:sz w:val="20"/>
          <w:szCs w:val="20"/>
          <w:color w:val="231F20"/>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Risk Factors</w:t>
      </w:r>
    </w:p>
    <w:p>
      <w:pPr>
        <w:spacing w:after="0" w:line="12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highly dependent on information systems and systems failures could significantly disrupt our business, which may, in turn, negatively affect the market price of our common stock and our ability to pay dividends.</w:t>
      </w:r>
    </w:p>
    <w:p>
      <w:pPr>
        <w:spacing w:after="0" w:line="49"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231F20"/>
        </w:rPr>
        <w:t>Our business is highly dependent on the communications and information systems of the Adviser, its affiliates and third parties.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w:t>
      </w:r>
    </w:p>
    <w:p>
      <w:pPr>
        <w:sectPr>
          <w:pgSz w:w="12240" w:h="15840" w:orient="portrait"/>
          <w:cols w:equalWidth="0" w:num="1">
            <w:col w:w="10780"/>
          </w:cols>
          <w:pgMar w:left="720" w:top="930" w:right="740" w:bottom="175"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52</w:t>
      </w:r>
    </w:p>
    <w:p>
      <w:pPr>
        <w:sectPr>
          <w:pgSz w:w="12240" w:h="15840" w:orient="portrait"/>
          <w:cols w:equalWidth="0" w:num="1">
            <w:col w:w="10780"/>
          </w:cols>
          <w:pgMar w:left="720" w:top="930" w:right="740" w:bottom="175" w:gutter="0" w:footer="0" w:header="0"/>
          <w:type w:val="continuous"/>
        </w:sectPr>
      </w:pPr>
    </w:p>
    <w:bookmarkStart w:id="52" w:name="page53"/>
    <w:bookmarkEnd w:id="52"/>
    <w:p>
      <w:pPr>
        <w:ind w:right="200"/>
        <w:spacing w:after="0" w:line="277" w:lineRule="auto"/>
        <w:rPr>
          <w:sz w:val="20"/>
          <w:szCs w:val="20"/>
          <w:color w:val="auto"/>
        </w:rPr>
      </w:pPr>
      <w:r>
        <w:rPr>
          <w:rFonts w:ascii="Times New Roman" w:cs="Times New Roman" w:eastAsia="Times New Roman" w:hAnsi="Times New Roman"/>
          <w:sz w:val="20"/>
          <w:szCs w:val="20"/>
          <w:color w:val="231F20"/>
        </w:rPr>
        <w:t>disabled or damaged as a result of a number of factors including events that are wholly or partially beyond our control and adversely affect our business. There could be:</w:t>
      </w:r>
    </w:p>
    <w:p>
      <w:pPr>
        <w:spacing w:after="0" w:line="63" w:lineRule="exact"/>
        <w:rPr>
          <w:sz w:val="20"/>
          <w:szCs w:val="20"/>
          <w:color w:val="auto"/>
        </w:rPr>
      </w:pPr>
    </w:p>
    <w:p>
      <w:pPr>
        <w:ind w:left="500" w:hanging="255"/>
        <w:spacing w:after="0"/>
        <w:tabs>
          <w:tab w:leader="none" w:pos="50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sudden electrical or telecommunications outages;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natural disasters such as earthquakes, tornadoes and hurricanes;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disease pandemics;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events arising from local or larger scale political or social matters, including wars or terrorist acts;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outages due to idiosyncratic issues at specific providers; and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cyber-attacks.</w:t>
      </w:r>
    </w:p>
    <w:p>
      <w:pPr>
        <w:spacing w:after="0" w:line="119" w:lineRule="exact"/>
        <w:rPr>
          <w:sz w:val="20"/>
          <w:szCs w:val="20"/>
          <w:color w:val="auto"/>
        </w:rPr>
      </w:pPr>
    </w:p>
    <w:p>
      <w:pPr>
        <w:ind w:right="360" w:firstLine="245"/>
        <w:spacing w:after="0" w:line="277" w:lineRule="auto"/>
        <w:rPr>
          <w:sz w:val="20"/>
          <w:szCs w:val="20"/>
          <w:color w:val="auto"/>
        </w:rPr>
      </w:pPr>
      <w:r>
        <w:rPr>
          <w:rFonts w:ascii="Times New Roman" w:cs="Times New Roman" w:eastAsia="Times New Roman" w:hAnsi="Times New Roman"/>
          <w:sz w:val="20"/>
          <w:szCs w:val="20"/>
          <w:color w:val="231F20"/>
        </w:rPr>
        <w:t>These events, in turn, could have a material adverse effect on our operating results and negatively affect the market price of our common stock and our ability to pay dividends to our stockholders.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laws or regulations governing our operations may adversely affect our business.</w:t>
      </w:r>
    </w:p>
    <w:p>
      <w:pPr>
        <w:spacing w:after="0" w:line="240" w:lineRule="exact"/>
        <w:rPr>
          <w:sz w:val="20"/>
          <w:szCs w:val="20"/>
          <w:color w:val="auto"/>
        </w:rPr>
      </w:pPr>
    </w:p>
    <w:p>
      <w:pPr>
        <w:ind w:firstLine="245"/>
        <w:spacing w:after="0" w:line="243" w:lineRule="auto"/>
        <w:rPr>
          <w:sz w:val="20"/>
          <w:szCs w:val="20"/>
          <w:color w:val="auto"/>
        </w:rPr>
      </w:pPr>
      <w:r>
        <w:rPr>
          <w:rFonts w:ascii="Times New Roman" w:cs="Times New Roman" w:eastAsia="Times New Roman" w:hAnsi="Times New Roman"/>
          <w:sz w:val="20"/>
          <w:szCs w:val="20"/>
          <w:color w:val="231F20"/>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20"/>
          <w:szCs w:val="20"/>
          <w:i w:val="1"/>
          <w:iCs w:val="1"/>
          <w:color w:val="231F20"/>
        </w:rPr>
        <w:t>Risks Related to our Portfolio Company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Investments.”</w:t>
      </w:r>
    </w:p>
    <w:p>
      <w:pPr>
        <w:spacing w:after="0" w:line="203" w:lineRule="exact"/>
        <w:rPr>
          <w:sz w:val="20"/>
          <w:szCs w:val="20"/>
          <w:color w:val="auto"/>
        </w:rPr>
      </w:pPr>
    </w:p>
    <w:p>
      <w:pPr>
        <w:ind w:right="120" w:firstLine="245"/>
        <w:spacing w:after="0" w:line="249" w:lineRule="auto"/>
        <w:rPr>
          <w:sz w:val="20"/>
          <w:szCs w:val="20"/>
          <w:color w:val="auto"/>
        </w:rPr>
      </w:pPr>
      <w:r>
        <w:rPr>
          <w:rFonts w:ascii="Times New Roman" w:cs="Times New Roman" w:eastAsia="Times New Roman" w:hAnsi="Times New Roman"/>
          <w:sz w:val="20"/>
          <w:szCs w:val="20"/>
          <w:color w:val="231F20"/>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317"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ongoing armed conflicts as a result of the Russian invasion of Ukraine and the war between Israel and Hamas may have a material adverse impact on us and our portfolio companies.</w:t>
      </w:r>
    </w:p>
    <w:p>
      <w:pPr>
        <w:spacing w:after="0" w:line="169"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231F20"/>
        </w:rPr>
        <w:t>On February 24, 2022, Russian President Vladimir Putin commenced a full-scale invasion of Russia’s pre-positioned forces into Ukraine, which could have a negative impact on the economy and business activity globally (including in the countries in which the Company invests), and therefore could adversely affect the performance of the Company’s investments. The Russian invasion of Ukraine and the war between Israel and Hamas in the Middle East have led, are currently leading, and for an unknown period of time may continue to lead to disruptions in local, regional, national, and global markets and economies affected thereby. Furthermore, the aforementioned conflicts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such conflict zones, they may have adverse consequences related to the ongoing conflict.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effect of global climate change may adversely affect our business and impact the operations of our portfolio companies.</w:t>
      </w:r>
    </w:p>
    <w:p>
      <w:pPr>
        <w:spacing w:after="0" w:line="240" w:lineRule="exact"/>
        <w:rPr>
          <w:sz w:val="20"/>
          <w:szCs w:val="20"/>
          <w:color w:val="auto"/>
        </w:rPr>
      </w:pPr>
    </w:p>
    <w:p>
      <w:pPr>
        <w:ind w:right="380" w:firstLine="245"/>
        <w:spacing w:after="0" w:line="258" w:lineRule="auto"/>
        <w:rPr>
          <w:sz w:val="20"/>
          <w:szCs w:val="20"/>
          <w:color w:val="auto"/>
        </w:rPr>
      </w:pPr>
      <w:r>
        <w:rPr>
          <w:rFonts w:ascii="Times New Roman" w:cs="Times New Roman" w:eastAsia="Times New Roman" w:hAnsi="Times New Roman"/>
          <w:sz w:val="20"/>
          <w:szCs w:val="20"/>
          <w:color w:val="231F20"/>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2240" w:h="15840" w:orient="portrait"/>
          <w:cols w:equalWidth="0" w:num="1">
            <w:col w:w="10800"/>
          </w:cols>
          <w:pgMar w:left="720" w:top="930" w:right="720" w:bottom="175" w:gutter="0" w:footer="0" w:header="0"/>
          <w:type w:val="continuous"/>
        </w:sectPr>
      </w:pPr>
    </w:p>
    <w:bookmarkStart w:id="53" w:name="page54"/>
    <w:bookmarkEnd w:id="53"/>
    <w:p>
      <w:pPr>
        <w:ind w:firstLine="245"/>
        <w:spacing w:after="0" w:line="243" w:lineRule="auto"/>
        <w:rPr>
          <w:sz w:val="20"/>
          <w:szCs w:val="20"/>
          <w:color w:val="auto"/>
        </w:rPr>
      </w:pPr>
      <w:r>
        <w:rPr>
          <w:rFonts w:ascii="Times New Roman" w:cs="Times New Roman" w:eastAsia="Times New Roman" w:hAnsi="Times New Roman"/>
          <w:sz w:val="20"/>
          <w:szCs w:val="20"/>
          <w:color w:val="231F20"/>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208" w:lineRule="exact"/>
        <w:rPr>
          <w:sz w:val="20"/>
          <w:szCs w:val="20"/>
          <w:color w:val="auto"/>
        </w:rPr>
      </w:pPr>
    </w:p>
    <w:p>
      <w:pPr>
        <w:ind w:firstLine="245"/>
        <w:spacing w:after="0" w:line="243" w:lineRule="auto"/>
        <w:rPr>
          <w:sz w:val="20"/>
          <w:szCs w:val="20"/>
          <w:color w:val="auto"/>
        </w:rPr>
      </w:pPr>
      <w:r>
        <w:rPr>
          <w:rFonts w:ascii="Times New Roman" w:cs="Times New Roman" w:eastAsia="Times New Roman" w:hAnsi="Times New Roman"/>
          <w:sz w:val="20"/>
          <w:szCs w:val="20"/>
          <w:color w:val="231F20"/>
        </w:rPr>
        <w:t>Further, significant physical effects of climate change including extreme weather events such as hurricanes or floods, can also have an adverse impact on certain of our portfolio companies and investments, especially our portfolio companies that rely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54</w:t>
      </w:r>
    </w:p>
    <w:p>
      <w:pPr>
        <w:sectPr>
          <w:pgSz w:w="12240" w:h="15840" w:orient="portrait"/>
          <w:cols w:equalWidth="0" w:num="1">
            <w:col w:w="10760"/>
          </w:cols>
          <w:pgMar w:left="720" w:top="930" w:right="760" w:bottom="175"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Cybersecurity Risk Management and Strategy</w:t>
      </w:r>
    </w:p>
    <w:p>
      <w:pPr>
        <w:spacing w:after="0" w:line="124"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231F20"/>
        </w:rPr>
        <w:t>As an externally managed closed-end management investment company that has elected to be regulated as a BDC under the 1940 Act, our day-to-day operations are managed by the Adviser, Administrator and our executive officers under the oversight of our Board of Directors. Our executive officers are senior professionals of the Adviser and Sixth Street and each of the Adviser and Administrator is a subsidiary of Sixth Street. As such, we are reliant on Sixth Street for assessing, identifying and managing material risks to our business from cybersecurity threats. Below are details Sixth Street has provided to us regarding its cybersecurity program that are relevant to us.</w:t>
      </w:r>
    </w:p>
    <w:p>
      <w:pPr>
        <w:spacing w:after="0" w:line="310"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231F20"/>
        </w:rPr>
        <w:t>Sixth Street maintains a comprehensive cybersecurity program, including policies and procedures designed to protect its systems, operations, and the data utilized and entrusted to it, including by us, from anticipated threats or hazards. Sixth Street utilizes a variety of protective measures as a part of its cybersecurity program. These measures include, where appropriate, physical and digital access controls, patch management, identity verification and mobile device management software, employee cybersecurity awareness and best practices training programs, security baselines and tools to report anomalous activity, and monitoring of data usage, hardware and software, among others.</w:t>
      </w:r>
    </w:p>
    <w:p>
      <w:pPr>
        <w:spacing w:after="0" w:line="310" w:lineRule="exact"/>
        <w:rPr>
          <w:sz w:val="20"/>
          <w:szCs w:val="20"/>
          <w:color w:val="auto"/>
        </w:rPr>
      </w:pPr>
    </w:p>
    <w:p>
      <w:pPr>
        <w:ind w:right="180" w:firstLine="245"/>
        <w:spacing w:after="0" w:line="246" w:lineRule="auto"/>
        <w:rPr>
          <w:sz w:val="20"/>
          <w:szCs w:val="20"/>
          <w:color w:val="auto"/>
        </w:rPr>
      </w:pPr>
      <w:r>
        <w:rPr>
          <w:rFonts w:ascii="Times New Roman" w:cs="Times New Roman" w:eastAsia="Times New Roman" w:hAnsi="Times New Roman"/>
          <w:sz w:val="20"/>
          <w:szCs w:val="20"/>
          <w:color w:val="231F20"/>
        </w:rPr>
        <w:t>Sixth Street tests its cybersecurity defenses regularly through automated and manual vulnerability scanning, to identify and remediate critical vulnerabilities. In addition, it conducts annual “white hat” penetration tests to validate its security posture. Further, Sixth Street engages in cyber incident tabletop exercises and scenario planning exercises involving hypothetical cybersecurity incidents to test its cyber incident response processes. Tabletop exercises are conducted by Sixth Street’s Technology Risk team in collaboration with outside service providers as appropriate and includes members of Sixth Street’s senior management and Legal/ Compliance team. Learnings from these tabletop exercises and any events that Sixth Street experiences are reviewed, discussed, and incorporated into its cybersecurity framework as appropriate.</w:t>
      </w:r>
    </w:p>
    <w:p>
      <w:pPr>
        <w:spacing w:after="0" w:line="310"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In addition to Sixth Street’s internal exercises to test aspects of its cybersecurity program, Sixth Street periodically engages independent third parties to assess the risks associated with its information technology resources and information assets. Among other matters, these third parties analyze data on the interactions of users of Sixth Street’s information technology resources, including employees, and conduct penetration tests and scanning exercises to assess the performance of the cybersecurity systems and processes.</w:t>
      </w:r>
    </w:p>
    <w:p>
      <w:pPr>
        <w:spacing w:after="0" w:line="304"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20"/>
          <w:szCs w:val="20"/>
          <w:color w:val="231F20"/>
        </w:rPr>
        <w:t>Sixth Street has a comprehensive Security Incident Response Plan (the “IRP”) designed to inform the proper escalation (including, as appropriate, to our executive officers and other representatives of the Adviser or its affiliates) of non-routine suspected or confirmed information security or cybersecurity events based on the expected risk an event presents. As appropriate, a team composed of individuals from several internal technical and managerial functions may be formed to investigate and remediate the event and determine the extent of external advisor support required, including from external counsel, forensic investigators, and/or law enforcement. The IRP sets out ongoing monitoring or remediating actions to be taken after resolution of an incident. The IRP is reviewed at least annually.</w:t>
      </w:r>
    </w:p>
    <w:p>
      <w:pPr>
        <w:spacing w:after="0" w:line="310" w:lineRule="exact"/>
        <w:rPr>
          <w:sz w:val="20"/>
          <w:szCs w:val="20"/>
          <w:color w:val="auto"/>
        </w:rPr>
      </w:pPr>
    </w:p>
    <w:p>
      <w:pPr>
        <w:ind w:right="240" w:firstLine="295"/>
        <w:spacing w:after="0" w:line="258" w:lineRule="auto"/>
        <w:rPr>
          <w:sz w:val="20"/>
          <w:szCs w:val="20"/>
          <w:color w:val="auto"/>
        </w:rPr>
      </w:pPr>
      <w:r>
        <w:rPr>
          <w:rFonts w:ascii="Times New Roman" w:cs="Times New Roman" w:eastAsia="Times New Roman" w:hAnsi="Times New Roman"/>
          <w:sz w:val="20"/>
          <w:szCs w:val="20"/>
          <w:color w:val="231F20"/>
        </w:rPr>
        <w:t>Sixth Street maintains a cybersecurity risk management process to identify and mitigate risks that impact the firm. Sixth Street’s Head of Technology Risk periodically discusses and reviews cybersecurity risks and related mitigants with Sixth Street’s Cybersecurity Committee and incorporates relevant cybersecurity risk updates and metrics.</w:t>
      </w:r>
    </w:p>
    <w:p>
      <w:pPr>
        <w:spacing w:after="0" w:line="298" w:lineRule="exact"/>
        <w:rPr>
          <w:sz w:val="20"/>
          <w:szCs w:val="20"/>
          <w:color w:val="auto"/>
        </w:rPr>
      </w:pPr>
    </w:p>
    <w:p>
      <w:pPr>
        <w:ind w:right="300" w:firstLine="245"/>
        <w:spacing w:after="0" w:line="258" w:lineRule="auto"/>
        <w:rPr>
          <w:sz w:val="20"/>
          <w:szCs w:val="20"/>
          <w:color w:val="auto"/>
        </w:rPr>
      </w:pPr>
      <w:r>
        <w:rPr>
          <w:rFonts w:ascii="Times New Roman" w:cs="Times New Roman" w:eastAsia="Times New Roman" w:hAnsi="Times New Roman"/>
          <w:sz w:val="20"/>
          <w:szCs w:val="20"/>
          <w:color w:val="231F20"/>
        </w:rPr>
        <w:t>Sixth Street employs a process designed to assess the cybersecurity risks associated with the engagement of third-party vendors. This assessment is conducted on the basis of, among other factors, the types of services provided and the extent and type of data accessed or processed by a third-party vendor.</w:t>
      </w:r>
    </w:p>
    <w:p>
      <w:pPr>
        <w:spacing w:after="0" w:line="298" w:lineRule="exact"/>
        <w:rPr>
          <w:sz w:val="20"/>
          <w:szCs w:val="20"/>
          <w:color w:val="auto"/>
        </w:rPr>
      </w:pPr>
    </w:p>
    <w:p>
      <w:pPr>
        <w:ind w:right="100" w:firstLine="245"/>
        <w:spacing w:after="0" w:line="247" w:lineRule="auto"/>
        <w:rPr>
          <w:sz w:val="20"/>
          <w:szCs w:val="20"/>
          <w:color w:val="auto"/>
        </w:rPr>
      </w:pPr>
      <w:r>
        <w:rPr>
          <w:rFonts w:ascii="Times New Roman" w:cs="Times New Roman" w:eastAsia="Times New Roman" w:hAnsi="Times New Roman"/>
          <w:sz w:val="20"/>
          <w:szCs w:val="20"/>
          <w:color w:val="231F20"/>
        </w:rPr>
        <w:t>In the last three fiscal years, we have not experienced a material information security breach incident and the expenses we have incurred from information security breach incidents have been immaterial. However, future incidents could have a material impact on our business strategy, results of operations or financial condition. For a discussion of how risks from cybersecurity threats affect our business, and our reliance on the Sixth Street and its affiliates in managing these risks, see “Part 1. Item 1A. Risk Factors – Risk Related to our Business – Cybersecurity risks and cyber incidents may adversely affect our business or those of our portfolio companies by causing a disruption to our operations, a compromise or corruption of confidential information and/or damage to</w:t>
      </w:r>
    </w:p>
    <w:p>
      <w:pPr>
        <w:sectPr>
          <w:pgSz w:w="12240" w:h="15840" w:orient="portrait"/>
          <w:cols w:equalWidth="0" w:num="1">
            <w:col w:w="10800"/>
          </w:cols>
          <w:pgMar w:left="720" w:top="926" w:right="720" w:bottom="175"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2240" w:h="15840" w:orient="portrait"/>
          <w:cols w:equalWidth="0" w:num="1">
            <w:col w:w="10800"/>
          </w:cols>
          <w:pgMar w:left="720" w:top="926" w:right="720" w:bottom="175" w:gutter="0" w:footer="0" w:header="0"/>
          <w:type w:val="continuous"/>
        </w:sectPr>
      </w:pPr>
    </w:p>
    <w:bookmarkStart w:id="55" w:name="page56"/>
    <w:bookmarkEnd w:id="55"/>
    <w:p>
      <w:pPr>
        <w:ind w:right="120"/>
        <w:spacing w:after="0" w:line="277" w:lineRule="auto"/>
        <w:rPr>
          <w:sz w:val="20"/>
          <w:szCs w:val="20"/>
          <w:color w:val="auto"/>
        </w:rPr>
      </w:pPr>
      <w:r>
        <w:rPr>
          <w:rFonts w:ascii="Times New Roman" w:cs="Times New Roman" w:eastAsia="Times New Roman" w:hAnsi="Times New Roman"/>
          <w:sz w:val="20"/>
          <w:szCs w:val="20"/>
          <w:color w:val="231F20"/>
        </w:rPr>
        <w:t>business relationships, or those of our portfolio companies, all of which could negatively impact our business, results of operations or financial condition” in this Annual Report on Form 10-K.</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231F20"/>
        </w:rPr>
        <w:t>Cybersecurity Governance</w:t>
      </w:r>
    </w:p>
    <w:p>
      <w:pPr>
        <w:spacing w:after="0" w:line="124" w:lineRule="exact"/>
        <w:rPr>
          <w:sz w:val="20"/>
          <w:szCs w:val="20"/>
          <w:color w:val="auto"/>
        </w:rPr>
      </w:pPr>
    </w:p>
    <w:p>
      <w:pPr>
        <w:ind w:right="120" w:firstLine="245"/>
        <w:spacing w:after="0" w:line="252" w:lineRule="auto"/>
        <w:rPr>
          <w:sz w:val="20"/>
          <w:szCs w:val="20"/>
          <w:color w:val="auto"/>
        </w:rPr>
      </w:pPr>
      <w:r>
        <w:rPr>
          <w:rFonts w:ascii="Times New Roman" w:cs="Times New Roman" w:eastAsia="Times New Roman" w:hAnsi="Times New Roman"/>
          <w:sz w:val="20"/>
          <w:szCs w:val="20"/>
          <w:color w:val="231F20"/>
        </w:rPr>
        <w:t>Sixth Street has a dedicated cybersecurity team, led by its Head of Technology Risk, who works closely with Sixth Street’s Cybersecurity Committee, to develop and advance the firm’s cybersecurity strategy, which applies to us. Sixth Street’s Cybersecurity Committee includes its Chief Information Officer, Chief Risk Officer, General Counsel, Co-Chief Operating Officer and Chief Compliance Officer, as well as our Chief Financial Officer and Chief Compliance Officer.</w:t>
      </w:r>
    </w:p>
    <w:p>
      <w:pPr>
        <w:spacing w:after="0" w:line="304" w:lineRule="exact"/>
        <w:rPr>
          <w:sz w:val="20"/>
          <w:szCs w:val="20"/>
          <w:color w:val="auto"/>
        </w:rPr>
      </w:pPr>
    </w:p>
    <w:p>
      <w:pPr>
        <w:ind w:right="620" w:firstLine="245"/>
        <w:spacing w:after="0" w:line="252" w:lineRule="auto"/>
        <w:rPr>
          <w:sz w:val="20"/>
          <w:szCs w:val="20"/>
          <w:color w:val="auto"/>
        </w:rPr>
      </w:pPr>
      <w:r>
        <w:rPr>
          <w:rFonts w:ascii="Times New Roman" w:cs="Times New Roman" w:eastAsia="Times New Roman" w:hAnsi="Times New Roman"/>
          <w:sz w:val="20"/>
          <w:szCs w:val="20"/>
          <w:color w:val="231F20"/>
        </w:rPr>
        <w:t>The Head of Technology Risk has extensive experience in cybersecurity and technology and is responsible for all aspects of cybersecurity across Sixth Street. He has a B.S in Computer Science from University of Washington and has over 17 years of experience contributing to cybersecurity related workflows, processes, policies, system designs, program management, and vulnerability discovery, exploitation, mitigation, and remediation.</w:t>
      </w:r>
    </w:p>
    <w:p>
      <w:pPr>
        <w:spacing w:after="0" w:line="304" w:lineRule="exact"/>
        <w:rPr>
          <w:sz w:val="20"/>
          <w:szCs w:val="20"/>
          <w:color w:val="auto"/>
        </w:rPr>
      </w:pPr>
    </w:p>
    <w:p>
      <w:pPr>
        <w:ind w:right="280" w:firstLine="245"/>
        <w:spacing w:after="0" w:line="249" w:lineRule="auto"/>
        <w:rPr>
          <w:sz w:val="20"/>
          <w:szCs w:val="20"/>
          <w:color w:val="auto"/>
        </w:rPr>
      </w:pPr>
      <w:r>
        <w:rPr>
          <w:rFonts w:ascii="Times New Roman" w:cs="Times New Roman" w:eastAsia="Times New Roman" w:hAnsi="Times New Roman"/>
          <w:sz w:val="20"/>
          <w:szCs w:val="20"/>
          <w:color w:val="231F20"/>
        </w:rPr>
        <w:t>Sixth Street conducts periodic cybersecurity risk assessments, including assessments or audits of third-party vendors, and assists with the management and mitigation of identified cybersecurity risks. The Head of Technology Risk reviews the cybersecurity framework annually as well as on an event-driven basis as necessary. The Head of Technology Risk also reviews the scope of the cybersecurity measures periodically, including in the event of a change in business practices that may implicate the security or integrity of Sixth Street’s information and systems.</w:t>
      </w:r>
    </w:p>
    <w:p>
      <w:pPr>
        <w:spacing w:after="0" w:line="307" w:lineRule="exact"/>
        <w:rPr>
          <w:sz w:val="20"/>
          <w:szCs w:val="20"/>
          <w:color w:val="auto"/>
        </w:rPr>
      </w:pPr>
    </w:p>
    <w:p>
      <w:pPr>
        <w:ind w:right="240" w:firstLine="245"/>
        <w:spacing w:after="0" w:line="247" w:lineRule="auto"/>
        <w:rPr>
          <w:sz w:val="20"/>
          <w:szCs w:val="20"/>
          <w:color w:val="auto"/>
        </w:rPr>
      </w:pPr>
      <w:r>
        <w:rPr>
          <w:rFonts w:ascii="Times New Roman" w:cs="Times New Roman" w:eastAsia="Times New Roman" w:hAnsi="Times New Roman"/>
          <w:sz w:val="20"/>
          <w:szCs w:val="20"/>
          <w:color w:val="231F20"/>
        </w:rPr>
        <w:t>Our Board of Directors is responsible for understanding the primary risks to our business, including any cybersecurity risks. The Board of Directors is responsible for reviewing periodically our and the Adviser’s information technology security controls and related compliance matters, with management. Sixth Street’s Head of Technology Risk reports to the Board of Directors at least annually on cybersecurity matters, including risks facing us and the Adviser and, as applicable, certain incidents. In addition to such periodic reports, the Board of Directors may receive updates from management as to our and the Adviser’s cybersecurity risks and Sixth Street cybersecurity program developments.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4" w:lineRule="exact"/>
        <w:rPr>
          <w:sz w:val="20"/>
          <w:szCs w:val="20"/>
          <w:color w:val="auto"/>
        </w:rPr>
      </w:pPr>
    </w:p>
    <w:p>
      <w:pPr>
        <w:ind w:right="180" w:firstLine="245"/>
        <w:spacing w:after="0" w:line="277" w:lineRule="auto"/>
        <w:rPr>
          <w:sz w:val="20"/>
          <w:szCs w:val="20"/>
          <w:color w:val="auto"/>
        </w:rPr>
      </w:pPr>
      <w:r>
        <w:rPr>
          <w:rFonts w:ascii="Times New Roman" w:cs="Times New Roman" w:eastAsia="Times New Roman" w:hAnsi="Times New Roman"/>
          <w:sz w:val="20"/>
          <w:szCs w:val="20"/>
          <w:color w:val="231F20"/>
        </w:rPr>
        <w:t>We maintain our principal executive office at 2100 McKinney Avenue, Suite 1500, Dallas, Texas 75201. We do not own any real estate.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231F20"/>
        </w:rPr>
        <w:t>From time to time, we may be a party to certain legal proceedings in the ordinary course of business, including proceedings relating to the enforcement of our rights under loans to or other contracts with our portfolio companies. As of December 31, 2023 we are not aware of any material legal proceedings, nor, to our knowledge, is any material legal proceeding threatened against us.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2240" w:h="15840" w:orient="portrait"/>
          <w:cols w:equalWidth="0" w:num="1">
            <w:col w:w="10800"/>
          </w:cols>
          <w:pgMar w:left="720" w:top="930" w:right="720" w:bottom="175"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Price Range of Common Stock</w:t>
      </w:r>
    </w:p>
    <w:p>
      <w:pPr>
        <w:spacing w:after="0" w:line="118" w:lineRule="exact"/>
        <w:rPr>
          <w:sz w:val="20"/>
          <w:szCs w:val="20"/>
          <w:color w:val="auto"/>
        </w:rPr>
      </w:pPr>
    </w:p>
    <w:p>
      <w:pPr>
        <w:ind w:right="60" w:firstLine="245"/>
        <w:spacing w:after="0" w:line="252" w:lineRule="auto"/>
        <w:rPr>
          <w:sz w:val="20"/>
          <w:szCs w:val="20"/>
          <w:color w:val="auto"/>
        </w:rPr>
      </w:pPr>
      <w:r>
        <w:rPr>
          <w:rFonts w:ascii="Times New Roman" w:cs="Times New Roman" w:eastAsia="Times New Roman" w:hAnsi="Times New Roman"/>
          <w:sz w:val="20"/>
          <w:szCs w:val="20"/>
          <w:color w:val="231F20"/>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Times New Roman" w:cs="Times New Roman" w:eastAsia="Times New Roman" w:hAnsi="Times New Roman"/>
          <w:sz w:val="20"/>
          <w:szCs w:val="20"/>
          <w:i w:val="1"/>
          <w:iCs w:val="1"/>
          <w:color w:val="231F20"/>
        </w:rPr>
        <w:t>ITEM 1A. RISK FACTORS—Risks Related to Our Securities—We cannot assure you</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that the market price of shares of our common stock will not decline</w:t>
      </w:r>
      <w:r>
        <w:rPr>
          <w:rFonts w:ascii="Times New Roman" w:cs="Times New Roman" w:eastAsia="Times New Roman" w:hAnsi="Times New Roman"/>
          <w:sz w:val="20"/>
          <w:szCs w:val="20"/>
          <w:color w:val="231F20"/>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Holders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As of February 15, 2024, there were approximately 2 holders of record of our common stock (including Cede &amp; Co.).</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Issuer Purchases of Equity Securities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For the year ended December 31, 2023 there was no common stock repurchased by the Company.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Stock Performance Graph</w:t>
      </w:r>
    </w:p>
    <w:p>
      <w:pPr>
        <w:spacing w:after="0" w:line="118" w:lineRule="exact"/>
        <w:rPr>
          <w:sz w:val="20"/>
          <w:szCs w:val="20"/>
          <w:color w:val="auto"/>
        </w:rPr>
      </w:pPr>
    </w:p>
    <w:p>
      <w:pPr>
        <w:ind w:right="80" w:firstLine="245"/>
        <w:spacing w:after="0" w:line="245" w:lineRule="auto"/>
        <w:rPr>
          <w:sz w:val="20"/>
          <w:szCs w:val="20"/>
          <w:color w:val="auto"/>
        </w:rPr>
      </w:pPr>
      <w:r>
        <w:rPr>
          <w:rFonts w:ascii="Times New Roman" w:cs="Times New Roman" w:eastAsia="Times New Roman" w:hAnsi="Times New Roman"/>
          <w:sz w:val="20"/>
          <w:szCs w:val="20"/>
          <w:color w:val="231F20"/>
        </w:rPr>
        <w:t>The following graph compares the total return on our common stock from December 31, 2018 to December 29, 2023 with that of the Standard &amp; Poor’s BDC Index, the Standard &amp; Poor’s 500 Stock Index, the S&amp;P LSTA Leveraged Loan Index (“Leverage Loan Index”), and the Bloomberg Barclays US Corporate High Yield Total Return Index (“High Yield Bond Index”). This graph assumes that on December 31, 2018,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133985</wp:posOffset>
            </wp:positionV>
            <wp:extent cx="6640830" cy="269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extLst>
                    </a:blip>
                    <a:srcRect/>
                    <a:stretch>
                      <a:fillRect/>
                    </a:stretch>
                  </pic:blipFill>
                  <pic:spPr bwMode="auto">
                    <a:xfrm>
                      <a:off x="0" y="0"/>
                      <a:ext cx="6640830" cy="2693035"/>
                    </a:xfrm>
                    <a:prstGeom prst="rect">
                      <a:avLst/>
                    </a:prstGeom>
                    <a:noFill/>
                  </pic:spPr>
                </pic:pic>
              </a:graphicData>
            </a:graphic>
          </wp:anchor>
        </w:drawing>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2240" w:h="15840" w:orient="portrait"/>
          <w:cols w:equalWidth="0" w:num="1">
            <w:col w:w="10800"/>
          </w:cols>
          <w:pgMar w:left="720" w:top="926" w:right="720" w:bottom="175" w:gutter="0" w:footer="0" w:header="0"/>
          <w:type w:val="continuous"/>
        </w:sectPr>
      </w:pPr>
    </w:p>
    <w:bookmarkStart w:id="57" w:name="page58"/>
    <w:bookmarkEnd w:id="57"/>
    <w:p>
      <w:pPr>
        <w:jc w:val="center"/>
        <w:ind w:right="-199"/>
        <w:spacing w:after="0"/>
        <w:rPr>
          <w:sz w:val="20"/>
          <w:szCs w:val="20"/>
          <w:color w:val="auto"/>
        </w:rPr>
      </w:pPr>
      <w:r>
        <w:rPr>
          <w:rFonts w:ascii="Times New Roman" w:cs="Times New Roman" w:eastAsia="Times New Roman" w:hAnsi="Times New Roman"/>
          <w:sz w:val="20"/>
          <w:szCs w:val="20"/>
          <w:b w:val="1"/>
          <w:bCs w:val="1"/>
          <w:color w:val="231F20"/>
        </w:rPr>
        <w:t>SENIOR SECURITIES</w:t>
      </w:r>
    </w:p>
    <w:p>
      <w:pPr>
        <w:spacing w:after="0" w:line="234" w:lineRule="exact"/>
        <w:rPr>
          <w:sz w:val="20"/>
          <w:szCs w:val="20"/>
          <w:color w:val="auto"/>
        </w:rPr>
      </w:pPr>
    </w:p>
    <w:p>
      <w:pPr>
        <w:jc w:val="both"/>
        <w:ind w:firstLine="245"/>
        <w:spacing w:after="0" w:line="242" w:lineRule="auto"/>
        <w:rPr>
          <w:sz w:val="20"/>
          <w:szCs w:val="20"/>
          <w:color w:val="auto"/>
        </w:rPr>
      </w:pPr>
      <w:r>
        <w:rPr>
          <w:rFonts w:ascii="Times New Roman" w:cs="Times New Roman" w:eastAsia="Times New Roman" w:hAnsi="Times New Roman"/>
          <w:sz w:val="20"/>
          <w:szCs w:val="20"/>
          <w:color w:val="231F20"/>
        </w:rPr>
        <w:t>Information about our senior securities is shown in the following table as of the end of the last ten fiscal years. The report of our independent registered public accounting firm, KPMG LLP, on the senior securities table as of December 31, 2023 is attached as an exhibit to this annual report on Form 10-K. The “-” indicates information that the SEC expressly does not require to be disclosed for certain types of senior securities.</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rPr>
              <w:t>Total Amount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Outstanding</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231F20"/>
                <w:w w:val="99"/>
              </w:rPr>
              <w:t>Involuntary</w:t>
            </w:r>
          </w:p>
        </w:tc>
        <w:tc>
          <w:tcPr>
            <w:tcW w:w="38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Average</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rPr>
              <w:t>Exclusive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231F20"/>
                <w:w w:val="98"/>
              </w:rPr>
              <w:t>Treasury</w:t>
            </w:r>
          </w:p>
        </w:tc>
        <w:tc>
          <w:tcPr>
            <w:tcW w:w="300" w:type="dxa"/>
            <w:vAlign w:val="bottom"/>
          </w:tcPr>
          <w:p>
            <w:pPr>
              <w:spacing w:after="0"/>
              <w:rPr>
                <w:sz w:val="17"/>
                <w:szCs w:val="17"/>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Asset Coverage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w w:val="98"/>
              </w:rPr>
              <w:t>Liquidating</w:t>
            </w:r>
          </w:p>
        </w:tc>
        <w:tc>
          <w:tcPr>
            <w:tcW w:w="3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Market</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spacing w:after="0" w:line="207" w:lineRule="exact"/>
              <w:rPr>
                <w:sz w:val="20"/>
                <w:szCs w:val="20"/>
                <w:color w:val="auto"/>
              </w:rPr>
            </w:pPr>
            <w:r>
              <w:rPr>
                <w:rFonts w:ascii="Times New Roman" w:cs="Times New Roman" w:eastAsia="Times New Roman" w:hAnsi="Times New Roman"/>
                <w:sz w:val="17"/>
                <w:szCs w:val="17"/>
                <w:b w:val="1"/>
                <w:bCs w:val="1"/>
                <w:color w:val="231F20"/>
              </w:rPr>
              <w:t xml:space="preserve">Securities </w:t>
            </w:r>
            <w:r>
              <w:rPr>
                <w:rFonts w:ascii="Times New Roman" w:cs="Times New Roman" w:eastAsia="Times New Roman" w:hAnsi="Times New Roman"/>
                <w:sz w:val="23"/>
                <w:szCs w:val="23"/>
                <w:b w:val="1"/>
                <w:bCs w:val="1"/>
                <w:color w:val="231F20"/>
                <w:vertAlign w:val="superscript"/>
              </w:rPr>
              <w:t>(1)</w:t>
            </w:r>
          </w:p>
        </w:tc>
        <w:tc>
          <w:tcPr>
            <w:tcW w:w="3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w w:val="99"/>
              </w:rPr>
              <w:t>Preference Per</w:t>
            </w:r>
          </w:p>
        </w:tc>
        <w:tc>
          <w:tcPr>
            <w:tcW w:w="3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Value</w:t>
            </w:r>
          </w:p>
        </w:tc>
        <w:tc>
          <w:tcPr>
            <w:tcW w:w="0" w:type="dxa"/>
            <w:vAlign w:val="bottom"/>
          </w:tcPr>
          <w:p>
            <w:pPr>
              <w:spacing w:after="0"/>
              <w:rPr>
                <w:sz w:val="1"/>
                <w:szCs w:val="1"/>
                <w:color w:val="auto"/>
              </w:rPr>
            </w:pPr>
          </w:p>
        </w:tc>
      </w:tr>
      <w:tr>
        <w:trPr>
          <w:trHeight w:val="227"/>
        </w:trPr>
        <w:tc>
          <w:tcPr>
            <w:tcW w:w="31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231F20"/>
              </w:rPr>
              <w:t>Class and Year/Period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231F20"/>
              </w:rPr>
              <w:t>in millions)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0"/>
              <w:spacing w:after="0" w:line="227" w:lineRule="exact"/>
              <w:rPr>
                <w:sz w:val="20"/>
                <w:szCs w:val="20"/>
                <w:color w:val="auto"/>
              </w:rPr>
            </w:pPr>
            <w:r>
              <w:rPr>
                <w:rFonts w:ascii="Times New Roman" w:cs="Times New Roman" w:eastAsia="Times New Roman" w:hAnsi="Times New Roman"/>
                <w:sz w:val="18"/>
                <w:szCs w:val="18"/>
                <w:b w:val="1"/>
                <w:bCs w:val="1"/>
                <w:color w:val="231F20"/>
                <w:w w:val="99"/>
              </w:rPr>
              <w:t xml:space="preserve">Per Unit </w:t>
            </w:r>
            <w:r>
              <w:rPr>
                <w:rFonts w:ascii="Times New Roman" w:cs="Times New Roman" w:eastAsia="Times New Roman" w:hAnsi="Times New Roman"/>
                <w:sz w:val="24"/>
                <w:szCs w:val="24"/>
                <w:b w:val="1"/>
                <w:bCs w:val="1"/>
                <w:color w:val="231F20"/>
                <w:w w:val="99"/>
                <w:vertAlign w:val="superscript"/>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0"/>
              <w:spacing w:after="0" w:line="227" w:lineRule="exact"/>
              <w:rPr>
                <w:sz w:val="20"/>
                <w:szCs w:val="20"/>
                <w:color w:val="auto"/>
              </w:rPr>
            </w:pPr>
            <w:r>
              <w:rPr>
                <w:rFonts w:ascii="Times New Roman" w:cs="Times New Roman" w:eastAsia="Times New Roman" w:hAnsi="Times New Roman"/>
                <w:sz w:val="18"/>
                <w:szCs w:val="18"/>
                <w:b w:val="1"/>
                <w:bCs w:val="1"/>
                <w:color w:val="231F20"/>
                <w:w w:val="94"/>
              </w:rPr>
              <w:t xml:space="preserve">Unit </w:t>
            </w:r>
            <w:r>
              <w:rPr>
                <w:rFonts w:ascii="Times New Roman" w:cs="Times New Roman" w:eastAsia="Times New Roman" w:hAnsi="Times New Roman"/>
                <w:sz w:val="24"/>
                <w:szCs w:val="24"/>
                <w:b w:val="1"/>
                <w:bCs w:val="1"/>
                <w:color w:val="231F20"/>
                <w:w w:val="94"/>
                <w:vertAlign w:val="superscript"/>
              </w:rPr>
              <w:t>(3)</w:t>
            </w:r>
          </w:p>
        </w:tc>
        <w:tc>
          <w:tcPr>
            <w:tcW w:w="380" w:type="dxa"/>
            <w:vAlign w:val="bottom"/>
          </w:tcPr>
          <w:p>
            <w:pPr>
              <w:spacing w:after="0"/>
              <w:rPr>
                <w:sz w:val="19"/>
                <w:szCs w:val="19"/>
                <w:color w:val="auto"/>
              </w:rPr>
            </w:pPr>
          </w:p>
        </w:tc>
        <w:tc>
          <w:tcPr>
            <w:tcW w:w="900" w:type="dxa"/>
            <w:vAlign w:val="bottom"/>
          </w:tcPr>
          <w:p>
            <w:pPr>
              <w:jc w:val="center"/>
              <w:spacing w:after="0" w:line="227" w:lineRule="exact"/>
              <w:rPr>
                <w:sz w:val="20"/>
                <w:szCs w:val="20"/>
                <w:color w:val="auto"/>
              </w:rPr>
            </w:pPr>
            <w:r>
              <w:rPr>
                <w:rFonts w:ascii="Times New Roman" w:cs="Times New Roman" w:eastAsia="Times New Roman" w:hAnsi="Times New Roman"/>
                <w:sz w:val="18"/>
                <w:szCs w:val="18"/>
                <w:b w:val="1"/>
                <w:bCs w:val="1"/>
                <w:color w:val="231F20"/>
                <w:w w:val="94"/>
              </w:rPr>
              <w:t xml:space="preserve">Per Unit </w:t>
            </w:r>
            <w:r>
              <w:rPr>
                <w:rFonts w:ascii="Times New Roman" w:cs="Times New Roman" w:eastAsia="Times New Roman" w:hAnsi="Times New Roman"/>
                <w:sz w:val="24"/>
                <w:szCs w:val="24"/>
                <w:b w:val="1"/>
                <w:bCs w:val="1"/>
                <w:color w:val="231F20"/>
                <w:w w:val="94"/>
                <w:vertAlign w:val="superscript"/>
              </w:rPr>
              <w:t>(4)</w:t>
            </w:r>
          </w:p>
        </w:tc>
        <w:tc>
          <w:tcPr>
            <w:tcW w:w="0" w:type="dxa"/>
            <w:vAlign w:val="bottom"/>
          </w:tcPr>
          <w:p>
            <w:pPr>
              <w:spacing w:after="0"/>
              <w:rPr>
                <w:sz w:val="1"/>
                <w:szCs w:val="1"/>
                <w:color w:val="auto"/>
              </w:rPr>
            </w:pPr>
          </w:p>
        </w:tc>
      </w:tr>
      <w:tr>
        <w:trPr>
          <w:trHeight w:val="197"/>
        </w:trPr>
        <w:tc>
          <w:tcPr>
            <w:tcW w:w="3120" w:type="dxa"/>
            <w:vAlign w:val="bottom"/>
            <w:tcBorders>
              <w:top w:val="single" w:sz="8" w:color="231F20"/>
            </w:tcBorders>
            <w:shd w:val="clear" w:color="auto" w:fill="CFEDF9"/>
          </w:tcPr>
          <w:p>
            <w:pPr>
              <w:spacing w:after="0" w:line="197" w:lineRule="exact"/>
              <w:rPr>
                <w:sz w:val="20"/>
                <w:szCs w:val="20"/>
                <w:color w:val="auto"/>
              </w:rPr>
            </w:pPr>
            <w:r>
              <w:rPr>
                <w:rFonts w:ascii="Times New Roman" w:cs="Times New Roman" w:eastAsia="Times New Roman" w:hAnsi="Times New Roman"/>
                <w:sz w:val="18"/>
                <w:szCs w:val="18"/>
                <w:b w:val="1"/>
                <w:bCs w:val="1"/>
                <w:color w:val="231F20"/>
              </w:rPr>
              <w:t>Revolving Credit Facilities</w:t>
            </w:r>
          </w:p>
        </w:tc>
        <w:tc>
          <w:tcPr>
            <w:tcW w:w="220" w:type="dxa"/>
            <w:vAlign w:val="bottom"/>
            <w:tcBorders>
              <w:top w:val="single" w:sz="8" w:color="CFEDF9"/>
            </w:tcBorders>
            <w:shd w:val="clear" w:color="auto" w:fill="CFEDF9"/>
          </w:tcPr>
          <w:p>
            <w:pPr>
              <w:spacing w:after="0"/>
              <w:rPr>
                <w:sz w:val="17"/>
                <w:szCs w:val="17"/>
                <w:color w:val="auto"/>
              </w:rPr>
            </w:pPr>
          </w:p>
        </w:tc>
        <w:tc>
          <w:tcPr>
            <w:tcW w:w="420" w:type="dxa"/>
            <w:vAlign w:val="bottom"/>
            <w:tcBorders>
              <w:top w:val="single" w:sz="8" w:color="231F20"/>
            </w:tcBorders>
            <w:shd w:val="clear" w:color="auto" w:fill="CFEDF9"/>
          </w:tcPr>
          <w:p>
            <w:pPr>
              <w:spacing w:after="0"/>
              <w:rPr>
                <w:sz w:val="17"/>
                <w:szCs w:val="17"/>
                <w:color w:val="auto"/>
              </w:rPr>
            </w:pPr>
          </w:p>
        </w:tc>
        <w:tc>
          <w:tcPr>
            <w:tcW w:w="1160" w:type="dxa"/>
            <w:vAlign w:val="bottom"/>
            <w:tcBorders>
              <w:top w:val="single" w:sz="8" w:color="231F20"/>
            </w:tcBorders>
            <w:shd w:val="clear" w:color="auto" w:fill="CFEDF9"/>
          </w:tcPr>
          <w:p>
            <w:pPr>
              <w:spacing w:after="0"/>
              <w:rPr>
                <w:sz w:val="17"/>
                <w:szCs w:val="17"/>
                <w:color w:val="auto"/>
              </w:rPr>
            </w:pPr>
          </w:p>
        </w:tc>
        <w:tc>
          <w:tcPr>
            <w:tcW w:w="300" w:type="dxa"/>
            <w:vAlign w:val="bottom"/>
            <w:tcBorders>
              <w:top w:val="single" w:sz="8" w:color="CFEDF9"/>
            </w:tcBorders>
            <w:shd w:val="clear" w:color="auto" w:fill="CFEDF9"/>
          </w:tcPr>
          <w:p>
            <w:pPr>
              <w:spacing w:after="0"/>
              <w:rPr>
                <w:sz w:val="17"/>
                <w:szCs w:val="17"/>
                <w:color w:val="auto"/>
              </w:rPr>
            </w:pPr>
          </w:p>
        </w:tc>
        <w:tc>
          <w:tcPr>
            <w:tcW w:w="160" w:type="dxa"/>
            <w:vAlign w:val="bottom"/>
            <w:tcBorders>
              <w:top w:val="single" w:sz="8" w:color="231F20"/>
            </w:tcBorders>
            <w:shd w:val="clear" w:color="auto" w:fill="CFEDF9"/>
          </w:tcPr>
          <w:p>
            <w:pPr>
              <w:spacing w:after="0"/>
              <w:rPr>
                <w:sz w:val="17"/>
                <w:szCs w:val="17"/>
                <w:color w:val="auto"/>
              </w:rPr>
            </w:pPr>
          </w:p>
        </w:tc>
        <w:tc>
          <w:tcPr>
            <w:tcW w:w="1100" w:type="dxa"/>
            <w:vAlign w:val="bottom"/>
            <w:tcBorders>
              <w:top w:val="single" w:sz="8" w:color="231F20"/>
            </w:tcBorders>
            <w:shd w:val="clear" w:color="auto" w:fill="CFEDF9"/>
          </w:tcPr>
          <w:p>
            <w:pPr>
              <w:spacing w:after="0"/>
              <w:rPr>
                <w:sz w:val="17"/>
                <w:szCs w:val="17"/>
                <w:color w:val="auto"/>
              </w:rPr>
            </w:pPr>
          </w:p>
        </w:tc>
        <w:tc>
          <w:tcPr>
            <w:tcW w:w="340" w:type="dxa"/>
            <w:vAlign w:val="bottom"/>
            <w:tcBorders>
              <w:top w:val="single" w:sz="8" w:color="CFEDF9"/>
            </w:tcBorders>
            <w:shd w:val="clear" w:color="auto" w:fill="CFEDF9"/>
          </w:tcPr>
          <w:p>
            <w:pPr>
              <w:spacing w:after="0"/>
              <w:rPr>
                <w:sz w:val="17"/>
                <w:szCs w:val="17"/>
                <w:color w:val="auto"/>
              </w:rPr>
            </w:pPr>
          </w:p>
        </w:tc>
        <w:tc>
          <w:tcPr>
            <w:tcW w:w="120" w:type="dxa"/>
            <w:vAlign w:val="bottom"/>
            <w:tcBorders>
              <w:top w:val="single" w:sz="8" w:color="231F20"/>
            </w:tcBorders>
            <w:shd w:val="clear" w:color="auto" w:fill="CFEDF9"/>
          </w:tcPr>
          <w:p>
            <w:pPr>
              <w:spacing w:after="0"/>
              <w:rPr>
                <w:sz w:val="17"/>
                <w:szCs w:val="17"/>
                <w:color w:val="auto"/>
              </w:rPr>
            </w:pPr>
          </w:p>
        </w:tc>
        <w:tc>
          <w:tcPr>
            <w:tcW w:w="1300" w:type="dxa"/>
            <w:vAlign w:val="bottom"/>
            <w:tcBorders>
              <w:top w:val="single" w:sz="8" w:color="231F20"/>
            </w:tcBorders>
            <w:shd w:val="clear" w:color="auto" w:fill="CFEDF9"/>
          </w:tcPr>
          <w:p>
            <w:pPr>
              <w:spacing w:after="0"/>
              <w:rPr>
                <w:sz w:val="17"/>
                <w:szCs w:val="17"/>
                <w:color w:val="auto"/>
              </w:rPr>
            </w:pPr>
          </w:p>
        </w:tc>
        <w:tc>
          <w:tcPr>
            <w:tcW w:w="380" w:type="dxa"/>
            <w:vAlign w:val="bottom"/>
            <w:tcBorders>
              <w:top w:val="single" w:sz="8" w:color="CFEDF9"/>
            </w:tcBorders>
            <w:shd w:val="clear" w:color="auto" w:fill="CFEDF9"/>
          </w:tcPr>
          <w:p>
            <w:pPr>
              <w:spacing w:after="0"/>
              <w:rPr>
                <w:sz w:val="17"/>
                <w:szCs w:val="17"/>
                <w:color w:val="auto"/>
              </w:rPr>
            </w:pPr>
          </w:p>
        </w:tc>
        <w:tc>
          <w:tcPr>
            <w:tcW w:w="900" w:type="dxa"/>
            <w:vAlign w:val="bottom"/>
            <w:tcBorders>
              <w:top w:val="single" w:sz="8" w:color="231F20"/>
            </w:tcBorders>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2023</w:t>
            </w:r>
          </w:p>
        </w:tc>
        <w:tc>
          <w:tcPr>
            <w:tcW w:w="220" w:type="dxa"/>
            <w:vAlign w:val="bottom"/>
          </w:tcPr>
          <w:p>
            <w:pPr>
              <w:spacing w:after="0"/>
              <w:rPr>
                <w:sz w:val="17"/>
                <w:szCs w:val="17"/>
                <w:color w:val="auto"/>
              </w:rPr>
            </w:pPr>
          </w:p>
        </w:tc>
        <w:tc>
          <w:tcPr>
            <w:tcW w:w="420" w:type="dxa"/>
            <w:vAlign w:val="bottom"/>
          </w:tcPr>
          <w:p>
            <w:pPr>
              <w:jc w:val="right"/>
              <w:ind w:right="252"/>
              <w:spacing w:after="0"/>
              <w:rPr>
                <w:sz w:val="20"/>
                <w:szCs w:val="20"/>
                <w:color w:val="auto"/>
              </w:rPr>
            </w:pPr>
            <w:r>
              <w:rPr>
                <w:rFonts w:ascii="Times New Roman" w:cs="Times New Roman" w:eastAsia="Times New Roman" w:hAnsi="Times New Roman"/>
                <w:sz w:val="17"/>
                <w:szCs w:val="17"/>
                <w:color w:val="231F20"/>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889.7</w:t>
            </w:r>
          </w:p>
        </w:tc>
        <w:tc>
          <w:tcPr>
            <w:tcW w:w="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1,815.9</w:t>
            </w:r>
          </w:p>
        </w:tc>
        <w:tc>
          <w:tcPr>
            <w:tcW w:w="3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2022</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719.3</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1,885.7</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316.4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2,053.6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2020</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472.3</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2,045.4</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2019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495.7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2,004.1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8"/>
                <w:szCs w:val="18"/>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2018</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187.5</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2,705.2</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2017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486.8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2,355.3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2016</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578.7</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2,376.6</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2015</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540.3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2,257.3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2014</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283.9</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3,110.3</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Convertible Senior Notes due 2019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2023</w:t>
            </w:r>
          </w:p>
        </w:tc>
        <w:tc>
          <w:tcPr>
            <w:tcW w:w="640" w:type="dxa"/>
            <w:vAlign w:val="bottom"/>
            <w:gridSpan w:val="2"/>
            <w:shd w:val="clear" w:color="auto" w:fill="CFEDF9"/>
          </w:tcPr>
          <w:p>
            <w:pPr>
              <w:jc w:val="right"/>
              <w:ind w:right="2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2021</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2020</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2019</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2018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114.3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2,705.2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2017</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113.7</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2,355.3</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2016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113.1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2,376.6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2015</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112.5</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2,257.3</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2014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3,110.3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b w:val="1"/>
                <w:bCs w:val="1"/>
                <w:color w:val="231F20"/>
              </w:rPr>
              <w:t>Convertible Senior Note due 2022</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spacing w:after="0"/>
              <w:rPr>
                <w:sz w:val="17"/>
                <w:szCs w:val="17"/>
                <w:color w:val="auto"/>
              </w:rPr>
            </w:pP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spacing w:after="0"/>
              <w:rPr>
                <w:sz w:val="17"/>
                <w:szCs w:val="17"/>
                <w:color w:val="auto"/>
              </w:rPr>
            </w:pP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spacing w:after="0"/>
              <w:rPr>
                <w:sz w:val="17"/>
                <w:szCs w:val="17"/>
                <w:color w:val="auto"/>
              </w:rPr>
            </w:pP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2023</w:t>
            </w:r>
          </w:p>
        </w:tc>
        <w:tc>
          <w:tcPr>
            <w:tcW w:w="64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2022</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2,053.6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2020</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142.5</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2,045.4</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2019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171.9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2,004.1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2018</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171.7</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2,705.2</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2017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114.7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2,355.3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b w:val="1"/>
                <w:bCs w:val="1"/>
                <w:color w:val="231F20"/>
              </w:rPr>
              <w:t>2023 Notes</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spacing w:after="0"/>
              <w:rPr>
                <w:sz w:val="17"/>
                <w:szCs w:val="17"/>
                <w:color w:val="auto"/>
              </w:rPr>
            </w:pP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spacing w:after="0"/>
              <w:rPr>
                <w:sz w:val="17"/>
                <w:szCs w:val="17"/>
                <w:color w:val="auto"/>
              </w:rPr>
            </w:pP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spacing w:after="0"/>
              <w:rPr>
                <w:sz w:val="17"/>
                <w:szCs w:val="17"/>
                <w:color w:val="auto"/>
              </w:rPr>
            </w:pP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2023</w:t>
            </w:r>
          </w:p>
        </w:tc>
        <w:tc>
          <w:tcPr>
            <w:tcW w:w="64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2022</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150.0</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1,885.7</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150.0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2,053.6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2020</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150.0</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2,045.4</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2019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150.0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2,004.1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2018</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150.0</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2,705.2</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2024 Notes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2023</w:t>
            </w:r>
          </w:p>
        </w:tc>
        <w:tc>
          <w:tcPr>
            <w:tcW w:w="640" w:type="dxa"/>
            <w:vAlign w:val="bottom"/>
            <w:gridSpan w:val="2"/>
            <w:shd w:val="clear" w:color="auto" w:fill="CFEDF9"/>
          </w:tcPr>
          <w:p>
            <w:pPr>
              <w:jc w:val="right"/>
              <w:ind w:right="2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347.2</w:t>
            </w:r>
          </w:p>
        </w:tc>
        <w:tc>
          <w:tcPr>
            <w:tcW w:w="4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1,815.9</w:t>
            </w:r>
          </w:p>
        </w:tc>
        <w:tc>
          <w:tcPr>
            <w:tcW w:w="4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346.8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1,885.7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2021</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346.4</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2,053.6</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2020</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346.1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2,045.4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2019</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297.2</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2,004.1</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2026 Notes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2023</w:t>
            </w:r>
          </w:p>
        </w:tc>
        <w:tc>
          <w:tcPr>
            <w:tcW w:w="640" w:type="dxa"/>
            <w:vAlign w:val="bottom"/>
            <w:gridSpan w:val="2"/>
            <w:shd w:val="clear" w:color="auto" w:fill="CFEDF9"/>
          </w:tcPr>
          <w:p>
            <w:pPr>
              <w:jc w:val="right"/>
              <w:ind w:right="2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298.9</w:t>
            </w:r>
          </w:p>
        </w:tc>
        <w:tc>
          <w:tcPr>
            <w:tcW w:w="4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1,815.9</w:t>
            </w:r>
          </w:p>
        </w:tc>
        <w:tc>
          <w:tcPr>
            <w:tcW w:w="4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231F20"/>
              </w:rPr>
              <w:t>December 31, 2022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298.5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1,885.7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tcPr>
          <w:p>
            <w:pPr>
              <w:spacing w:after="0"/>
              <w:rPr>
                <w:sz w:val="17"/>
                <w:szCs w:val="17"/>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2021</w:t>
            </w:r>
          </w:p>
        </w:tc>
        <w:tc>
          <w:tcPr>
            <w:tcW w:w="220" w:type="dxa"/>
            <w:vAlign w:val="bottom"/>
            <w:shd w:val="clear" w:color="auto" w:fill="CFEDF9"/>
          </w:tcPr>
          <w:p>
            <w:pPr>
              <w:spacing w:after="0"/>
              <w:rPr>
                <w:sz w:val="17"/>
                <w:szCs w:val="17"/>
                <w:color w:val="auto"/>
              </w:rPr>
            </w:pPr>
          </w:p>
        </w:tc>
        <w:tc>
          <w:tcPr>
            <w:tcW w:w="420" w:type="dxa"/>
            <w:vAlign w:val="bottom"/>
            <w:shd w:val="clear" w:color="auto" w:fill="CFEDF9"/>
          </w:tcPr>
          <w:p>
            <w:pPr>
              <w:spacing w:after="0"/>
              <w:rPr>
                <w:sz w:val="17"/>
                <w:szCs w:val="17"/>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298.1</w:t>
            </w:r>
          </w:p>
        </w:tc>
        <w:tc>
          <w:tcPr>
            <w:tcW w:w="3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2,053.6</w:t>
            </w:r>
          </w:p>
        </w:tc>
        <w:tc>
          <w:tcPr>
            <w:tcW w:w="3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2028 Notes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December 31, 2023</w:t>
            </w:r>
          </w:p>
        </w:tc>
        <w:tc>
          <w:tcPr>
            <w:tcW w:w="640" w:type="dxa"/>
            <w:vAlign w:val="bottom"/>
            <w:gridSpan w:val="2"/>
            <w:shd w:val="clear" w:color="auto" w:fill="CFEDF9"/>
          </w:tcPr>
          <w:p>
            <w:pPr>
              <w:jc w:val="right"/>
              <w:ind w:right="252"/>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298.3</w:t>
            </w:r>
          </w:p>
        </w:tc>
        <w:tc>
          <w:tcPr>
            <w:tcW w:w="4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1,815.9</w:t>
            </w:r>
          </w:p>
        </w:tc>
        <w:tc>
          <w:tcPr>
            <w:tcW w:w="4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FEDF9"/>
          </w:tcPr>
          <w:p>
            <w:pPr>
              <w:ind w:left="1120"/>
              <w:spacing w:after="0"/>
              <w:rPr>
                <w:sz w:val="20"/>
                <w:szCs w:val="20"/>
                <w:color w:val="auto"/>
              </w:rPr>
            </w:pPr>
            <w:r>
              <w:rPr>
                <w:rFonts w:ascii="Times New Roman" w:cs="Times New Roman" w:eastAsia="Times New Roman" w:hAnsi="Times New Roman"/>
                <w:sz w:val="18"/>
                <w:szCs w:val="18"/>
                <w:color w:val="231F20"/>
                <w:w w:val="88"/>
              </w:rPr>
              <w:t>—</w:t>
            </w:r>
          </w:p>
        </w:tc>
        <w:tc>
          <w:tcPr>
            <w:tcW w:w="380" w:type="dxa"/>
            <w:vAlign w:val="bottom"/>
            <w:shd w:val="clear" w:color="auto" w:fill="CFEDF9"/>
          </w:tcPr>
          <w:p>
            <w:pPr>
              <w:spacing w:after="0"/>
              <w:rPr>
                <w:sz w:val="17"/>
                <w:szCs w:val="17"/>
                <w:color w:val="auto"/>
              </w:rPr>
            </w:pPr>
          </w:p>
        </w:tc>
        <w:tc>
          <w:tcPr>
            <w:tcW w:w="900" w:type="dxa"/>
            <w:vAlign w:val="bottom"/>
            <w:shd w:val="clear" w:color="auto" w:fill="CFEDF9"/>
          </w:tcPr>
          <w:p>
            <w:pPr>
              <w:ind w:left="580"/>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600"/>
          </w:cols>
          <w:pgMar w:left="720" w:top="918"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231F20"/>
        </w:rPr>
        <w:t>58</w:t>
      </w:r>
    </w:p>
    <w:p>
      <w:pPr>
        <w:sectPr>
          <w:pgSz w:w="12240" w:h="15840" w:orient="portrait"/>
          <w:cols w:equalWidth="0" w:num="1">
            <w:col w:w="10600"/>
          </w:cols>
          <w:pgMar w:left="720" w:top="918" w:right="920" w:bottom="175" w:gutter="0" w:footer="0" w:header="0"/>
          <w:type w:val="continuous"/>
        </w:sectPr>
      </w:pPr>
    </w:p>
    <w:bookmarkStart w:id="58" w:name="page59"/>
    <w:bookmarkEnd w:id="58"/>
    <w:p>
      <w:pPr>
        <w:ind w:left="500" w:right="240" w:hanging="500"/>
        <w:spacing w:after="0" w:line="254" w:lineRule="auto"/>
        <w:tabs>
          <w:tab w:leader="none" w:pos="50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Total amount of each class of senior securities outstanding at carrying value, excluding the impact of deferred financing costs and hedge accounting relationships, at the end of the period presented.</w:t>
      </w:r>
    </w:p>
    <w:p>
      <w:pPr>
        <w:spacing w:after="0" w:line="1" w:lineRule="exact"/>
        <w:rPr>
          <w:rFonts w:ascii="Times New Roman" w:cs="Times New Roman" w:eastAsia="Times New Roman" w:hAnsi="Times New Roman"/>
          <w:sz w:val="20"/>
          <w:szCs w:val="20"/>
          <w:color w:val="231F20"/>
        </w:rPr>
      </w:pPr>
    </w:p>
    <w:p>
      <w:pPr>
        <w:jc w:val="both"/>
        <w:ind w:left="500" w:hanging="500"/>
        <w:spacing w:after="0"/>
        <w:tabs>
          <w:tab w:leader="none" w:pos="50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ind w:left="500" w:right="380" w:hanging="500"/>
        <w:spacing w:after="0"/>
        <w:tabs>
          <w:tab w:leader="none" w:pos="50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00" w:hanging="500"/>
        <w:spacing w:after="0"/>
        <w:tabs>
          <w:tab w:leader="none" w:pos="50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Not applicable because the senior securities are not registered for public trading.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59</w:t>
      </w:r>
    </w:p>
    <w:p>
      <w:pPr>
        <w:sectPr>
          <w:pgSz w:w="12240" w:h="15840" w:orient="portrait"/>
          <w:cols w:equalWidth="0" w:num="1">
            <w:col w:w="10780"/>
          </w:cols>
          <w:pgMar w:left="720" w:top="930" w:right="740" w:bottom="175" w:gutter="0" w:footer="0" w:header="0"/>
          <w:type w:val="continuous"/>
        </w:sectPr>
      </w:pPr>
    </w:p>
    <w:bookmarkStart w:id="59" w:name="page60"/>
    <w:bookmarkEnd w:id="59"/>
    <w:p>
      <w:pPr>
        <w:ind w:right="960"/>
        <w:spacing w:after="0" w:line="276" w:lineRule="auto"/>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Introduction</w:t>
      </w:r>
    </w:p>
    <w:p>
      <w:pPr>
        <w:spacing w:after="0" w:line="116" w:lineRule="exact"/>
        <w:rPr>
          <w:sz w:val="20"/>
          <w:szCs w:val="20"/>
          <w:color w:val="auto"/>
        </w:rPr>
      </w:pPr>
    </w:p>
    <w:p>
      <w:pPr>
        <w:ind w:right="100" w:firstLine="245"/>
        <w:spacing w:after="0" w:line="241" w:lineRule="auto"/>
        <w:rPr>
          <w:sz w:val="20"/>
          <w:szCs w:val="20"/>
          <w:color w:val="auto"/>
        </w:rPr>
      </w:pPr>
      <w:r>
        <w:rPr>
          <w:rFonts w:ascii="Times New Roman" w:cs="Times New Roman" w:eastAsia="Times New Roman" w:hAnsi="Times New Roman"/>
          <w:sz w:val="20"/>
          <w:szCs w:val="20"/>
          <w:i w:val="1"/>
          <w:iCs w:val="1"/>
          <w:color w:val="231F20"/>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14" w:lineRule="exact"/>
        <w:rPr>
          <w:sz w:val="20"/>
          <w:szCs w:val="20"/>
          <w:color w:val="auto"/>
        </w:rPr>
      </w:pPr>
    </w:p>
    <w:p>
      <w:pPr>
        <w:ind w:firstLine="245"/>
        <w:spacing w:after="0" w:line="242" w:lineRule="auto"/>
        <w:rPr>
          <w:sz w:val="20"/>
          <w:szCs w:val="20"/>
          <w:color w:val="auto"/>
        </w:rPr>
      </w:pPr>
      <w:r>
        <w:rPr>
          <w:rFonts w:ascii="Times New Roman" w:cs="Times New Roman" w:eastAsia="Times New Roman" w:hAnsi="Times New Roman"/>
          <w:sz w:val="20"/>
          <w:szCs w:val="20"/>
          <w:color w:val="231F20"/>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94" w:lineRule="exact"/>
        <w:rPr>
          <w:sz w:val="20"/>
          <w:szCs w:val="20"/>
          <w:color w:val="auto"/>
        </w:rPr>
      </w:pPr>
    </w:p>
    <w:p>
      <w:pPr>
        <w:ind w:right="160" w:firstLine="245"/>
        <w:spacing w:after="0" w:line="267" w:lineRule="auto"/>
        <w:rPr>
          <w:sz w:val="20"/>
          <w:szCs w:val="20"/>
          <w:color w:val="auto"/>
        </w:rPr>
      </w:pPr>
      <w:r>
        <w:rPr>
          <w:rFonts w:ascii="Times New Roman" w:cs="Times New Roman" w:eastAsia="Times New Roman" w:hAnsi="Times New Roman"/>
          <w:sz w:val="20"/>
          <w:szCs w:val="20"/>
          <w:color w:val="231F20"/>
        </w:rPr>
        <w:t>We have elected to be regulated as a BDC under the 1940 Act and as a RIC under the Code. We made our BDC election on April 15, 2011. As a result, we are required to comply with various statutory and regulatory requirements, such as:</w:t>
      </w:r>
    </w:p>
    <w:p>
      <w:pPr>
        <w:spacing w:after="0" w:line="63" w:lineRule="exact"/>
        <w:rPr>
          <w:sz w:val="20"/>
          <w:szCs w:val="20"/>
          <w:color w:val="auto"/>
        </w:rPr>
      </w:pPr>
    </w:p>
    <w:p>
      <w:pPr>
        <w:ind w:left="500" w:hanging="255"/>
        <w:spacing w:after="0"/>
        <w:tabs>
          <w:tab w:leader="none" w:pos="5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requirement to invest at least 70% of our assets in “qualifying assets”;</w:t>
      </w:r>
    </w:p>
    <w:p>
      <w:pPr>
        <w:spacing w:after="0" w:line="123" w:lineRule="exact"/>
        <w:rPr>
          <w:rFonts w:ascii="Arial" w:cs="Arial" w:eastAsia="Arial" w:hAnsi="Arial"/>
          <w:sz w:val="20"/>
          <w:szCs w:val="20"/>
          <w:color w:val="231F20"/>
        </w:rPr>
      </w:pPr>
    </w:p>
    <w:p>
      <w:pPr>
        <w:ind w:left="500" w:hanging="255"/>
        <w:spacing w:after="0"/>
        <w:tabs>
          <w:tab w:leader="none" w:pos="5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source of income limitations;</w:t>
      </w:r>
    </w:p>
    <w:p>
      <w:pPr>
        <w:spacing w:after="0" w:line="123" w:lineRule="exact"/>
        <w:rPr>
          <w:rFonts w:ascii="Arial" w:cs="Arial" w:eastAsia="Arial" w:hAnsi="Arial"/>
          <w:sz w:val="20"/>
          <w:szCs w:val="20"/>
          <w:color w:val="231F20"/>
        </w:rPr>
      </w:pPr>
    </w:p>
    <w:p>
      <w:pPr>
        <w:ind w:left="500" w:hanging="255"/>
        <w:spacing w:after="0"/>
        <w:tabs>
          <w:tab w:leader="none" w:pos="5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asset diversification requirements; and</w:t>
      </w:r>
    </w:p>
    <w:p>
      <w:pPr>
        <w:spacing w:after="0" w:line="123" w:lineRule="exact"/>
        <w:rPr>
          <w:rFonts w:ascii="Arial" w:cs="Arial" w:eastAsia="Arial" w:hAnsi="Arial"/>
          <w:sz w:val="20"/>
          <w:szCs w:val="20"/>
          <w:color w:val="231F20"/>
        </w:rPr>
      </w:pPr>
    </w:p>
    <w:p>
      <w:pPr>
        <w:ind w:left="500" w:right="80" w:hanging="255"/>
        <w:spacing w:after="0" w:line="266" w:lineRule="auto"/>
        <w:tabs>
          <w:tab w:leader="none" w:pos="5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Our shares are listed on the NYSE under the symbol “TSLX.”</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Investment Framework</w:t>
      </w:r>
    </w:p>
    <w:p>
      <w:pPr>
        <w:spacing w:after="0" w:line="114" w:lineRule="exact"/>
        <w:rPr>
          <w:sz w:val="20"/>
          <w:szCs w:val="20"/>
          <w:color w:val="auto"/>
        </w:rPr>
      </w:pPr>
    </w:p>
    <w:p>
      <w:pPr>
        <w:ind w:right="20" w:firstLine="245"/>
        <w:spacing w:after="0" w:line="237" w:lineRule="auto"/>
        <w:rPr>
          <w:sz w:val="20"/>
          <w:szCs w:val="20"/>
          <w:color w:val="auto"/>
        </w:rPr>
      </w:pPr>
      <w:r>
        <w:rPr>
          <w:rFonts w:ascii="Times New Roman" w:cs="Times New Roman" w:eastAsia="Times New Roman" w:hAnsi="Times New Roman"/>
          <w:sz w:val="20"/>
          <w:szCs w:val="20"/>
          <w:color w:val="231F20"/>
        </w:rPr>
        <w:t>We are a specialty finance company focused on lending to middle-market companies. Since we began our investment activities in July 2011, through December 31, 2023, we have originated more than $31.5 billion aggregate principal amount of investments and retained approximately $10.0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spacing w:after="0" w:line="208"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20"/>
          <w:szCs w:val="20"/>
          <w:color w:val="231F20"/>
        </w:rPr>
        <w:t>By “middle-market companies,” we mean companies that have annual EBITDA, which we believe is a useful proxy for cash flow, of $10 million to $250 million, although we may invest in larger or smaller companies on occasion. As of December 31, 2023, our core portfolio companies, which exclude certain investments that fall outside of our typical borrower profile and represent 95.3% of our total investments based on fair value, had weighted average annual revenue of $230.3 million and weighted average annual EBITDA of $79.3 million.</w:t>
      </w:r>
    </w:p>
    <w:p>
      <w:pPr>
        <w:spacing w:after="0" w:line="197"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20"/>
          <w:szCs w:val="20"/>
          <w:color w:val="231F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97" w:lineRule="exact"/>
        <w:rPr>
          <w:sz w:val="20"/>
          <w:szCs w:val="20"/>
          <w:color w:val="auto"/>
        </w:rPr>
      </w:pPr>
    </w:p>
    <w:p>
      <w:pPr>
        <w:jc w:val="both"/>
        <w:ind w:right="420" w:firstLine="245"/>
        <w:spacing w:after="0" w:line="258" w:lineRule="auto"/>
        <w:rPr>
          <w:sz w:val="20"/>
          <w:szCs w:val="20"/>
          <w:color w:val="auto"/>
        </w:rPr>
      </w:pPr>
      <w:r>
        <w:rPr>
          <w:rFonts w:ascii="Times New Roman" w:cs="Times New Roman" w:eastAsia="Times New Roman" w:hAnsi="Times New Roman"/>
          <w:sz w:val="20"/>
          <w:szCs w:val="20"/>
          <w:color w:val="231F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8" w:lineRule="exact"/>
        <w:rPr>
          <w:sz w:val="20"/>
          <w:szCs w:val="20"/>
          <w:color w:val="auto"/>
        </w:rPr>
      </w:pPr>
    </w:p>
    <w:p>
      <w:pPr>
        <w:ind w:right="280" w:firstLine="245"/>
        <w:spacing w:after="0" w:line="258" w:lineRule="auto"/>
        <w:rPr>
          <w:sz w:val="20"/>
          <w:szCs w:val="20"/>
          <w:color w:val="auto"/>
        </w:rPr>
      </w:pPr>
      <w:r>
        <w:rPr>
          <w:rFonts w:ascii="Times New Roman" w:cs="Times New Roman" w:eastAsia="Times New Roman" w:hAnsi="Times New Roman"/>
          <w:sz w:val="20"/>
          <w:szCs w:val="20"/>
          <w:color w:val="231F20"/>
        </w:rPr>
        <w:t>The companies in which we invest use our capital to support organic growth, acquisitions, market or product expansion and recapitalizations (including restructurings). As of December 31, 2023, the largest single investment based on fair value represented 2.6% of our total investment portfolio.</w:t>
      </w:r>
    </w:p>
    <w:p>
      <w:pPr>
        <w:spacing w:after="0" w:line="188" w:lineRule="exact"/>
        <w:rPr>
          <w:sz w:val="20"/>
          <w:szCs w:val="20"/>
          <w:color w:val="auto"/>
        </w:rPr>
      </w:pPr>
    </w:p>
    <w:p>
      <w:pPr>
        <w:ind w:right="140" w:firstLine="245"/>
        <w:spacing w:after="0" w:line="305" w:lineRule="auto"/>
        <w:rPr>
          <w:sz w:val="20"/>
          <w:szCs w:val="20"/>
          <w:color w:val="auto"/>
        </w:rPr>
      </w:pPr>
      <w:r>
        <w:rPr>
          <w:rFonts w:ascii="Times New Roman" w:cs="Times New Roman" w:eastAsia="Times New Roman" w:hAnsi="Times New Roman"/>
          <w:sz w:val="19"/>
          <w:szCs w:val="19"/>
          <w:color w:val="231F20"/>
        </w:rPr>
        <w:t>As of December 31, 2023, the average investment size in each of our portfolio companies was approximately $24.1 million based on fair value. Portfolio companies includes investments in structured credit investments, which include each series of collateralized</w:t>
      </w:r>
    </w:p>
    <w:p>
      <w:pPr>
        <w:sectPr>
          <w:pgSz w:w="12240" w:h="15840" w:orient="portrait"/>
          <w:cols w:equalWidth="0" w:num="1">
            <w:col w:w="10760"/>
          </w:cols>
          <w:pgMar w:left="720" w:top="918" w:right="760" w:bottom="175"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60</w:t>
      </w:r>
    </w:p>
    <w:p>
      <w:pPr>
        <w:sectPr>
          <w:pgSz w:w="12240" w:h="15840" w:orient="portrait"/>
          <w:cols w:equalWidth="0" w:num="1">
            <w:col w:w="10760"/>
          </w:cols>
          <w:pgMar w:left="720" w:top="918" w:right="760" w:bottom="175" w:gutter="0" w:footer="0" w:header="0"/>
          <w:type w:val="continuous"/>
        </w:sectPr>
      </w:pPr>
    </w:p>
    <w:bookmarkStart w:id="60" w:name="page61"/>
    <w:bookmarkEnd w:id="60"/>
    <w:p>
      <w:pPr>
        <w:ind w:right="760"/>
        <w:spacing w:after="0" w:line="277" w:lineRule="auto"/>
        <w:rPr>
          <w:sz w:val="20"/>
          <w:szCs w:val="20"/>
          <w:color w:val="auto"/>
        </w:rPr>
      </w:pPr>
      <w:r>
        <w:rPr>
          <w:rFonts w:ascii="Times New Roman" w:cs="Times New Roman" w:eastAsia="Times New Roman" w:hAnsi="Times New Roman"/>
          <w:sz w:val="20"/>
          <w:szCs w:val="20"/>
          <w:color w:val="231F20"/>
        </w:rPr>
        <w:t>loan obligation as a portfolio company investment. When excluding investments in structured credit investments, the average investment in our remaining portfolio companies was approximately $34.3 million as of December 31, 2023.</w:t>
      </w:r>
    </w:p>
    <w:p>
      <w:pPr>
        <w:spacing w:after="0" w:line="169" w:lineRule="exact"/>
        <w:rPr>
          <w:sz w:val="20"/>
          <w:szCs w:val="20"/>
          <w:color w:val="auto"/>
        </w:rPr>
      </w:pPr>
    </w:p>
    <w:p>
      <w:pPr>
        <w:ind w:right="460" w:firstLine="245"/>
        <w:spacing w:after="0" w:line="277" w:lineRule="auto"/>
        <w:rPr>
          <w:sz w:val="20"/>
          <w:szCs w:val="20"/>
          <w:color w:val="auto"/>
        </w:rPr>
      </w:pPr>
      <w:r>
        <w:rPr>
          <w:rFonts w:ascii="Times New Roman" w:cs="Times New Roman" w:eastAsia="Times New Roman" w:hAnsi="Times New Roman"/>
          <w:sz w:val="20"/>
          <w:szCs w:val="20"/>
          <w:color w:val="231F20"/>
        </w:rPr>
        <w:t>Through our Adviser, we consider potential investments utilizing a four-tiered investment framework and against our existing portfolio as a whole:</w:t>
      </w:r>
    </w:p>
    <w:p>
      <w:pPr>
        <w:spacing w:after="0" w:line="169" w:lineRule="exact"/>
        <w:rPr>
          <w:sz w:val="20"/>
          <w:szCs w:val="20"/>
          <w:color w:val="auto"/>
        </w:rPr>
      </w:pPr>
    </w:p>
    <w:p>
      <w:pPr>
        <w:ind w:right="140" w:firstLine="245"/>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Business and sector selection. </w:t>
      </w:r>
      <w:r>
        <w:rPr>
          <w:rFonts w:ascii="Times New Roman" w:cs="Times New Roman" w:eastAsia="Times New Roman" w:hAnsi="Times New Roman"/>
          <w:sz w:val="20"/>
          <w:szCs w:val="20"/>
          <w:color w:val="231F20"/>
        </w:rPr>
        <w:t>We focus on companies with enterprise value between $50 million and $1 billion. When reviewing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94"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231F20"/>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As of December 31, 2023, the largest industry represented 18.0% of our total investment portfolio based on fair value.</w:t>
      </w:r>
    </w:p>
    <w:p>
      <w:pPr>
        <w:spacing w:after="0" w:line="240"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Investment Structuring. </w:t>
      </w:r>
      <w:r>
        <w:rPr>
          <w:rFonts w:ascii="Times New Roman" w:cs="Times New Roman" w:eastAsia="Times New Roman" w:hAnsi="Times New Roman"/>
          <w:sz w:val="20"/>
          <w:szCs w:val="20"/>
          <w:color w:val="231F20"/>
        </w:rPr>
        <w:t>We focus on investing at the top of the capital structure and protecting that position. As of December 31,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2023, approximately 92.4% of our portfolio was invested in secured debt, including 91.3%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2023, the weighted average term on new investment commitments in new portfolio companies was 6.0 years.</w:t>
      </w:r>
    </w:p>
    <w:p>
      <w:pPr>
        <w:spacing w:after="0" w:line="202" w:lineRule="exact"/>
        <w:rPr>
          <w:sz w:val="20"/>
          <w:szCs w:val="20"/>
          <w:color w:val="auto"/>
        </w:rPr>
      </w:pPr>
    </w:p>
    <w:p>
      <w:pPr>
        <w:ind w:right="80" w:firstLine="245"/>
        <w:spacing w:after="0" w:line="305" w:lineRule="auto"/>
        <w:rPr>
          <w:sz w:val="20"/>
          <w:szCs w:val="20"/>
          <w:color w:val="auto"/>
        </w:rPr>
      </w:pPr>
      <w:r>
        <w:rPr>
          <w:rFonts w:ascii="Times New Roman" w:cs="Times New Roman" w:eastAsia="Times New Roman" w:hAnsi="Times New Roman"/>
          <w:sz w:val="19"/>
          <w:szCs w:val="19"/>
          <w:i w:val="1"/>
          <w:iCs w:val="1"/>
          <w:color w:val="231F20"/>
        </w:rPr>
        <w:t xml:space="preserve">Deal Dynamics. </w:t>
      </w:r>
      <w:r>
        <w:rPr>
          <w:rFonts w:ascii="Times New Roman" w:cs="Times New Roman" w:eastAsia="Times New Roman" w:hAnsi="Times New Roman"/>
          <w:sz w:val="19"/>
          <w:szCs w:val="19"/>
          <w:color w:val="231F20"/>
        </w:rPr>
        <w:t>We focus on, among other deal dynamics, direct origination of investments, where we identify and lead the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investment transaction. A substantial majority of our portfolio investments are sourced through our direct or proprietary relationships.</w:t>
      </w:r>
    </w:p>
    <w:p>
      <w:pPr>
        <w:spacing w:after="0" w:line="145" w:lineRule="exact"/>
        <w:rPr>
          <w:sz w:val="20"/>
          <w:szCs w:val="20"/>
          <w:color w:val="auto"/>
        </w:rPr>
      </w:pPr>
    </w:p>
    <w:p>
      <w:pPr>
        <w:ind w:right="20" w:firstLine="245"/>
        <w:spacing w:after="0" w:line="265" w:lineRule="auto"/>
        <w:rPr>
          <w:sz w:val="20"/>
          <w:szCs w:val="20"/>
          <w:color w:val="auto"/>
        </w:rPr>
      </w:pPr>
      <w:r>
        <w:rPr>
          <w:rFonts w:ascii="Times New Roman" w:cs="Times New Roman" w:eastAsia="Times New Roman" w:hAnsi="Times New Roman"/>
          <w:sz w:val="19"/>
          <w:szCs w:val="19"/>
          <w:i w:val="1"/>
          <w:iCs w:val="1"/>
          <w:color w:val="231F20"/>
        </w:rPr>
        <w:t xml:space="preserve">Risk Mitigation. </w:t>
      </w:r>
      <w:r>
        <w:rPr>
          <w:rFonts w:ascii="Times New Roman" w:cs="Times New Roman" w:eastAsia="Times New Roman" w:hAnsi="Times New Roman"/>
          <w:sz w:val="19"/>
          <w:szCs w:val="19"/>
          <w:color w:val="231F20"/>
        </w:rPr>
        <w:t>We seek to mitigate non-credit-related risk on our returns in several ways, including call protection provisions to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protect future interest income. As of December 31, 2023, we had call protection on 75.1% of our debt investments based on fair value, with weighted average call prices of 106.5% for the first year, 103.2% for the second year and 101.0% for the third year, in each case from the date of the initial investment. As of December 31, 2023, 99.7% of our debt investments based on fair value bore interest at floating rates, with 100% of these subject to interest rate floors, which we believe helps act as a portfolio-wide hedge against inflation.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Relationship with our Adviser and Sixth Street</w:t>
      </w:r>
    </w:p>
    <w:p>
      <w:pPr>
        <w:spacing w:after="0" w:line="120"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20"/>
          <w:szCs w:val="20"/>
          <w:color w:val="231F20"/>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200" w:lineRule="exact"/>
        <w:rPr>
          <w:sz w:val="20"/>
          <w:szCs w:val="20"/>
          <w:color w:val="auto"/>
        </w:rPr>
      </w:pPr>
    </w:p>
    <w:p>
      <w:pPr>
        <w:ind w:right="20" w:firstLine="245"/>
        <w:spacing w:after="0" w:line="243" w:lineRule="auto"/>
        <w:rPr>
          <w:sz w:val="20"/>
          <w:szCs w:val="20"/>
          <w:color w:val="auto"/>
        </w:rPr>
      </w:pPr>
      <w:r>
        <w:rPr>
          <w:rFonts w:ascii="Times New Roman" w:cs="Times New Roman" w:eastAsia="Times New Roman" w:hAnsi="Times New Roman"/>
          <w:sz w:val="20"/>
          <w:szCs w:val="20"/>
          <w:color w:val="231F20"/>
        </w:rPr>
        <w:t>Sixth Street is a global investment business with over $75 billion of assets under management as of December 31, 2023.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580 investment and operating professionals. As of December 31, 2023, seventy (70) of these personnel are dedicated to direct lending, including fifty-five (55) investment professionals.</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61</w:t>
      </w:r>
    </w:p>
    <w:p>
      <w:pPr>
        <w:sectPr>
          <w:pgSz w:w="12240" w:h="15840" w:orient="portrait"/>
          <w:cols w:equalWidth="0" w:num="1">
            <w:col w:w="10780"/>
          </w:cols>
          <w:pgMar w:left="720" w:top="930" w:right="740" w:bottom="175" w:gutter="0" w:footer="0" w:header="0"/>
          <w:type w:val="continuous"/>
        </w:sectPr>
      </w:pPr>
    </w:p>
    <w:bookmarkStart w:id="61" w:name="page62"/>
    <w:bookmarkEnd w:id="61"/>
    <w:p>
      <w:pPr>
        <w:ind w:right="140" w:firstLine="245"/>
        <w:spacing w:after="0" w:line="246" w:lineRule="auto"/>
        <w:rPr>
          <w:sz w:val="20"/>
          <w:szCs w:val="20"/>
          <w:color w:val="auto"/>
        </w:rPr>
      </w:pPr>
      <w:r>
        <w:rPr>
          <w:rFonts w:ascii="Times New Roman" w:cs="Times New Roman" w:eastAsia="Times New Roman" w:hAnsi="Times New Roman"/>
          <w:sz w:val="20"/>
          <w:szCs w:val="20"/>
          <w:color w:val="231F20"/>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00"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200"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20"/>
          <w:szCs w:val="20"/>
          <w:color w:val="231F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97" w:lineRule="exact"/>
        <w:rPr>
          <w:sz w:val="20"/>
          <w:szCs w:val="20"/>
          <w:color w:val="auto"/>
        </w:rPr>
      </w:pPr>
    </w:p>
    <w:p>
      <w:pPr>
        <w:jc w:val="both"/>
        <w:ind w:right="220" w:firstLine="245"/>
        <w:spacing w:after="0" w:line="252" w:lineRule="auto"/>
        <w:rPr>
          <w:sz w:val="20"/>
          <w:szCs w:val="20"/>
          <w:color w:val="auto"/>
        </w:rPr>
      </w:pPr>
      <w:r>
        <w:rPr>
          <w:rFonts w:ascii="Times New Roman" w:cs="Times New Roman" w:eastAsia="Times New Roman" w:hAnsi="Times New Roman"/>
          <w:sz w:val="20"/>
          <w:szCs w:val="20"/>
          <w:color w:val="231F20"/>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94" w:lineRule="exact"/>
        <w:rPr>
          <w:sz w:val="20"/>
          <w:szCs w:val="20"/>
          <w:color w:val="auto"/>
        </w:rPr>
      </w:pPr>
    </w:p>
    <w:p>
      <w:pPr>
        <w:ind w:right="180" w:firstLine="245"/>
        <w:spacing w:after="0" w:line="249" w:lineRule="auto"/>
        <w:rPr>
          <w:sz w:val="20"/>
          <w:szCs w:val="20"/>
          <w:color w:val="auto"/>
        </w:rPr>
      </w:pPr>
      <w:r>
        <w:rPr>
          <w:rFonts w:ascii="Times New Roman" w:cs="Times New Roman" w:eastAsia="Times New Roman" w:hAnsi="Times New Roman"/>
          <w:sz w:val="20"/>
          <w:szCs w:val="20"/>
          <w:color w:val="231F20"/>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Components of Our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Investments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We focus primarily on the direct origination of loans to middle-market companies domiciled in the United States.</w:t>
      </w:r>
    </w:p>
    <w:p>
      <w:pPr>
        <w:spacing w:after="0" w:line="240" w:lineRule="exact"/>
        <w:rPr>
          <w:sz w:val="20"/>
          <w:szCs w:val="20"/>
          <w:color w:val="auto"/>
        </w:rPr>
      </w:pPr>
    </w:p>
    <w:p>
      <w:pPr>
        <w:ind w:right="200" w:firstLine="245"/>
        <w:spacing w:after="0" w:line="252" w:lineRule="auto"/>
        <w:rPr>
          <w:sz w:val="20"/>
          <w:szCs w:val="20"/>
          <w:color w:val="auto"/>
        </w:rPr>
      </w:pPr>
      <w:r>
        <w:rPr>
          <w:rFonts w:ascii="Times New Roman" w:cs="Times New Roman" w:eastAsia="Times New Roman" w:hAnsi="Times New Roman"/>
          <w:sz w:val="20"/>
          <w:szCs w:val="20"/>
          <w:color w:val="231F20"/>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94" w:lineRule="exact"/>
        <w:rPr>
          <w:sz w:val="20"/>
          <w:szCs w:val="20"/>
          <w:color w:val="auto"/>
        </w:rPr>
      </w:pPr>
    </w:p>
    <w:p>
      <w:pPr>
        <w:ind w:right="700" w:firstLine="245"/>
        <w:spacing w:after="0" w:line="277" w:lineRule="auto"/>
        <w:rPr>
          <w:sz w:val="20"/>
          <w:szCs w:val="20"/>
          <w:color w:val="auto"/>
        </w:rPr>
      </w:pPr>
      <w:r>
        <w:rPr>
          <w:rFonts w:ascii="Times New Roman" w:cs="Times New Roman" w:eastAsia="Times New Roman" w:hAnsi="Times New Roman"/>
          <w:sz w:val="20"/>
          <w:szCs w:val="20"/>
          <w:color w:val="231F20"/>
        </w:rPr>
        <w:t>In addition, as part of our risk strategy on investments, we may reduce certain levels of investments through partial sales or syndication to additional investors.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Revenues</w:t>
      </w:r>
    </w:p>
    <w:p>
      <w:pPr>
        <w:spacing w:after="0" w:line="120"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231F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2023, 99.7%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years ended December 31, 2023, 2022 and 2021, 4.5%, 4.1% and 3.6%, respectively, of our total investment income was comprised of PIK interest.</w:t>
      </w:r>
    </w:p>
    <w:p>
      <w:pPr>
        <w:spacing w:after="0" w:line="200" w:lineRule="exact"/>
        <w:rPr>
          <w:sz w:val="20"/>
          <w:szCs w:val="20"/>
          <w:color w:val="auto"/>
        </w:rPr>
      </w:pPr>
    </w:p>
    <w:p>
      <w:pPr>
        <w:ind w:right="20" w:firstLine="245"/>
        <w:spacing w:after="0" w:line="258" w:lineRule="auto"/>
        <w:rPr>
          <w:sz w:val="20"/>
          <w:szCs w:val="20"/>
          <w:color w:val="auto"/>
        </w:rPr>
      </w:pPr>
      <w:r>
        <w:rPr>
          <w:rFonts w:ascii="Times New Roman" w:cs="Times New Roman" w:eastAsia="Times New Roman" w:hAnsi="Times New Roman"/>
          <w:sz w:val="20"/>
          <w:szCs w:val="20"/>
          <w:color w:val="231F20"/>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2024 Notes, 2026 Notes and 2028 Notes after taking into account the</w:t>
      </w:r>
    </w:p>
    <w:p>
      <w:pPr>
        <w:sectPr>
          <w:pgSz w:w="12240" w:h="15840" w:orient="portrait"/>
          <w:cols w:equalWidth="0" w:num="1">
            <w:col w:w="10800"/>
          </w:cols>
          <w:pgMar w:left="720" w:top="930" w:right="720" w:bottom="175" w:gutter="0" w:footer="0" w:header="0"/>
        </w:sectPr>
      </w:pP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2240" w:h="15840" w:orient="portrait"/>
          <w:cols w:equalWidth="0" w:num="1">
            <w:col w:w="10800"/>
          </w:cols>
          <w:pgMar w:left="720" w:top="930" w:right="720" w:bottom="175" w:gutter="0" w:footer="0" w:header="0"/>
          <w:type w:val="continuous"/>
        </w:sectPr>
      </w:pPr>
    </w:p>
    <w:bookmarkStart w:id="62" w:name="page63"/>
    <w:bookmarkEnd w:id="62"/>
    <w:p>
      <w:pPr>
        <w:spacing w:after="0" w:line="247" w:lineRule="auto"/>
        <w:rPr>
          <w:sz w:val="20"/>
          <w:szCs w:val="20"/>
          <w:color w:val="auto"/>
        </w:rPr>
      </w:pPr>
      <w:r>
        <w:rPr>
          <w:rFonts w:ascii="Times New Roman" w:cs="Times New Roman" w:eastAsia="Times New Roman" w:hAnsi="Times New Roman"/>
          <w:sz w:val="20"/>
          <w:szCs w:val="20"/>
          <w:color w:val="231F20"/>
        </w:rPr>
        <w:t>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200"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231F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200" w:lineRule="exact"/>
        <w:rPr>
          <w:sz w:val="20"/>
          <w:szCs w:val="20"/>
          <w:color w:val="auto"/>
        </w:rPr>
      </w:pPr>
    </w:p>
    <w:p>
      <w:pPr>
        <w:ind w:right="400" w:firstLine="245"/>
        <w:spacing w:after="0" w:line="247" w:lineRule="auto"/>
        <w:rPr>
          <w:sz w:val="20"/>
          <w:szCs w:val="20"/>
          <w:color w:val="auto"/>
        </w:rPr>
      </w:pPr>
      <w:r>
        <w:rPr>
          <w:rFonts w:ascii="Times New Roman" w:cs="Times New Roman" w:eastAsia="Times New Roman" w:hAnsi="Times New Roman"/>
          <w:sz w:val="20"/>
          <w:szCs w:val="20"/>
          <w:color w:val="231F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200" w:lineRule="exact"/>
        <w:rPr>
          <w:sz w:val="20"/>
          <w:szCs w:val="20"/>
          <w:color w:val="auto"/>
        </w:rPr>
      </w:pPr>
    </w:p>
    <w:p>
      <w:pPr>
        <w:ind w:right="580" w:firstLine="245"/>
        <w:spacing w:after="0" w:line="277" w:lineRule="auto"/>
        <w:rPr>
          <w:sz w:val="20"/>
          <w:szCs w:val="20"/>
          <w:color w:val="auto"/>
        </w:rPr>
      </w:pPr>
      <w:r>
        <w:rPr>
          <w:rFonts w:ascii="Times New Roman" w:cs="Times New Roman" w:eastAsia="Times New Roman" w:hAnsi="Times New Roman"/>
          <w:sz w:val="20"/>
          <w:szCs w:val="20"/>
          <w:color w:val="231F20"/>
        </w:rPr>
        <w:t>Dividend income on common equity investments is recorded on the record date for private portfolio companies or on the ex-dividend date for publicly traded portfolio companies.</w:t>
      </w:r>
    </w:p>
    <w:p>
      <w:pPr>
        <w:spacing w:after="0" w:line="169"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231F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Expenses</w:t>
      </w:r>
    </w:p>
    <w:p>
      <w:pPr>
        <w:spacing w:after="0" w:line="112" w:lineRule="exact"/>
        <w:rPr>
          <w:sz w:val="20"/>
          <w:szCs w:val="20"/>
          <w:color w:val="auto"/>
        </w:rPr>
      </w:pPr>
    </w:p>
    <w:p>
      <w:pPr>
        <w:ind w:right="220" w:firstLine="245"/>
        <w:spacing w:after="0" w:line="242" w:lineRule="auto"/>
        <w:rPr>
          <w:sz w:val="20"/>
          <w:szCs w:val="20"/>
          <w:color w:val="auto"/>
        </w:rPr>
      </w:pPr>
      <w:r>
        <w:rPr>
          <w:rFonts w:ascii="Times New Roman" w:cs="Times New Roman" w:eastAsia="Times New Roman" w:hAnsi="Times New Roman"/>
          <w:sz w:val="20"/>
          <w:szCs w:val="20"/>
          <w:color w:val="231F20"/>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8" w:lineRule="exact"/>
        <w:rPr>
          <w:sz w:val="20"/>
          <w:szCs w:val="20"/>
          <w:color w:val="auto"/>
        </w:rPr>
      </w:pPr>
    </w:p>
    <w:p>
      <w:pPr>
        <w:ind w:left="500" w:hanging="255"/>
        <w:spacing w:after="0"/>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calculating individual asset values and our net asset value (including the cost and expenses of any independent valuation firms);</w:t>
      </w:r>
    </w:p>
    <w:p>
      <w:pPr>
        <w:spacing w:after="0" w:line="123" w:lineRule="exact"/>
        <w:rPr>
          <w:rFonts w:ascii="Arial" w:cs="Arial" w:eastAsia="Arial" w:hAnsi="Arial"/>
          <w:sz w:val="20"/>
          <w:szCs w:val="20"/>
          <w:color w:val="231F20"/>
        </w:rPr>
      </w:pPr>
    </w:p>
    <w:p>
      <w:pPr>
        <w:ind w:left="500" w:right="20" w:hanging="255"/>
        <w:spacing w:after="0" w:line="248" w:lineRule="auto"/>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Arial" w:cs="Arial" w:eastAsia="Arial" w:hAnsi="Arial"/>
          <w:sz w:val="20"/>
          <w:szCs w:val="20"/>
          <w:color w:val="231F20"/>
        </w:rPr>
      </w:pPr>
    </w:p>
    <w:p>
      <w:pPr>
        <w:ind w:left="500" w:hanging="255"/>
        <w:spacing w:after="0"/>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any public offerings of our common stock and other securities, including registration and listing fees;</w:t>
      </w:r>
    </w:p>
    <w:p>
      <w:pPr>
        <w:spacing w:after="0" w:line="123" w:lineRule="exact"/>
        <w:rPr>
          <w:rFonts w:ascii="Arial" w:cs="Arial" w:eastAsia="Arial" w:hAnsi="Arial"/>
          <w:sz w:val="20"/>
          <w:szCs w:val="20"/>
          <w:color w:val="231F20"/>
        </w:rPr>
      </w:pPr>
    </w:p>
    <w:p>
      <w:pPr>
        <w:ind w:left="500" w:hanging="255"/>
        <w:spacing w:after="0"/>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the Management Fee and any Incentive Fee;</w:t>
      </w:r>
    </w:p>
    <w:p>
      <w:pPr>
        <w:spacing w:after="0" w:line="123" w:lineRule="exact"/>
        <w:rPr>
          <w:rFonts w:ascii="Arial" w:cs="Arial" w:eastAsia="Arial" w:hAnsi="Arial"/>
          <w:sz w:val="20"/>
          <w:szCs w:val="20"/>
          <w:color w:val="231F20"/>
        </w:rPr>
      </w:pPr>
    </w:p>
    <w:p>
      <w:pPr>
        <w:ind w:left="500" w:hanging="255"/>
        <w:spacing w:after="0"/>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certain costs and expenses relating to distributions paid on our shares;</w:t>
      </w:r>
    </w:p>
    <w:p>
      <w:pPr>
        <w:spacing w:after="0" w:line="123" w:lineRule="exact"/>
        <w:rPr>
          <w:rFonts w:ascii="Arial" w:cs="Arial" w:eastAsia="Arial" w:hAnsi="Arial"/>
          <w:sz w:val="20"/>
          <w:szCs w:val="20"/>
          <w:color w:val="231F20"/>
        </w:rPr>
      </w:pPr>
    </w:p>
    <w:p>
      <w:pPr>
        <w:ind w:left="500" w:hanging="255"/>
        <w:spacing w:after="0"/>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administration fees payable under our Administration Agreement;</w:t>
      </w:r>
    </w:p>
    <w:p>
      <w:pPr>
        <w:spacing w:after="0" w:line="131" w:lineRule="exact"/>
        <w:rPr>
          <w:rFonts w:ascii="Arial" w:cs="Arial" w:eastAsia="Arial" w:hAnsi="Arial"/>
          <w:sz w:val="20"/>
          <w:szCs w:val="20"/>
          <w:color w:val="231F20"/>
        </w:rPr>
      </w:pPr>
    </w:p>
    <w:p>
      <w:pPr>
        <w:ind w:left="500" w:right="60" w:hanging="255"/>
        <w:spacing w:after="0" w:line="249" w:lineRule="auto"/>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90" w:lineRule="exact"/>
        <w:rPr>
          <w:rFonts w:ascii="Arial" w:cs="Arial" w:eastAsia="Arial" w:hAnsi="Arial"/>
          <w:sz w:val="20"/>
          <w:szCs w:val="20"/>
          <w:color w:val="231F20"/>
        </w:rPr>
      </w:pPr>
    </w:p>
    <w:p>
      <w:pPr>
        <w:ind w:left="500" w:hanging="255"/>
        <w:spacing w:after="0"/>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debt service and other costs of borrowings or other financing arrangements;</w:t>
      </w:r>
    </w:p>
    <w:p>
      <w:pPr>
        <w:spacing w:after="0" w:line="133" w:lineRule="exact"/>
        <w:rPr>
          <w:rFonts w:ascii="Arial" w:cs="Arial" w:eastAsia="Arial" w:hAnsi="Arial"/>
          <w:sz w:val="20"/>
          <w:szCs w:val="20"/>
          <w:color w:val="231F20"/>
        </w:rPr>
      </w:pPr>
    </w:p>
    <w:p>
      <w:pPr>
        <w:ind w:left="500" w:right="220" w:hanging="255"/>
        <w:spacing w:after="0" w:line="276" w:lineRule="auto"/>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the Adviser’s allocable share of costs incurred in providing significant managerial assistance to those portfolio companies that request it;</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amounts payable to third parties relating to, or associated with, making or holding investments;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2240" w:h="15840" w:orient="portrait"/>
          <w:cols w:equalWidth="0" w:num="1">
            <w:col w:w="10800"/>
          </w:cols>
          <w:pgMar w:left="720" w:top="930" w:right="720" w:bottom="175" w:gutter="0" w:footer="0" w:header="0"/>
          <w:type w:val="continuous"/>
        </w:sectPr>
      </w:pPr>
    </w:p>
    <w:bookmarkStart w:id="63" w:name="page64"/>
    <w:bookmarkEnd w:id="63"/>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transfer agent and custodial fees;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of hedging;</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commissions and other compensation payable to brokers or dealers;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taxes;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Independent Director fees and expenses;</w:t>
      </w:r>
    </w:p>
    <w:p>
      <w:pPr>
        <w:spacing w:after="0" w:line="133" w:lineRule="exact"/>
        <w:rPr>
          <w:rFonts w:ascii="Arial" w:cs="Arial" w:eastAsia="Arial" w:hAnsi="Arial"/>
          <w:sz w:val="20"/>
          <w:szCs w:val="20"/>
          <w:color w:val="231F20"/>
        </w:rPr>
      </w:pPr>
    </w:p>
    <w:p>
      <w:pPr>
        <w:jc w:val="both"/>
        <w:ind w:left="500" w:hanging="255"/>
        <w:spacing w:after="0" w:line="258" w:lineRule="auto"/>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1" w:lineRule="exact"/>
        <w:rPr>
          <w:rFonts w:ascii="Arial" w:cs="Arial" w:eastAsia="Arial" w:hAnsi="Arial"/>
          <w:sz w:val="20"/>
          <w:szCs w:val="20"/>
          <w:color w:val="231F20"/>
        </w:rPr>
      </w:pPr>
    </w:p>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our fidelity bond;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directors and officers/errors and omissions liability insurance, and any other insurance premiums;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indemnification payments;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direct costs and expenses of administration, including audit, accounting, consulting and legal costs; and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all other expenses reasonably incurred by us in connection with making investments and administering our business.</w:t>
      </w:r>
    </w:p>
    <w:p>
      <w:pPr>
        <w:spacing w:after="0" w:line="239" w:lineRule="exact"/>
        <w:rPr>
          <w:sz w:val="20"/>
          <w:szCs w:val="20"/>
          <w:color w:val="auto"/>
        </w:rPr>
      </w:pPr>
    </w:p>
    <w:p>
      <w:pPr>
        <w:ind w:right="60" w:firstLine="245"/>
        <w:spacing w:after="0" w:line="277" w:lineRule="auto"/>
        <w:rPr>
          <w:sz w:val="20"/>
          <w:szCs w:val="20"/>
          <w:color w:val="auto"/>
        </w:rPr>
      </w:pPr>
      <w:r>
        <w:rPr>
          <w:rFonts w:ascii="Times New Roman" w:cs="Times New Roman" w:eastAsia="Times New Roman" w:hAnsi="Times New Roman"/>
          <w:sz w:val="20"/>
          <w:szCs w:val="20"/>
          <w:color w:val="231F20"/>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Leverage</w:t>
      </w:r>
    </w:p>
    <w:p>
      <w:pPr>
        <w:spacing w:after="0" w:line="120"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 Trends</w:t>
      </w:r>
    </w:p>
    <w:p>
      <w:pPr>
        <w:spacing w:after="0" w:line="120"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231F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88" w:lineRule="exact"/>
        <w:rPr>
          <w:sz w:val="20"/>
          <w:szCs w:val="20"/>
          <w:color w:val="auto"/>
        </w:rPr>
      </w:pPr>
    </w:p>
    <w:p>
      <w:pPr>
        <w:ind w:right="120" w:firstLine="245"/>
        <w:spacing w:after="0" w:line="249" w:lineRule="auto"/>
        <w:rPr>
          <w:sz w:val="20"/>
          <w:szCs w:val="20"/>
          <w:color w:val="auto"/>
        </w:rPr>
      </w:pPr>
      <w:r>
        <w:rPr>
          <w:rFonts w:ascii="Times New Roman" w:cs="Times New Roman" w:eastAsia="Times New Roman" w:hAnsi="Times New Roman"/>
          <w:sz w:val="20"/>
          <w:szCs w:val="20"/>
          <w:color w:val="231F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97" w:lineRule="exact"/>
        <w:rPr>
          <w:sz w:val="20"/>
          <w:szCs w:val="20"/>
          <w:color w:val="auto"/>
        </w:rPr>
      </w:pPr>
    </w:p>
    <w:p>
      <w:pPr>
        <w:jc w:val="both"/>
        <w:ind w:right="220" w:firstLine="245"/>
        <w:spacing w:after="0" w:line="252" w:lineRule="auto"/>
        <w:rPr>
          <w:sz w:val="20"/>
          <w:szCs w:val="20"/>
          <w:color w:val="auto"/>
        </w:rPr>
      </w:pPr>
      <w:r>
        <w:rPr>
          <w:rFonts w:ascii="Times New Roman" w:cs="Times New Roman" w:eastAsia="Times New Roman" w:hAnsi="Times New Roman"/>
          <w:sz w:val="20"/>
          <w:szCs w:val="20"/>
          <w:color w:val="231F20"/>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94"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20"/>
          <w:szCs w:val="20"/>
          <w:color w:val="231F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ectPr>
          <w:pgSz w:w="12240" w:h="15840" w:orient="portrait"/>
          <w:cols w:equalWidth="0" w:num="1">
            <w:col w:w="10780"/>
          </w:cols>
          <w:pgMar w:left="720" w:top="944"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64</w:t>
      </w:r>
    </w:p>
    <w:p>
      <w:pPr>
        <w:sectPr>
          <w:pgSz w:w="12240" w:h="15840" w:orient="portrait"/>
          <w:cols w:equalWidth="0" w:num="1">
            <w:col w:w="10780"/>
          </w:cols>
          <w:pgMar w:left="720" w:top="944" w:right="740" w:bottom="175"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231F20"/>
        </w:rPr>
        <w:t>Portfolio and Investment Activity</w:t>
      </w:r>
    </w:p>
    <w:p>
      <w:pPr>
        <w:spacing w:after="0" w:line="124" w:lineRule="exact"/>
        <w:rPr>
          <w:sz w:val="20"/>
          <w:szCs w:val="20"/>
          <w:color w:val="auto"/>
        </w:rPr>
      </w:pPr>
    </w:p>
    <w:p>
      <w:pPr>
        <w:ind w:right="180" w:firstLine="245"/>
        <w:spacing w:after="0" w:line="252" w:lineRule="auto"/>
        <w:rPr>
          <w:sz w:val="20"/>
          <w:szCs w:val="20"/>
          <w:color w:val="auto"/>
        </w:rPr>
      </w:pPr>
      <w:r>
        <w:rPr>
          <w:rFonts w:ascii="Times New Roman" w:cs="Times New Roman" w:eastAsia="Times New Roman" w:hAnsi="Times New Roman"/>
          <w:sz w:val="20"/>
          <w:szCs w:val="20"/>
          <w:color w:val="231F20"/>
        </w:rPr>
        <w:t>As of December 31, 2023, our portfolio based on fair value consisted of 91.3% first-lien debt investments, 1.1% second-lien debt investments, 1.2% mezzanine debt investments, 4.7% equity and other investments and 1.7% structured credit investments. As of December 31, 2022, our portfolio based on fair value consisted of 90.3% first-lien debt investments, 1.5% second-lien debt investments, 0.4% mezzanine debt investments, 6.0% equity and other investments and 1.8% structured credit investments.</w:t>
      </w:r>
    </w:p>
    <w:p>
      <w:pPr>
        <w:spacing w:after="0" w:line="194"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As of December 31, 2023 and December 31, 2022, our weighted average total yield of debt and income producing securities at fair value (which includes interest income and amortization of fees and discounts) was 14.1% and 13.5%, respectively, and our weighted average total yield of debt and income-producing securities at amortized cost (which includes interest income and amortization of fees and discounts) was 14.2% and 13.4%, respectively.</w:t>
      </w:r>
    </w:p>
    <w:p>
      <w:pPr>
        <w:spacing w:after="0" w:line="194"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231F20"/>
        </w:rPr>
        <w:t>As of December 31, 2023 and December 31, 2022, we had investments in 136 portfolio companies (including 42 structured credit investments, which include each series of collateralized loan obligation as a separate portfolio company investment) and 121 portfolio companies (including 43 structured credit investments, which include each series of collateralized loan obligation as a separate portfolio company investment), respectively, with an aggregate fair value of $3,283.1 million and $2,787.9 million, respectively.</w:t>
      </w:r>
    </w:p>
    <w:p>
      <w:pPr>
        <w:spacing w:after="0" w:line="194" w:lineRule="exact"/>
        <w:rPr>
          <w:sz w:val="20"/>
          <w:szCs w:val="20"/>
          <w:color w:val="auto"/>
        </w:rPr>
      </w:pPr>
    </w:p>
    <w:p>
      <w:pPr>
        <w:ind w:right="260" w:firstLine="245"/>
        <w:spacing w:after="0" w:line="258" w:lineRule="auto"/>
        <w:rPr>
          <w:sz w:val="20"/>
          <w:szCs w:val="20"/>
          <w:color w:val="auto"/>
        </w:rPr>
      </w:pPr>
      <w:r>
        <w:rPr>
          <w:rFonts w:ascii="Times New Roman" w:cs="Times New Roman" w:eastAsia="Times New Roman" w:hAnsi="Times New Roman"/>
          <w:sz w:val="20"/>
          <w:szCs w:val="20"/>
          <w:color w:val="231F20"/>
        </w:rPr>
        <w:t>For the year ended December 31, 2023, the principal amount of new investments funded was $808.4 million in 30 new portfolio companies and 16 existing portfolio companies. For this period, we had $469.1 million aggregate principal amount in exits and repayments.</w:t>
      </w:r>
    </w:p>
    <w:p>
      <w:pPr>
        <w:spacing w:after="0" w:line="188" w:lineRule="exact"/>
        <w:rPr>
          <w:sz w:val="20"/>
          <w:szCs w:val="20"/>
          <w:color w:val="auto"/>
        </w:rPr>
      </w:pPr>
    </w:p>
    <w:p>
      <w:pPr>
        <w:ind w:right="200" w:firstLine="245"/>
        <w:spacing w:after="0" w:line="258" w:lineRule="auto"/>
        <w:rPr>
          <w:sz w:val="20"/>
          <w:szCs w:val="20"/>
          <w:color w:val="auto"/>
        </w:rPr>
      </w:pPr>
      <w:r>
        <w:rPr>
          <w:rFonts w:ascii="Times New Roman" w:cs="Times New Roman" w:eastAsia="Times New Roman" w:hAnsi="Times New Roman"/>
          <w:sz w:val="20"/>
          <w:szCs w:val="20"/>
          <w:color w:val="231F20"/>
        </w:rPr>
        <w:t>For the year ended December 31, 2022, the principal amount of new investments funded was $864.0 million in 65 new portfolio companies and 20 existing portfolio companies. For this period, we had $653.8 million aggregate principal amount in exits and repayments.</w:t>
      </w:r>
    </w:p>
    <w:p>
      <w:pPr>
        <w:sectPr>
          <w:pgSz w:w="12240" w:h="15840" w:orient="portrait"/>
          <w:cols w:equalWidth="0" w:num="1">
            <w:col w:w="10760"/>
          </w:cols>
          <w:pgMar w:left="720" w:top="92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65</w:t>
      </w:r>
    </w:p>
    <w:p>
      <w:pPr>
        <w:sectPr>
          <w:pgSz w:w="12240" w:h="15840" w:orient="portrait"/>
          <w:cols w:equalWidth="0" w:num="1">
            <w:col w:w="10760"/>
          </w:cols>
          <w:pgMar w:left="720" w:top="926" w:right="760" w:bottom="175" w:gutter="0" w:footer="0" w:header="0"/>
          <w:type w:val="continuous"/>
        </w:sectPr>
      </w:pPr>
    </w:p>
    <w:bookmarkStart w:id="65" w:name="page66"/>
    <w:bookmarkEnd w:id="65"/>
    <w:p>
      <w:pPr>
        <w:ind w:firstLine="245"/>
        <w:spacing w:after="0" w:line="277" w:lineRule="auto"/>
        <w:rPr>
          <w:sz w:val="20"/>
          <w:szCs w:val="20"/>
          <w:color w:val="auto"/>
        </w:rPr>
      </w:pPr>
      <w:r>
        <w:rPr>
          <w:rFonts w:ascii="Times New Roman" w:cs="Times New Roman" w:eastAsia="Times New Roman" w:hAnsi="Times New Roman"/>
          <w:sz w:val="20"/>
          <w:szCs w:val="20"/>
          <w:color w:val="231F20"/>
        </w:rPr>
        <w:t>Our investment activity for the years ended December 31, 2023, 2022 and 2021 is presented below (information presented herein is at par value unless otherwise indicated).</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24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4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gridSpan w:val="3"/>
          </w:tcPr>
          <w:p>
            <w:pPr>
              <w:jc w:val="right"/>
              <w:ind w:right="280"/>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240" w:type="dxa"/>
            <w:vAlign w:val="bottom"/>
          </w:tcPr>
          <w:p>
            <w:pPr>
              <w:spacing w:after="0"/>
              <w:rPr>
                <w:sz w:val="13"/>
                <w:szCs w:val="13"/>
                <w:color w:val="auto"/>
              </w:rPr>
            </w:pPr>
          </w:p>
        </w:tc>
        <w:tc>
          <w:tcPr>
            <w:tcW w:w="1080" w:type="dxa"/>
            <w:vAlign w:val="bottom"/>
          </w:tcPr>
          <w:p>
            <w:pPr>
              <w:jc w:val="right"/>
              <w:ind w:right="22"/>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180" w:type="dxa"/>
            <w:vAlign w:val="bottom"/>
          </w:tcPr>
          <w:p>
            <w:pPr>
              <w:spacing w:after="0"/>
              <w:rPr>
                <w:sz w:val="13"/>
                <w:szCs w:val="13"/>
                <w:color w:val="auto"/>
              </w:rPr>
            </w:pPr>
          </w:p>
        </w:tc>
      </w:tr>
      <w:tr>
        <w:trPr>
          <w:trHeight w:val="203"/>
        </w:trPr>
        <w:tc>
          <w:tcPr>
            <w:tcW w:w="498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540" w:type="dxa"/>
            <w:vAlign w:val="bottom"/>
            <w:tcBorders>
              <w:bottom w:val="single" w:sz="8" w:color="CFEDF9"/>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Borders>
              <w:bottom w:val="single" w:sz="8" w:color="CFEDF9"/>
            </w:tcBorders>
          </w:tcPr>
          <w:p>
            <w:pPr>
              <w:spacing w:after="0"/>
              <w:rPr>
                <w:sz w:val="17"/>
                <w:szCs w:val="17"/>
                <w:color w:val="auto"/>
              </w:rPr>
            </w:pPr>
          </w:p>
        </w:tc>
        <w:tc>
          <w:tcPr>
            <w:tcW w:w="80" w:type="dxa"/>
            <w:vAlign w:val="bottom"/>
            <w:tcBorders>
              <w:bottom w:val="single" w:sz="8" w:color="CFEDF9"/>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CFEDF9"/>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80" w:type="dxa"/>
            <w:vAlign w:val="bottom"/>
            <w:tcBorders>
              <w:bottom w:val="single" w:sz="8" w:color="CFEDF9"/>
            </w:tcBorders>
          </w:tcPr>
          <w:p>
            <w:pPr>
              <w:spacing w:after="0"/>
              <w:rPr>
                <w:sz w:val="17"/>
                <w:szCs w:val="17"/>
                <w:color w:val="auto"/>
              </w:rPr>
            </w:pPr>
          </w:p>
        </w:tc>
      </w:tr>
      <w:tr>
        <w:trPr>
          <w:trHeight w:val="220"/>
        </w:trPr>
        <w:tc>
          <w:tcPr>
            <w:tcW w:w="498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New investment commitments:</w:t>
            </w:r>
          </w:p>
        </w:tc>
        <w:tc>
          <w:tcPr>
            <w:tcW w:w="5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8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0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r>
      <w:tr>
        <w:trPr>
          <w:trHeight w:val="230"/>
        </w:trPr>
        <w:tc>
          <w:tcPr>
            <w:tcW w:w="498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Gross originations </w:t>
            </w:r>
            <w:r>
              <w:rPr>
                <w:rFonts w:ascii="Times New Roman" w:cs="Times New Roman" w:eastAsia="Times New Roman" w:hAnsi="Times New Roman"/>
                <w:sz w:val="26"/>
                <w:szCs w:val="26"/>
                <w:color w:val="231F20"/>
                <w:vertAlign w:val="superscript"/>
              </w:rPr>
              <w:t>(1)</w:t>
            </w:r>
          </w:p>
        </w:tc>
        <w:tc>
          <w:tcPr>
            <w:tcW w:w="540" w:type="dxa"/>
            <w:vAlign w:val="bottom"/>
          </w:tcPr>
          <w:p>
            <w:pPr>
              <w:spacing w:after="0"/>
              <w:rPr>
                <w:sz w:val="19"/>
                <w:szCs w:val="19"/>
                <w:color w:val="auto"/>
              </w:rPr>
            </w:pP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6,516.6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4,240.9</w:t>
            </w: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4,269.9</w:t>
            </w:r>
          </w:p>
        </w:tc>
        <w:tc>
          <w:tcPr>
            <w:tcW w:w="180" w:type="dxa"/>
            <w:vAlign w:val="bottom"/>
          </w:tcPr>
          <w:p>
            <w:pPr>
              <w:spacing w:after="0"/>
              <w:rPr>
                <w:sz w:val="19"/>
                <w:szCs w:val="19"/>
                <w:color w:val="auto"/>
              </w:rPr>
            </w:pPr>
          </w:p>
        </w:tc>
      </w:tr>
      <w:tr>
        <w:trPr>
          <w:trHeight w:val="230"/>
        </w:trPr>
        <w:tc>
          <w:tcPr>
            <w:tcW w:w="4980" w:type="dxa"/>
            <w:vAlign w:val="bottom"/>
            <w:shd w:val="clear" w:color="auto" w:fill="CFEDF9"/>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Less: Syndications/sell downs </w:t>
            </w:r>
            <w:r>
              <w:rPr>
                <w:rFonts w:ascii="Times New Roman" w:cs="Times New Roman" w:eastAsia="Times New Roman" w:hAnsi="Times New Roman"/>
                <w:sz w:val="26"/>
                <w:szCs w:val="26"/>
                <w:color w:val="231F20"/>
                <w:vertAlign w:val="superscript"/>
              </w:rPr>
              <w:t>(1)</w:t>
            </w:r>
          </w:p>
        </w:tc>
        <w:tc>
          <w:tcPr>
            <w:tcW w:w="540" w:type="dxa"/>
            <w:vAlign w:val="bottom"/>
            <w:shd w:val="clear" w:color="auto" w:fill="CFEDF9"/>
          </w:tcPr>
          <w:p>
            <w:pPr>
              <w:spacing w:after="0"/>
              <w:rPr>
                <w:sz w:val="19"/>
                <w:szCs w:val="19"/>
                <w:color w:val="auto"/>
              </w:rPr>
            </w:pPr>
          </w:p>
        </w:tc>
        <w:tc>
          <w:tcPr>
            <w:tcW w:w="240" w:type="dxa"/>
            <w:vAlign w:val="bottom"/>
            <w:tcBorders>
              <w:bottom w:val="single" w:sz="8" w:color="231F20"/>
            </w:tcBorders>
            <w:shd w:val="clear" w:color="auto" w:fill="CFEDF9"/>
          </w:tcPr>
          <w:p>
            <w:pPr>
              <w:spacing w:after="0"/>
              <w:rPr>
                <w:sz w:val="19"/>
                <w:szCs w:val="19"/>
                <w:color w:val="auto"/>
              </w:rPr>
            </w:pPr>
          </w:p>
        </w:tc>
        <w:tc>
          <w:tcPr>
            <w:tcW w:w="8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5,558.0</w:t>
            </w:r>
          </w:p>
        </w:tc>
        <w:tc>
          <w:tcPr>
            <w:tcW w:w="2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0" w:type="dxa"/>
            <w:vAlign w:val="bottom"/>
            <w:tcBorders>
              <w:bottom w:val="single" w:sz="8" w:color="231F20"/>
            </w:tcBorders>
            <w:shd w:val="clear" w:color="auto" w:fill="CFEDF9"/>
          </w:tcPr>
          <w:p>
            <w:pPr>
              <w:spacing w:after="0"/>
              <w:rPr>
                <w:sz w:val="19"/>
                <w:szCs w:val="19"/>
                <w:color w:val="auto"/>
              </w:rPr>
            </w:pPr>
          </w:p>
        </w:tc>
        <w:tc>
          <w:tcPr>
            <w:tcW w:w="11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3,156.7</w:t>
            </w:r>
          </w:p>
        </w:tc>
        <w:tc>
          <w:tcPr>
            <w:tcW w:w="160" w:type="dxa"/>
            <w:vAlign w:val="bottom"/>
            <w:shd w:val="clear" w:color="auto" w:fill="CFEDF9"/>
          </w:tcPr>
          <w:p>
            <w:pPr>
              <w:spacing w:after="0"/>
              <w:rPr>
                <w:sz w:val="19"/>
                <w:szCs w:val="19"/>
                <w:color w:val="auto"/>
              </w:rPr>
            </w:pPr>
          </w:p>
        </w:tc>
        <w:tc>
          <w:tcPr>
            <w:tcW w:w="240" w:type="dxa"/>
            <w:vAlign w:val="bottom"/>
            <w:tcBorders>
              <w:bottom w:val="single" w:sz="8" w:color="231F20"/>
            </w:tcBorders>
            <w:shd w:val="clear" w:color="auto" w:fill="CFEDF9"/>
          </w:tcPr>
          <w:p>
            <w:pPr>
              <w:spacing w:after="0"/>
              <w:rPr>
                <w:sz w:val="19"/>
                <w:szCs w:val="19"/>
                <w:color w:val="auto"/>
              </w:rPr>
            </w:pPr>
          </w:p>
        </w:tc>
        <w:tc>
          <w:tcPr>
            <w:tcW w:w="10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3,152.5</w:t>
            </w:r>
          </w:p>
        </w:tc>
        <w:tc>
          <w:tcPr>
            <w:tcW w:w="180" w:type="dxa"/>
            <w:vAlign w:val="bottom"/>
            <w:shd w:val="clear" w:color="auto" w:fill="CFEDF9"/>
          </w:tcPr>
          <w:p>
            <w:pPr>
              <w:spacing w:after="0"/>
              <w:rPr>
                <w:sz w:val="19"/>
                <w:szCs w:val="19"/>
                <w:color w:val="auto"/>
              </w:rPr>
            </w:pPr>
          </w:p>
        </w:tc>
      </w:tr>
      <w:tr>
        <w:trPr>
          <w:trHeight w:val="220"/>
        </w:trPr>
        <w:tc>
          <w:tcPr>
            <w:tcW w:w="498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231F20"/>
              </w:rPr>
              <w:t>Total new investment commitments</w:t>
            </w:r>
          </w:p>
        </w:tc>
        <w:tc>
          <w:tcPr>
            <w:tcW w:w="540" w:type="dxa"/>
            <w:vAlign w:val="bottom"/>
          </w:tcPr>
          <w:p>
            <w:pPr>
              <w:spacing w:after="0"/>
              <w:rPr>
                <w:sz w:val="19"/>
                <w:szCs w:val="19"/>
                <w:color w:val="auto"/>
              </w:rPr>
            </w:pPr>
          </w:p>
        </w:tc>
        <w:tc>
          <w:tcPr>
            <w:tcW w:w="240" w:type="dxa"/>
            <w:vAlign w:val="bottom"/>
          </w:tcPr>
          <w:p>
            <w:pPr>
              <w:jc w:val="right"/>
              <w:ind w:right="44"/>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958.6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1,084.2</w:t>
            </w:r>
          </w:p>
        </w:tc>
        <w:tc>
          <w:tcPr>
            <w:tcW w:w="160" w:type="dxa"/>
            <w:vAlign w:val="bottom"/>
          </w:tcPr>
          <w:p>
            <w:pPr>
              <w:spacing w:after="0"/>
              <w:rPr>
                <w:sz w:val="19"/>
                <w:szCs w:val="19"/>
                <w:color w:val="auto"/>
              </w:rPr>
            </w:pPr>
          </w:p>
        </w:tc>
        <w:tc>
          <w:tcPr>
            <w:tcW w:w="2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1,117.4</w:t>
            </w:r>
          </w:p>
        </w:tc>
        <w:tc>
          <w:tcPr>
            <w:tcW w:w="180" w:type="dxa"/>
            <w:vAlign w:val="bottom"/>
          </w:tcPr>
          <w:p>
            <w:pPr>
              <w:spacing w:after="0"/>
              <w:rPr>
                <w:sz w:val="19"/>
                <w:szCs w:val="19"/>
                <w:color w:val="auto"/>
              </w:rPr>
            </w:pPr>
          </w:p>
        </w:tc>
      </w:tr>
      <w:tr>
        <w:trPr>
          <w:trHeight w:val="230"/>
        </w:trPr>
        <w:tc>
          <w:tcPr>
            <w:tcW w:w="49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b w:val="1"/>
                <w:bCs w:val="1"/>
                <w:color w:val="231F20"/>
              </w:rPr>
              <w:t>Principal amount of investments funded:</w:t>
            </w:r>
          </w:p>
        </w:tc>
        <w:tc>
          <w:tcPr>
            <w:tcW w:w="5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8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0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r>
      <w:tr>
        <w:trPr>
          <w:trHeight w:val="230"/>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First-lien</w:t>
            </w:r>
          </w:p>
        </w:tc>
        <w:tc>
          <w:tcPr>
            <w:tcW w:w="780" w:type="dxa"/>
            <w:vAlign w:val="bottom"/>
            <w:gridSpan w:val="2"/>
          </w:tcPr>
          <w:p>
            <w:pPr>
              <w:jc w:val="right"/>
              <w:ind w:right="44"/>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753.4</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761.7</w:t>
            </w: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1,022.1</w:t>
            </w:r>
          </w:p>
        </w:tc>
        <w:tc>
          <w:tcPr>
            <w:tcW w:w="180" w:type="dxa"/>
            <w:vAlign w:val="bottom"/>
          </w:tcPr>
          <w:p>
            <w:pPr>
              <w:spacing w:after="0"/>
              <w:rPr>
                <w:sz w:val="19"/>
                <w:szCs w:val="19"/>
                <w:color w:val="auto"/>
              </w:rPr>
            </w:pPr>
          </w:p>
        </w:tc>
      </w:tr>
      <w:tr>
        <w:trPr>
          <w:trHeight w:val="230"/>
        </w:trPr>
        <w:tc>
          <w:tcPr>
            <w:tcW w:w="498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Second-lien</w:t>
            </w:r>
          </w:p>
        </w:tc>
        <w:tc>
          <w:tcPr>
            <w:tcW w:w="5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8.4</w:t>
            </w:r>
          </w:p>
        </w:tc>
        <w:tc>
          <w:tcPr>
            <w:tcW w:w="2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26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43.5</w:t>
            </w:r>
          </w:p>
        </w:tc>
        <w:tc>
          <w:tcPr>
            <w:tcW w:w="180" w:type="dxa"/>
            <w:vAlign w:val="bottom"/>
            <w:shd w:val="clear" w:color="auto" w:fill="CFEDF9"/>
          </w:tcPr>
          <w:p>
            <w:pPr>
              <w:spacing w:after="0"/>
              <w:rPr>
                <w:sz w:val="19"/>
                <w:szCs w:val="19"/>
                <w:color w:val="auto"/>
              </w:rPr>
            </w:pPr>
          </w:p>
        </w:tc>
      </w:tr>
      <w:tr>
        <w:trPr>
          <w:trHeight w:val="230"/>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Mezzanine</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180" w:type="dxa"/>
            <w:vAlign w:val="bottom"/>
          </w:tcPr>
          <w:p>
            <w:pPr>
              <w:spacing w:after="0"/>
              <w:rPr>
                <w:sz w:val="19"/>
                <w:szCs w:val="19"/>
                <w:color w:val="auto"/>
              </w:rPr>
            </w:pPr>
          </w:p>
        </w:tc>
      </w:tr>
      <w:tr>
        <w:trPr>
          <w:trHeight w:val="230"/>
        </w:trPr>
        <w:tc>
          <w:tcPr>
            <w:tcW w:w="498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Equity and other</w:t>
            </w:r>
          </w:p>
        </w:tc>
        <w:tc>
          <w:tcPr>
            <w:tcW w:w="5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2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44.8</w:t>
            </w:r>
          </w:p>
        </w:tc>
        <w:tc>
          <w:tcPr>
            <w:tcW w:w="16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260" w:type="dxa"/>
            <w:vAlign w:val="bottom"/>
            <w:gridSpan w:val="2"/>
            <w:shd w:val="clear" w:color="auto" w:fill="CFEDF9"/>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4980" w:type="dxa"/>
            <w:vAlign w:val="bottom"/>
            <w:tcBorders>
              <w:bottom w:val="single" w:sz="8" w:color="CFEDF9"/>
            </w:tcBorders>
          </w:tcPr>
          <w:p>
            <w:pPr>
              <w:ind w:left="200"/>
              <w:spacing w:after="0"/>
              <w:rPr>
                <w:sz w:val="20"/>
                <w:szCs w:val="20"/>
                <w:color w:val="auto"/>
              </w:rPr>
            </w:pPr>
            <w:r>
              <w:rPr>
                <w:rFonts w:ascii="Times New Roman" w:cs="Times New Roman" w:eastAsia="Times New Roman" w:hAnsi="Times New Roman"/>
                <w:sz w:val="20"/>
                <w:szCs w:val="20"/>
                <w:color w:val="231F20"/>
              </w:rPr>
              <w:t>Structured Credit</w:t>
            </w:r>
          </w:p>
        </w:tc>
        <w:tc>
          <w:tcPr>
            <w:tcW w:w="540" w:type="dxa"/>
            <w:vAlign w:val="bottom"/>
            <w:tcBorders>
              <w:bottom w:val="single" w:sz="8" w:color="CFEDF9"/>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220" w:type="dxa"/>
            <w:vAlign w:val="bottom"/>
            <w:tcBorders>
              <w:bottom w:val="single" w:sz="8" w:color="CFEDF9"/>
            </w:tcBorders>
          </w:tcPr>
          <w:p>
            <w:pPr>
              <w:spacing w:after="0"/>
              <w:rPr>
                <w:sz w:val="19"/>
                <w:szCs w:val="19"/>
                <w:color w:val="auto"/>
              </w:rPr>
            </w:pPr>
          </w:p>
        </w:tc>
        <w:tc>
          <w:tcPr>
            <w:tcW w:w="80" w:type="dxa"/>
            <w:vAlign w:val="bottom"/>
            <w:tcBorders>
              <w:bottom w:val="single" w:sz="8" w:color="CFEDF9"/>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160" w:type="dxa"/>
            <w:vAlign w:val="bottom"/>
            <w:tcBorders>
              <w:bottom w:val="single" w:sz="8" w:color="CFEDF9"/>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45.7</w:t>
            </w:r>
          </w:p>
        </w:tc>
        <w:tc>
          <w:tcPr>
            <w:tcW w:w="180" w:type="dxa"/>
            <w:vAlign w:val="bottom"/>
            <w:tcBorders>
              <w:bottom w:val="single" w:sz="8" w:color="CFEDF9"/>
            </w:tcBorders>
          </w:tcPr>
          <w:p>
            <w:pPr>
              <w:spacing w:after="0"/>
              <w:rPr>
                <w:sz w:val="19"/>
                <w:szCs w:val="19"/>
                <w:color w:val="auto"/>
              </w:rPr>
            </w:pPr>
          </w:p>
        </w:tc>
      </w:tr>
      <w:tr>
        <w:trPr>
          <w:trHeight w:val="220"/>
        </w:trPr>
        <w:tc>
          <w:tcPr>
            <w:tcW w:w="4980" w:type="dxa"/>
            <w:vAlign w:val="bottom"/>
            <w:shd w:val="clear" w:color="auto" w:fill="CFEDF9"/>
          </w:tcPr>
          <w:p>
            <w:pPr>
              <w:ind w:left="400"/>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540" w:type="dxa"/>
            <w:vAlign w:val="bottom"/>
            <w:shd w:val="clear" w:color="auto" w:fill="CFEDF9"/>
          </w:tcPr>
          <w:p>
            <w:pPr>
              <w:spacing w:after="0"/>
              <w:rPr>
                <w:sz w:val="19"/>
                <w:szCs w:val="19"/>
                <w:color w:val="auto"/>
              </w:rPr>
            </w:pPr>
          </w:p>
        </w:tc>
        <w:tc>
          <w:tcPr>
            <w:tcW w:w="240" w:type="dxa"/>
            <w:vAlign w:val="bottom"/>
            <w:shd w:val="clear" w:color="auto" w:fill="CFEDF9"/>
          </w:tcPr>
          <w:p>
            <w:pPr>
              <w:jc w:val="right"/>
              <w:ind w:right="44"/>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808.4</w:t>
            </w:r>
          </w:p>
        </w:tc>
        <w:tc>
          <w:tcPr>
            <w:tcW w:w="2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864.0</w:t>
            </w:r>
          </w:p>
        </w:tc>
        <w:tc>
          <w:tcPr>
            <w:tcW w:w="160" w:type="dxa"/>
            <w:vAlign w:val="bottom"/>
            <w:shd w:val="clear" w:color="auto" w:fill="CFEDF9"/>
          </w:tcPr>
          <w:p>
            <w:pPr>
              <w:spacing w:after="0"/>
              <w:rPr>
                <w:sz w:val="19"/>
                <w:szCs w:val="19"/>
                <w:color w:val="auto"/>
              </w:rPr>
            </w:pPr>
          </w:p>
        </w:tc>
        <w:tc>
          <w:tcPr>
            <w:tcW w:w="2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1,117.4</w:t>
            </w:r>
          </w:p>
        </w:tc>
        <w:tc>
          <w:tcPr>
            <w:tcW w:w="180" w:type="dxa"/>
            <w:vAlign w:val="bottom"/>
            <w:shd w:val="clear" w:color="auto" w:fill="CFEDF9"/>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Principal amount of investments sold or repaid:</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98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First-lien</w:t>
            </w:r>
          </w:p>
        </w:tc>
        <w:tc>
          <w:tcPr>
            <w:tcW w:w="780" w:type="dxa"/>
            <w:vAlign w:val="bottom"/>
            <w:gridSpan w:val="2"/>
            <w:shd w:val="clear" w:color="auto" w:fill="CFEDF9"/>
          </w:tcPr>
          <w:p>
            <w:pPr>
              <w:jc w:val="right"/>
              <w:ind w:right="44"/>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460.3</w:t>
            </w:r>
          </w:p>
        </w:tc>
        <w:tc>
          <w:tcPr>
            <w:tcW w:w="220" w:type="dxa"/>
            <w:vAlign w:val="bottom"/>
            <w:shd w:val="clear" w:color="auto" w:fill="CFEDF9"/>
          </w:tcPr>
          <w:p>
            <w:pPr>
              <w:spacing w:after="0"/>
              <w:rPr>
                <w:sz w:val="19"/>
                <w:szCs w:val="19"/>
                <w:color w:val="auto"/>
              </w:rPr>
            </w:pPr>
          </w:p>
        </w:tc>
        <w:tc>
          <w:tcPr>
            <w:tcW w:w="1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645.4</w:t>
            </w:r>
          </w:p>
        </w:tc>
        <w:tc>
          <w:tcPr>
            <w:tcW w:w="160" w:type="dxa"/>
            <w:vAlign w:val="bottom"/>
            <w:shd w:val="clear" w:color="auto" w:fill="CFEDF9"/>
          </w:tcPr>
          <w:p>
            <w:pPr>
              <w:spacing w:after="0"/>
              <w:rPr>
                <w:sz w:val="19"/>
                <w:szCs w:val="19"/>
                <w:color w:val="auto"/>
              </w:rPr>
            </w:pPr>
          </w:p>
        </w:tc>
        <w:tc>
          <w:tcPr>
            <w:tcW w:w="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962.6</w:t>
            </w:r>
          </w:p>
        </w:tc>
        <w:tc>
          <w:tcPr>
            <w:tcW w:w="180" w:type="dxa"/>
            <w:vAlign w:val="bottom"/>
            <w:shd w:val="clear" w:color="auto" w:fill="CFEDF9"/>
          </w:tcPr>
          <w:p>
            <w:pPr>
              <w:spacing w:after="0"/>
              <w:rPr>
                <w:sz w:val="19"/>
                <w:szCs w:val="19"/>
                <w:color w:val="auto"/>
              </w:rPr>
            </w:pPr>
          </w:p>
        </w:tc>
      </w:tr>
      <w:tr>
        <w:trPr>
          <w:trHeight w:val="230"/>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Second-lien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180" w:type="dxa"/>
            <w:vAlign w:val="bottom"/>
          </w:tcPr>
          <w:p>
            <w:pPr>
              <w:spacing w:after="0"/>
              <w:rPr>
                <w:sz w:val="20"/>
                <w:szCs w:val="20"/>
                <w:color w:val="auto"/>
              </w:rPr>
            </w:pPr>
          </w:p>
        </w:tc>
      </w:tr>
      <w:tr>
        <w:trPr>
          <w:trHeight w:val="230"/>
        </w:trPr>
        <w:tc>
          <w:tcPr>
            <w:tcW w:w="498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Mezzanine</w:t>
            </w:r>
          </w:p>
        </w:tc>
        <w:tc>
          <w:tcPr>
            <w:tcW w:w="5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2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26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1260" w:type="dxa"/>
            <w:vAlign w:val="bottom"/>
            <w:gridSpan w:val="2"/>
            <w:shd w:val="clear" w:color="auto" w:fill="CFEDF9"/>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Equity and other</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w:t>
            </w:r>
          </w:p>
        </w:tc>
        <w:tc>
          <w:tcPr>
            <w:tcW w:w="180" w:type="dxa"/>
            <w:vAlign w:val="bottom"/>
          </w:tcPr>
          <w:p>
            <w:pPr>
              <w:spacing w:after="0"/>
              <w:rPr>
                <w:sz w:val="19"/>
                <w:szCs w:val="19"/>
                <w:color w:val="auto"/>
              </w:rPr>
            </w:pPr>
          </w:p>
        </w:tc>
      </w:tr>
      <w:tr>
        <w:trPr>
          <w:trHeight w:val="250"/>
        </w:trPr>
        <w:tc>
          <w:tcPr>
            <w:tcW w:w="4980" w:type="dxa"/>
            <w:vAlign w:val="bottom"/>
            <w:tcBorders>
              <w:bottom w:val="single" w:sz="8" w:color="CFEDF9"/>
            </w:tcBorders>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Structured Credit</w:t>
            </w:r>
          </w:p>
        </w:tc>
        <w:tc>
          <w:tcPr>
            <w:tcW w:w="540" w:type="dxa"/>
            <w:vAlign w:val="bottom"/>
            <w:tcBorders>
              <w:bottom w:val="single" w:sz="8" w:color="CFEDF9"/>
            </w:tcBorders>
            <w:shd w:val="clear" w:color="auto" w:fill="CFEDF9"/>
          </w:tcPr>
          <w:p>
            <w:pPr>
              <w:spacing w:after="0"/>
              <w:rPr>
                <w:sz w:val="21"/>
                <w:szCs w:val="21"/>
                <w:color w:val="auto"/>
              </w:rPr>
            </w:pPr>
          </w:p>
        </w:tc>
        <w:tc>
          <w:tcPr>
            <w:tcW w:w="240" w:type="dxa"/>
            <w:vAlign w:val="bottom"/>
            <w:tcBorders>
              <w:bottom w:val="single" w:sz="8" w:color="231F20"/>
            </w:tcBorders>
            <w:shd w:val="clear" w:color="auto" w:fill="CFEDF9"/>
          </w:tcPr>
          <w:p>
            <w:pPr>
              <w:spacing w:after="0"/>
              <w:rPr>
                <w:sz w:val="21"/>
                <w:szCs w:val="21"/>
                <w:color w:val="auto"/>
              </w:rPr>
            </w:pPr>
          </w:p>
        </w:tc>
        <w:tc>
          <w:tcPr>
            <w:tcW w:w="8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220" w:type="dxa"/>
            <w:vAlign w:val="bottom"/>
            <w:tcBorders>
              <w:bottom w:val="single" w:sz="8" w:color="CFEDF9"/>
            </w:tcBorders>
            <w:shd w:val="clear" w:color="auto" w:fill="CFEDF9"/>
          </w:tcPr>
          <w:p>
            <w:pPr>
              <w:spacing w:after="0"/>
              <w:rPr>
                <w:sz w:val="21"/>
                <w:szCs w:val="21"/>
                <w:color w:val="auto"/>
              </w:rPr>
            </w:pPr>
          </w:p>
        </w:tc>
        <w:tc>
          <w:tcPr>
            <w:tcW w:w="80" w:type="dxa"/>
            <w:vAlign w:val="bottom"/>
            <w:tcBorders>
              <w:bottom w:val="single" w:sz="8" w:color="CFEDF9"/>
            </w:tcBorders>
            <w:shd w:val="clear" w:color="auto" w:fill="CFEDF9"/>
          </w:tcPr>
          <w:p>
            <w:pPr>
              <w:spacing w:after="0"/>
              <w:rPr>
                <w:sz w:val="21"/>
                <w:szCs w:val="21"/>
                <w:color w:val="auto"/>
              </w:rPr>
            </w:pPr>
          </w:p>
        </w:tc>
        <w:tc>
          <w:tcPr>
            <w:tcW w:w="100" w:type="dxa"/>
            <w:vAlign w:val="bottom"/>
            <w:tcBorders>
              <w:bottom w:val="single" w:sz="8" w:color="231F20"/>
            </w:tcBorders>
            <w:shd w:val="clear" w:color="auto" w:fill="CFEDF9"/>
          </w:tcPr>
          <w:p>
            <w:pPr>
              <w:spacing w:after="0"/>
              <w:rPr>
                <w:sz w:val="21"/>
                <w:szCs w:val="21"/>
                <w:color w:val="auto"/>
              </w:rPr>
            </w:pPr>
          </w:p>
        </w:tc>
        <w:tc>
          <w:tcPr>
            <w:tcW w:w="11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160" w:type="dxa"/>
            <w:vAlign w:val="bottom"/>
            <w:tcBorders>
              <w:bottom w:val="single" w:sz="8" w:color="CFEDF9"/>
            </w:tcBorders>
            <w:shd w:val="clear" w:color="auto" w:fill="CFEDF9"/>
          </w:tcPr>
          <w:p>
            <w:pPr>
              <w:spacing w:after="0"/>
              <w:rPr>
                <w:sz w:val="21"/>
                <w:szCs w:val="21"/>
                <w:color w:val="auto"/>
              </w:rPr>
            </w:pPr>
          </w:p>
        </w:tc>
        <w:tc>
          <w:tcPr>
            <w:tcW w:w="240" w:type="dxa"/>
            <w:vAlign w:val="bottom"/>
            <w:tcBorders>
              <w:bottom w:val="single" w:sz="8" w:color="231F20"/>
            </w:tcBorders>
            <w:shd w:val="clear" w:color="auto" w:fill="CFEDF9"/>
          </w:tcPr>
          <w:p>
            <w:pPr>
              <w:spacing w:after="0"/>
              <w:rPr>
                <w:sz w:val="21"/>
                <w:szCs w:val="21"/>
                <w:color w:val="auto"/>
              </w:rPr>
            </w:pPr>
          </w:p>
        </w:tc>
        <w:tc>
          <w:tcPr>
            <w:tcW w:w="10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180" w:type="dxa"/>
            <w:vAlign w:val="bottom"/>
            <w:tcBorders>
              <w:bottom w:val="single" w:sz="8" w:color="CFEDF9"/>
            </w:tcBorders>
            <w:shd w:val="clear" w:color="auto" w:fill="CFEDF9"/>
          </w:tcPr>
          <w:p>
            <w:pPr>
              <w:spacing w:after="0"/>
              <w:rPr>
                <w:sz w:val="21"/>
                <w:szCs w:val="21"/>
                <w:color w:val="auto"/>
              </w:rPr>
            </w:pPr>
          </w:p>
        </w:tc>
      </w:tr>
      <w:tr>
        <w:trPr>
          <w:trHeight w:val="200"/>
        </w:trPr>
        <w:tc>
          <w:tcPr>
            <w:tcW w:w="4980" w:type="dxa"/>
            <w:vAlign w:val="bottom"/>
            <w:tcBorders>
              <w:bottom w:val="single" w:sz="8" w:color="CFEDF9"/>
            </w:tcBorders>
          </w:tcPr>
          <w:p>
            <w:pPr>
              <w:ind w:left="400"/>
              <w:spacing w:after="0" w:line="200" w:lineRule="exact"/>
              <w:rPr>
                <w:sz w:val="20"/>
                <w:szCs w:val="20"/>
                <w:color w:val="auto"/>
              </w:rPr>
            </w:pPr>
            <w:r>
              <w:rPr>
                <w:rFonts w:ascii="Times New Roman" w:cs="Times New Roman" w:eastAsia="Times New Roman" w:hAnsi="Times New Roman"/>
                <w:sz w:val="20"/>
                <w:szCs w:val="20"/>
                <w:color w:val="231F20"/>
              </w:rPr>
              <w:t>Total</w:t>
            </w:r>
          </w:p>
        </w:tc>
        <w:tc>
          <w:tcPr>
            <w:tcW w:w="540" w:type="dxa"/>
            <w:vAlign w:val="bottom"/>
            <w:tcBorders>
              <w:bottom w:val="single" w:sz="8" w:color="CFEDF9"/>
            </w:tcBorders>
          </w:tcPr>
          <w:p>
            <w:pPr>
              <w:spacing w:after="0"/>
              <w:rPr>
                <w:sz w:val="17"/>
                <w:szCs w:val="17"/>
                <w:color w:val="auto"/>
              </w:rPr>
            </w:pPr>
          </w:p>
        </w:tc>
        <w:tc>
          <w:tcPr>
            <w:tcW w:w="240" w:type="dxa"/>
            <w:vAlign w:val="bottom"/>
            <w:tcBorders>
              <w:bottom w:val="single" w:sz="8" w:color="231F20"/>
            </w:tcBorders>
          </w:tcPr>
          <w:p>
            <w:pPr>
              <w:jc w:val="right"/>
              <w:ind w:right="44"/>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469.1</w:t>
            </w:r>
          </w:p>
        </w:tc>
        <w:tc>
          <w:tcPr>
            <w:tcW w:w="220" w:type="dxa"/>
            <w:vAlign w:val="bottom"/>
            <w:tcBorders>
              <w:bottom w:val="single" w:sz="8" w:color="CFEDF9"/>
            </w:tcBorders>
          </w:tcPr>
          <w:p>
            <w:pPr>
              <w:spacing w:after="0"/>
              <w:rPr>
                <w:sz w:val="17"/>
                <w:szCs w:val="17"/>
                <w:color w:val="auto"/>
              </w:rPr>
            </w:pPr>
          </w:p>
        </w:tc>
        <w:tc>
          <w:tcPr>
            <w:tcW w:w="80" w:type="dxa"/>
            <w:vAlign w:val="bottom"/>
            <w:tcBorders>
              <w:bottom w:val="single" w:sz="8" w:color="CFEDF9"/>
            </w:tcBorders>
          </w:tcPr>
          <w:p>
            <w:pPr>
              <w:spacing w:after="0"/>
              <w:rPr>
                <w:sz w:val="17"/>
                <w:szCs w:val="17"/>
                <w:color w:val="auto"/>
              </w:rPr>
            </w:pPr>
          </w:p>
        </w:tc>
        <w:tc>
          <w:tcPr>
            <w:tcW w:w="10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653.8</w:t>
            </w:r>
          </w:p>
        </w:tc>
        <w:tc>
          <w:tcPr>
            <w:tcW w:w="160" w:type="dxa"/>
            <w:vAlign w:val="bottom"/>
            <w:tcBorders>
              <w:bottom w:val="single" w:sz="8" w:color="CFEDF9"/>
            </w:tcBorders>
          </w:tcPr>
          <w:p>
            <w:pPr>
              <w:spacing w:after="0"/>
              <w:rPr>
                <w:sz w:val="17"/>
                <w:szCs w:val="17"/>
                <w:color w:val="auto"/>
              </w:rPr>
            </w:pPr>
          </w:p>
        </w:tc>
        <w:tc>
          <w:tcPr>
            <w:tcW w:w="24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w:t>
            </w:r>
          </w:p>
        </w:tc>
        <w:tc>
          <w:tcPr>
            <w:tcW w:w="108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1,004.5</w:t>
            </w:r>
          </w:p>
        </w:tc>
        <w:tc>
          <w:tcPr>
            <w:tcW w:w="180" w:type="dxa"/>
            <w:vAlign w:val="bottom"/>
            <w:tcBorders>
              <w:bottom w:val="single" w:sz="8" w:color="CFEDF9"/>
            </w:tcBorders>
          </w:tcPr>
          <w:p>
            <w:pPr>
              <w:spacing w:after="0"/>
              <w:rPr>
                <w:sz w:val="17"/>
                <w:szCs w:val="17"/>
                <w:color w:val="auto"/>
              </w:rPr>
            </w:pPr>
          </w:p>
        </w:tc>
      </w:tr>
      <w:tr>
        <w:trPr>
          <w:trHeight w:val="197"/>
        </w:trPr>
        <w:tc>
          <w:tcPr>
            <w:tcW w:w="4980" w:type="dxa"/>
            <w:vAlign w:val="bottom"/>
            <w:shd w:val="clear" w:color="auto" w:fill="CFEDF9"/>
          </w:tcPr>
          <w:p>
            <w:pPr>
              <w:spacing w:after="0" w:line="197" w:lineRule="exact"/>
              <w:rPr>
                <w:sz w:val="20"/>
                <w:szCs w:val="20"/>
                <w:color w:val="auto"/>
              </w:rPr>
            </w:pPr>
            <w:r>
              <w:rPr>
                <w:rFonts w:ascii="Times New Roman" w:cs="Times New Roman" w:eastAsia="Times New Roman" w:hAnsi="Times New Roman"/>
                <w:sz w:val="20"/>
                <w:szCs w:val="20"/>
                <w:b w:val="1"/>
                <w:bCs w:val="1"/>
                <w:color w:val="231F20"/>
              </w:rPr>
              <w:t>Number of new investment commitments in</w:t>
            </w:r>
          </w:p>
        </w:tc>
        <w:tc>
          <w:tcPr>
            <w:tcW w:w="540" w:type="dxa"/>
            <w:vAlign w:val="bottom"/>
            <w:shd w:val="clear" w:color="auto" w:fill="CFEDF9"/>
          </w:tcPr>
          <w:p>
            <w:pPr>
              <w:spacing w:after="0"/>
              <w:rPr>
                <w:sz w:val="17"/>
                <w:szCs w:val="17"/>
                <w:color w:val="auto"/>
              </w:rPr>
            </w:pPr>
          </w:p>
        </w:tc>
        <w:tc>
          <w:tcPr>
            <w:tcW w:w="240" w:type="dxa"/>
            <w:vAlign w:val="bottom"/>
            <w:shd w:val="clear" w:color="auto" w:fill="CFEDF9"/>
          </w:tcPr>
          <w:p>
            <w:pPr>
              <w:spacing w:after="0"/>
              <w:rPr>
                <w:sz w:val="17"/>
                <w:szCs w:val="17"/>
                <w:color w:val="auto"/>
              </w:rPr>
            </w:pPr>
          </w:p>
        </w:tc>
        <w:tc>
          <w:tcPr>
            <w:tcW w:w="800" w:type="dxa"/>
            <w:vAlign w:val="bottom"/>
            <w:shd w:val="clear" w:color="auto" w:fill="CFEDF9"/>
          </w:tcPr>
          <w:p>
            <w:pPr>
              <w:spacing w:after="0"/>
              <w:rPr>
                <w:sz w:val="17"/>
                <w:szCs w:val="17"/>
                <w:color w:val="auto"/>
              </w:rPr>
            </w:pPr>
          </w:p>
        </w:tc>
        <w:tc>
          <w:tcPr>
            <w:tcW w:w="2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100" w:type="dxa"/>
            <w:vAlign w:val="bottom"/>
            <w:shd w:val="clear" w:color="auto" w:fill="CFEDF9"/>
          </w:tcPr>
          <w:p>
            <w:pPr>
              <w:spacing w:after="0"/>
              <w:rPr>
                <w:sz w:val="17"/>
                <w:szCs w:val="17"/>
                <w:color w:val="auto"/>
              </w:rPr>
            </w:pPr>
          </w:p>
        </w:tc>
        <w:tc>
          <w:tcPr>
            <w:tcW w:w="11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240" w:type="dxa"/>
            <w:vAlign w:val="bottom"/>
            <w:shd w:val="clear" w:color="auto" w:fill="CFEDF9"/>
          </w:tcPr>
          <w:p>
            <w:pPr>
              <w:spacing w:after="0"/>
              <w:rPr>
                <w:sz w:val="17"/>
                <w:szCs w:val="17"/>
                <w:color w:val="auto"/>
              </w:rPr>
            </w:pPr>
          </w:p>
        </w:tc>
        <w:tc>
          <w:tcPr>
            <w:tcW w:w="1080" w:type="dxa"/>
            <w:vAlign w:val="bottom"/>
            <w:shd w:val="clear" w:color="auto" w:fill="CFEDF9"/>
          </w:tcPr>
          <w:p>
            <w:pPr>
              <w:spacing w:after="0"/>
              <w:rPr>
                <w:sz w:val="17"/>
                <w:szCs w:val="17"/>
                <w:color w:val="auto"/>
              </w:rPr>
            </w:pPr>
          </w:p>
        </w:tc>
        <w:tc>
          <w:tcPr>
            <w:tcW w:w="180" w:type="dxa"/>
            <w:vAlign w:val="bottom"/>
            <w:shd w:val="clear" w:color="auto" w:fill="CFEDF9"/>
          </w:tcPr>
          <w:p>
            <w:pPr>
              <w:spacing w:after="0"/>
              <w:rPr>
                <w:sz w:val="17"/>
                <w:szCs w:val="17"/>
                <w:color w:val="auto"/>
              </w:rPr>
            </w:pPr>
          </w:p>
        </w:tc>
      </w:tr>
      <w:tr>
        <w:trPr>
          <w:trHeight w:val="253"/>
        </w:trPr>
        <w:tc>
          <w:tcPr>
            <w:tcW w:w="498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b w:val="1"/>
                <w:bCs w:val="1"/>
                <w:color w:val="231F20"/>
              </w:rPr>
              <w:t>new portfolio companies</w:t>
            </w:r>
          </w:p>
        </w:tc>
        <w:tc>
          <w:tcPr>
            <w:tcW w:w="540" w:type="dxa"/>
            <w:vAlign w:val="bottom"/>
            <w:shd w:val="clear" w:color="auto" w:fill="CFEDF9"/>
          </w:tcPr>
          <w:p>
            <w:pPr>
              <w:spacing w:after="0"/>
              <w:rPr>
                <w:sz w:val="22"/>
                <w:szCs w:val="22"/>
                <w:color w:val="auto"/>
              </w:rPr>
            </w:pPr>
          </w:p>
        </w:tc>
        <w:tc>
          <w:tcPr>
            <w:tcW w:w="240" w:type="dxa"/>
            <w:vAlign w:val="bottom"/>
            <w:shd w:val="clear" w:color="auto" w:fill="CFEDF9"/>
          </w:tcPr>
          <w:p>
            <w:pPr>
              <w:spacing w:after="0"/>
              <w:rPr>
                <w:sz w:val="22"/>
                <w:szCs w:val="22"/>
                <w:color w:val="auto"/>
              </w:rPr>
            </w:pPr>
          </w:p>
        </w:tc>
        <w:tc>
          <w:tcPr>
            <w:tcW w:w="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220" w:type="dxa"/>
            <w:vAlign w:val="bottom"/>
            <w:shd w:val="clear" w:color="auto" w:fill="CFEDF9"/>
          </w:tcPr>
          <w:p>
            <w:pPr>
              <w:spacing w:after="0"/>
              <w:rPr>
                <w:sz w:val="22"/>
                <w:szCs w:val="22"/>
                <w:color w:val="auto"/>
              </w:rPr>
            </w:pPr>
          </w:p>
        </w:tc>
        <w:tc>
          <w:tcPr>
            <w:tcW w:w="80" w:type="dxa"/>
            <w:vAlign w:val="bottom"/>
            <w:shd w:val="clear" w:color="auto" w:fill="CFEDF9"/>
          </w:tcPr>
          <w:p>
            <w:pPr>
              <w:spacing w:after="0"/>
              <w:rPr>
                <w:sz w:val="22"/>
                <w:szCs w:val="22"/>
                <w:color w:val="auto"/>
              </w:rPr>
            </w:pPr>
          </w:p>
        </w:tc>
        <w:tc>
          <w:tcPr>
            <w:tcW w:w="100" w:type="dxa"/>
            <w:vAlign w:val="bottom"/>
            <w:shd w:val="clear" w:color="auto" w:fill="CFEDF9"/>
          </w:tcPr>
          <w:p>
            <w:pPr>
              <w:spacing w:after="0"/>
              <w:rPr>
                <w:sz w:val="22"/>
                <w:szCs w:val="22"/>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160" w:type="dxa"/>
            <w:vAlign w:val="bottom"/>
            <w:shd w:val="clear" w:color="auto" w:fill="CFEDF9"/>
          </w:tcPr>
          <w:p>
            <w:pPr>
              <w:spacing w:after="0"/>
              <w:rPr>
                <w:sz w:val="22"/>
                <w:szCs w:val="22"/>
                <w:color w:val="auto"/>
              </w:rPr>
            </w:pPr>
          </w:p>
        </w:tc>
        <w:tc>
          <w:tcPr>
            <w:tcW w:w="240" w:type="dxa"/>
            <w:vAlign w:val="bottom"/>
            <w:shd w:val="clear" w:color="auto" w:fill="CFEDF9"/>
          </w:tcPr>
          <w:p>
            <w:pPr>
              <w:spacing w:after="0"/>
              <w:rPr>
                <w:sz w:val="22"/>
                <w:szCs w:val="22"/>
                <w:color w:val="auto"/>
              </w:rPr>
            </w:pP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180" w:type="dxa"/>
            <w:vAlign w:val="bottom"/>
            <w:shd w:val="clear" w:color="auto" w:fill="CFEDF9"/>
          </w:tcPr>
          <w:p>
            <w:pPr>
              <w:spacing w:after="0"/>
              <w:rPr>
                <w:sz w:val="22"/>
                <w:szCs w:val="22"/>
                <w:color w:val="auto"/>
              </w:rPr>
            </w:pPr>
          </w:p>
        </w:tc>
      </w:tr>
      <w:tr>
        <w:trPr>
          <w:trHeight w:val="206"/>
        </w:trPr>
        <w:tc>
          <w:tcPr>
            <w:tcW w:w="49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231F20"/>
              </w:rPr>
              <w:t>Average new investment commitment amount in</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3"/>
        </w:trPr>
        <w:tc>
          <w:tcPr>
            <w:tcW w:w="49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231F20"/>
              </w:rPr>
              <w:t>new portfolio companies</w:t>
            </w:r>
          </w:p>
        </w:tc>
        <w:tc>
          <w:tcPr>
            <w:tcW w:w="780" w:type="dxa"/>
            <w:vAlign w:val="bottom"/>
            <w:gridSpan w:val="2"/>
          </w:tcPr>
          <w:p>
            <w:pPr>
              <w:jc w:val="right"/>
              <w:ind w:right="44"/>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29.2</w:t>
            </w:r>
          </w:p>
        </w:tc>
        <w:tc>
          <w:tcPr>
            <w:tcW w:w="2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47.5</w:t>
            </w:r>
          </w:p>
        </w:tc>
        <w:tc>
          <w:tcPr>
            <w:tcW w:w="180" w:type="dxa"/>
            <w:vAlign w:val="bottom"/>
          </w:tcPr>
          <w:p>
            <w:pPr>
              <w:spacing w:after="0"/>
              <w:rPr>
                <w:sz w:val="22"/>
                <w:szCs w:val="22"/>
                <w:color w:val="auto"/>
              </w:rPr>
            </w:pPr>
          </w:p>
        </w:tc>
      </w:tr>
      <w:tr>
        <w:trPr>
          <w:trHeight w:val="206"/>
        </w:trPr>
        <w:tc>
          <w:tcPr>
            <w:tcW w:w="4980" w:type="dxa"/>
            <w:vAlign w:val="bottom"/>
            <w:shd w:val="clear" w:color="auto" w:fill="CFEDF9"/>
          </w:tcPr>
          <w:p>
            <w:pPr>
              <w:spacing w:after="0" w:line="207" w:lineRule="exact"/>
              <w:rPr>
                <w:sz w:val="20"/>
                <w:szCs w:val="20"/>
                <w:color w:val="auto"/>
              </w:rPr>
            </w:pPr>
            <w:r>
              <w:rPr>
                <w:rFonts w:ascii="Times New Roman" w:cs="Times New Roman" w:eastAsia="Times New Roman" w:hAnsi="Times New Roman"/>
                <w:sz w:val="20"/>
                <w:szCs w:val="20"/>
                <w:b w:val="1"/>
                <w:bCs w:val="1"/>
                <w:color w:val="231F20"/>
              </w:rPr>
              <w:t>Weighted average term for new investment</w:t>
            </w:r>
          </w:p>
        </w:tc>
        <w:tc>
          <w:tcPr>
            <w:tcW w:w="540" w:type="dxa"/>
            <w:vAlign w:val="bottom"/>
            <w:shd w:val="clear" w:color="auto" w:fill="CFEDF9"/>
          </w:tcPr>
          <w:p>
            <w:pPr>
              <w:spacing w:after="0"/>
              <w:rPr>
                <w:sz w:val="17"/>
                <w:szCs w:val="17"/>
                <w:color w:val="auto"/>
              </w:rPr>
            </w:pPr>
          </w:p>
        </w:tc>
        <w:tc>
          <w:tcPr>
            <w:tcW w:w="240" w:type="dxa"/>
            <w:vAlign w:val="bottom"/>
            <w:shd w:val="clear" w:color="auto" w:fill="CFEDF9"/>
          </w:tcPr>
          <w:p>
            <w:pPr>
              <w:spacing w:after="0"/>
              <w:rPr>
                <w:sz w:val="17"/>
                <w:szCs w:val="17"/>
                <w:color w:val="auto"/>
              </w:rPr>
            </w:pPr>
          </w:p>
        </w:tc>
        <w:tc>
          <w:tcPr>
            <w:tcW w:w="800" w:type="dxa"/>
            <w:vAlign w:val="bottom"/>
            <w:shd w:val="clear" w:color="auto" w:fill="CFEDF9"/>
          </w:tcPr>
          <w:p>
            <w:pPr>
              <w:spacing w:after="0"/>
              <w:rPr>
                <w:sz w:val="17"/>
                <w:szCs w:val="17"/>
                <w:color w:val="auto"/>
              </w:rPr>
            </w:pPr>
          </w:p>
        </w:tc>
        <w:tc>
          <w:tcPr>
            <w:tcW w:w="2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100" w:type="dxa"/>
            <w:vAlign w:val="bottom"/>
            <w:shd w:val="clear" w:color="auto" w:fill="CFEDF9"/>
          </w:tcPr>
          <w:p>
            <w:pPr>
              <w:spacing w:after="0"/>
              <w:rPr>
                <w:sz w:val="17"/>
                <w:szCs w:val="17"/>
                <w:color w:val="auto"/>
              </w:rPr>
            </w:pPr>
          </w:p>
        </w:tc>
        <w:tc>
          <w:tcPr>
            <w:tcW w:w="11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240" w:type="dxa"/>
            <w:vAlign w:val="bottom"/>
            <w:shd w:val="clear" w:color="auto" w:fill="CFEDF9"/>
          </w:tcPr>
          <w:p>
            <w:pPr>
              <w:spacing w:after="0"/>
              <w:rPr>
                <w:sz w:val="17"/>
                <w:szCs w:val="17"/>
                <w:color w:val="auto"/>
              </w:rPr>
            </w:pPr>
          </w:p>
        </w:tc>
        <w:tc>
          <w:tcPr>
            <w:tcW w:w="1080" w:type="dxa"/>
            <w:vAlign w:val="bottom"/>
            <w:shd w:val="clear" w:color="auto" w:fill="CFEDF9"/>
          </w:tcPr>
          <w:p>
            <w:pPr>
              <w:spacing w:after="0"/>
              <w:rPr>
                <w:sz w:val="17"/>
                <w:szCs w:val="17"/>
                <w:color w:val="auto"/>
              </w:rPr>
            </w:pPr>
          </w:p>
        </w:tc>
        <w:tc>
          <w:tcPr>
            <w:tcW w:w="180" w:type="dxa"/>
            <w:vAlign w:val="bottom"/>
            <w:shd w:val="clear" w:color="auto" w:fill="CFEDF9"/>
          </w:tcPr>
          <w:p>
            <w:pPr>
              <w:spacing w:after="0"/>
              <w:rPr>
                <w:sz w:val="17"/>
                <w:szCs w:val="17"/>
                <w:color w:val="auto"/>
              </w:rPr>
            </w:pPr>
          </w:p>
        </w:tc>
      </w:tr>
      <w:tr>
        <w:trPr>
          <w:trHeight w:val="230"/>
        </w:trPr>
        <w:tc>
          <w:tcPr>
            <w:tcW w:w="498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b w:val="1"/>
                <w:bCs w:val="1"/>
                <w:color w:val="231F20"/>
              </w:rPr>
              <w:t>commitments in new portfolio companies</w:t>
            </w:r>
          </w:p>
        </w:tc>
        <w:tc>
          <w:tcPr>
            <w:tcW w:w="5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8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0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r>
      <w:tr>
        <w:trPr>
          <w:trHeight w:val="253"/>
        </w:trPr>
        <w:tc>
          <w:tcPr>
            <w:tcW w:w="498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b w:val="1"/>
                <w:bCs w:val="1"/>
                <w:color w:val="231F20"/>
              </w:rPr>
              <w:t>(in years)</w:t>
            </w:r>
          </w:p>
        </w:tc>
        <w:tc>
          <w:tcPr>
            <w:tcW w:w="540" w:type="dxa"/>
            <w:vAlign w:val="bottom"/>
            <w:shd w:val="clear" w:color="auto" w:fill="CFEDF9"/>
          </w:tcPr>
          <w:p>
            <w:pPr>
              <w:spacing w:after="0"/>
              <w:rPr>
                <w:sz w:val="22"/>
                <w:szCs w:val="22"/>
                <w:color w:val="auto"/>
              </w:rPr>
            </w:pPr>
          </w:p>
        </w:tc>
        <w:tc>
          <w:tcPr>
            <w:tcW w:w="240" w:type="dxa"/>
            <w:vAlign w:val="bottom"/>
            <w:shd w:val="clear" w:color="auto" w:fill="CFEDF9"/>
          </w:tcPr>
          <w:p>
            <w:pPr>
              <w:spacing w:after="0"/>
              <w:rPr>
                <w:sz w:val="22"/>
                <w:szCs w:val="22"/>
                <w:color w:val="auto"/>
              </w:rPr>
            </w:pPr>
          </w:p>
        </w:tc>
        <w:tc>
          <w:tcPr>
            <w:tcW w:w="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220" w:type="dxa"/>
            <w:vAlign w:val="bottom"/>
            <w:shd w:val="clear" w:color="auto" w:fill="CFEDF9"/>
          </w:tcPr>
          <w:p>
            <w:pPr>
              <w:spacing w:after="0"/>
              <w:rPr>
                <w:sz w:val="22"/>
                <w:szCs w:val="22"/>
                <w:color w:val="auto"/>
              </w:rPr>
            </w:pPr>
          </w:p>
        </w:tc>
        <w:tc>
          <w:tcPr>
            <w:tcW w:w="80" w:type="dxa"/>
            <w:vAlign w:val="bottom"/>
            <w:shd w:val="clear" w:color="auto" w:fill="CFEDF9"/>
          </w:tcPr>
          <w:p>
            <w:pPr>
              <w:spacing w:after="0"/>
              <w:rPr>
                <w:sz w:val="22"/>
                <w:szCs w:val="22"/>
                <w:color w:val="auto"/>
              </w:rPr>
            </w:pPr>
          </w:p>
        </w:tc>
        <w:tc>
          <w:tcPr>
            <w:tcW w:w="100" w:type="dxa"/>
            <w:vAlign w:val="bottom"/>
            <w:shd w:val="clear" w:color="auto" w:fill="CFEDF9"/>
          </w:tcPr>
          <w:p>
            <w:pPr>
              <w:spacing w:after="0"/>
              <w:rPr>
                <w:sz w:val="22"/>
                <w:szCs w:val="22"/>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160" w:type="dxa"/>
            <w:vAlign w:val="bottom"/>
            <w:shd w:val="clear" w:color="auto" w:fill="CFEDF9"/>
          </w:tcPr>
          <w:p>
            <w:pPr>
              <w:spacing w:after="0"/>
              <w:rPr>
                <w:sz w:val="22"/>
                <w:szCs w:val="22"/>
                <w:color w:val="auto"/>
              </w:rPr>
            </w:pPr>
          </w:p>
        </w:tc>
        <w:tc>
          <w:tcPr>
            <w:tcW w:w="240" w:type="dxa"/>
            <w:vAlign w:val="bottom"/>
            <w:shd w:val="clear" w:color="auto" w:fill="CFEDF9"/>
          </w:tcPr>
          <w:p>
            <w:pPr>
              <w:spacing w:after="0"/>
              <w:rPr>
                <w:sz w:val="22"/>
                <w:szCs w:val="22"/>
                <w:color w:val="auto"/>
              </w:rPr>
            </w:pP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5.3</w:t>
            </w:r>
          </w:p>
        </w:tc>
        <w:tc>
          <w:tcPr>
            <w:tcW w:w="180" w:type="dxa"/>
            <w:vAlign w:val="bottom"/>
            <w:shd w:val="clear" w:color="auto" w:fill="CFEDF9"/>
          </w:tcPr>
          <w:p>
            <w:pPr>
              <w:spacing w:after="0"/>
              <w:rPr>
                <w:sz w:val="22"/>
                <w:szCs w:val="22"/>
                <w:color w:val="auto"/>
              </w:rPr>
            </w:pPr>
          </w:p>
        </w:tc>
      </w:tr>
      <w:tr>
        <w:trPr>
          <w:trHeight w:val="206"/>
        </w:trPr>
        <w:tc>
          <w:tcPr>
            <w:tcW w:w="49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231F20"/>
              </w:rPr>
              <w:t>Percentage of new debt investment commitments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3"/>
        </w:trPr>
        <w:tc>
          <w:tcPr>
            <w:tcW w:w="49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231F20"/>
              </w:rPr>
              <w:t>at floating rates</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99.5%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98.9%</w:t>
            </w:r>
          </w:p>
        </w:tc>
        <w:tc>
          <w:tcPr>
            <w:tcW w:w="24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99.5%</w:t>
            </w:r>
          </w:p>
        </w:tc>
      </w:tr>
      <w:tr>
        <w:trPr>
          <w:trHeight w:val="206"/>
        </w:trPr>
        <w:tc>
          <w:tcPr>
            <w:tcW w:w="4980" w:type="dxa"/>
            <w:vAlign w:val="bottom"/>
            <w:shd w:val="clear" w:color="auto" w:fill="CFEDF9"/>
          </w:tcPr>
          <w:p>
            <w:pPr>
              <w:spacing w:after="0" w:line="207" w:lineRule="exact"/>
              <w:rPr>
                <w:sz w:val="20"/>
                <w:szCs w:val="20"/>
                <w:color w:val="auto"/>
              </w:rPr>
            </w:pPr>
            <w:r>
              <w:rPr>
                <w:rFonts w:ascii="Times New Roman" w:cs="Times New Roman" w:eastAsia="Times New Roman" w:hAnsi="Times New Roman"/>
                <w:sz w:val="20"/>
                <w:szCs w:val="20"/>
                <w:b w:val="1"/>
                <w:bCs w:val="1"/>
                <w:color w:val="231F20"/>
              </w:rPr>
              <w:t>Weighted average interest rate of new</w:t>
            </w:r>
          </w:p>
        </w:tc>
        <w:tc>
          <w:tcPr>
            <w:tcW w:w="540" w:type="dxa"/>
            <w:vAlign w:val="bottom"/>
            <w:shd w:val="clear" w:color="auto" w:fill="CFEDF9"/>
          </w:tcPr>
          <w:p>
            <w:pPr>
              <w:spacing w:after="0"/>
              <w:rPr>
                <w:sz w:val="17"/>
                <w:szCs w:val="17"/>
                <w:color w:val="auto"/>
              </w:rPr>
            </w:pPr>
          </w:p>
        </w:tc>
        <w:tc>
          <w:tcPr>
            <w:tcW w:w="240" w:type="dxa"/>
            <w:vAlign w:val="bottom"/>
            <w:shd w:val="clear" w:color="auto" w:fill="CFEDF9"/>
          </w:tcPr>
          <w:p>
            <w:pPr>
              <w:spacing w:after="0"/>
              <w:rPr>
                <w:sz w:val="17"/>
                <w:szCs w:val="17"/>
                <w:color w:val="auto"/>
              </w:rPr>
            </w:pPr>
          </w:p>
        </w:tc>
        <w:tc>
          <w:tcPr>
            <w:tcW w:w="800" w:type="dxa"/>
            <w:vAlign w:val="bottom"/>
            <w:shd w:val="clear" w:color="auto" w:fill="CFEDF9"/>
          </w:tcPr>
          <w:p>
            <w:pPr>
              <w:spacing w:after="0"/>
              <w:rPr>
                <w:sz w:val="17"/>
                <w:szCs w:val="17"/>
                <w:color w:val="auto"/>
              </w:rPr>
            </w:pPr>
          </w:p>
        </w:tc>
        <w:tc>
          <w:tcPr>
            <w:tcW w:w="2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100" w:type="dxa"/>
            <w:vAlign w:val="bottom"/>
            <w:shd w:val="clear" w:color="auto" w:fill="CFEDF9"/>
          </w:tcPr>
          <w:p>
            <w:pPr>
              <w:spacing w:after="0"/>
              <w:rPr>
                <w:sz w:val="17"/>
                <w:szCs w:val="17"/>
                <w:color w:val="auto"/>
              </w:rPr>
            </w:pPr>
          </w:p>
        </w:tc>
        <w:tc>
          <w:tcPr>
            <w:tcW w:w="11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240" w:type="dxa"/>
            <w:vAlign w:val="bottom"/>
            <w:shd w:val="clear" w:color="auto" w:fill="CFEDF9"/>
          </w:tcPr>
          <w:p>
            <w:pPr>
              <w:spacing w:after="0"/>
              <w:rPr>
                <w:sz w:val="17"/>
                <w:szCs w:val="17"/>
                <w:color w:val="auto"/>
              </w:rPr>
            </w:pPr>
          </w:p>
        </w:tc>
        <w:tc>
          <w:tcPr>
            <w:tcW w:w="1080" w:type="dxa"/>
            <w:vAlign w:val="bottom"/>
            <w:shd w:val="clear" w:color="auto" w:fill="CFEDF9"/>
          </w:tcPr>
          <w:p>
            <w:pPr>
              <w:spacing w:after="0"/>
              <w:rPr>
                <w:sz w:val="17"/>
                <w:szCs w:val="17"/>
                <w:color w:val="auto"/>
              </w:rPr>
            </w:pPr>
          </w:p>
        </w:tc>
        <w:tc>
          <w:tcPr>
            <w:tcW w:w="180" w:type="dxa"/>
            <w:vAlign w:val="bottom"/>
            <w:shd w:val="clear" w:color="auto" w:fill="CFEDF9"/>
          </w:tcPr>
          <w:p>
            <w:pPr>
              <w:spacing w:after="0"/>
              <w:rPr>
                <w:sz w:val="17"/>
                <w:szCs w:val="17"/>
                <w:color w:val="auto"/>
              </w:rPr>
            </w:pPr>
          </w:p>
        </w:tc>
      </w:tr>
      <w:tr>
        <w:trPr>
          <w:trHeight w:val="253"/>
        </w:trPr>
        <w:tc>
          <w:tcPr>
            <w:tcW w:w="498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b w:val="1"/>
                <w:bCs w:val="1"/>
                <w:color w:val="231F20"/>
              </w:rPr>
              <w:t>investment commitments</w:t>
            </w:r>
          </w:p>
        </w:tc>
        <w:tc>
          <w:tcPr>
            <w:tcW w:w="540" w:type="dxa"/>
            <w:vAlign w:val="bottom"/>
            <w:shd w:val="clear" w:color="auto" w:fill="CFEDF9"/>
          </w:tcPr>
          <w:p>
            <w:pPr>
              <w:spacing w:after="0"/>
              <w:rPr>
                <w:sz w:val="22"/>
                <w:szCs w:val="22"/>
                <w:color w:val="auto"/>
              </w:rPr>
            </w:pPr>
          </w:p>
        </w:tc>
        <w:tc>
          <w:tcPr>
            <w:tcW w:w="240" w:type="dxa"/>
            <w:vAlign w:val="bottom"/>
            <w:shd w:val="clear" w:color="auto" w:fill="CFEDF9"/>
          </w:tcPr>
          <w:p>
            <w:pPr>
              <w:spacing w:after="0"/>
              <w:rPr>
                <w:sz w:val="22"/>
                <w:szCs w:val="22"/>
                <w:color w:val="auto"/>
              </w:rPr>
            </w:pPr>
          </w:p>
        </w:tc>
        <w:tc>
          <w:tcPr>
            <w:tcW w:w="102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12.9%</w:t>
            </w:r>
          </w:p>
        </w:tc>
        <w:tc>
          <w:tcPr>
            <w:tcW w:w="80" w:type="dxa"/>
            <w:vAlign w:val="bottom"/>
            <w:shd w:val="clear" w:color="auto" w:fill="CFEDF9"/>
          </w:tcPr>
          <w:p>
            <w:pPr>
              <w:spacing w:after="0"/>
              <w:rPr>
                <w:sz w:val="22"/>
                <w:szCs w:val="22"/>
                <w:color w:val="auto"/>
              </w:rPr>
            </w:pPr>
          </w:p>
        </w:tc>
        <w:tc>
          <w:tcPr>
            <w:tcW w:w="100" w:type="dxa"/>
            <w:vAlign w:val="bottom"/>
            <w:shd w:val="clear" w:color="auto" w:fill="CFEDF9"/>
          </w:tcPr>
          <w:p>
            <w:pPr>
              <w:spacing w:after="0"/>
              <w:rPr>
                <w:sz w:val="22"/>
                <w:szCs w:val="22"/>
                <w:color w:val="auto"/>
              </w:rPr>
            </w:pPr>
          </w:p>
        </w:tc>
        <w:tc>
          <w:tcPr>
            <w:tcW w:w="12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11.9%</w:t>
            </w:r>
          </w:p>
        </w:tc>
        <w:tc>
          <w:tcPr>
            <w:tcW w:w="240" w:type="dxa"/>
            <w:vAlign w:val="bottom"/>
            <w:shd w:val="clear" w:color="auto" w:fill="CFEDF9"/>
          </w:tcPr>
          <w:p>
            <w:pPr>
              <w:spacing w:after="0"/>
              <w:rPr>
                <w:sz w:val="22"/>
                <w:szCs w:val="22"/>
                <w:color w:val="auto"/>
              </w:rPr>
            </w:pPr>
          </w:p>
        </w:tc>
        <w:tc>
          <w:tcPr>
            <w:tcW w:w="12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9.2%</w:t>
            </w:r>
          </w:p>
        </w:tc>
      </w:tr>
      <w:tr>
        <w:trPr>
          <w:trHeight w:val="206"/>
        </w:trPr>
        <w:tc>
          <w:tcPr>
            <w:tcW w:w="49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231F20"/>
              </w:rPr>
              <w:t>Weighted average spread over reference rate of new</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3"/>
        </w:trPr>
        <w:tc>
          <w:tcPr>
            <w:tcW w:w="49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231F20"/>
              </w:rPr>
              <w:t>floating rate investment commitments</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7.6%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24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9.0%</w:t>
            </w:r>
          </w:p>
        </w:tc>
      </w:tr>
      <w:tr>
        <w:trPr>
          <w:trHeight w:val="206"/>
        </w:trPr>
        <w:tc>
          <w:tcPr>
            <w:tcW w:w="4980" w:type="dxa"/>
            <w:vAlign w:val="bottom"/>
            <w:shd w:val="clear" w:color="auto" w:fill="CFEDF9"/>
          </w:tcPr>
          <w:p>
            <w:pPr>
              <w:spacing w:after="0" w:line="207" w:lineRule="exact"/>
              <w:rPr>
                <w:sz w:val="20"/>
                <w:szCs w:val="20"/>
                <w:color w:val="auto"/>
              </w:rPr>
            </w:pPr>
            <w:r>
              <w:rPr>
                <w:rFonts w:ascii="Times New Roman" w:cs="Times New Roman" w:eastAsia="Times New Roman" w:hAnsi="Times New Roman"/>
                <w:sz w:val="20"/>
                <w:szCs w:val="20"/>
                <w:b w:val="1"/>
                <w:bCs w:val="1"/>
                <w:color w:val="231F20"/>
              </w:rPr>
              <w:t>Weighted average interest rate on investments</w:t>
            </w:r>
          </w:p>
        </w:tc>
        <w:tc>
          <w:tcPr>
            <w:tcW w:w="540" w:type="dxa"/>
            <w:vAlign w:val="bottom"/>
            <w:shd w:val="clear" w:color="auto" w:fill="CFEDF9"/>
          </w:tcPr>
          <w:p>
            <w:pPr>
              <w:spacing w:after="0"/>
              <w:rPr>
                <w:sz w:val="17"/>
                <w:szCs w:val="17"/>
                <w:color w:val="auto"/>
              </w:rPr>
            </w:pPr>
          </w:p>
        </w:tc>
        <w:tc>
          <w:tcPr>
            <w:tcW w:w="240" w:type="dxa"/>
            <w:vAlign w:val="bottom"/>
            <w:shd w:val="clear" w:color="auto" w:fill="CFEDF9"/>
          </w:tcPr>
          <w:p>
            <w:pPr>
              <w:spacing w:after="0"/>
              <w:rPr>
                <w:sz w:val="17"/>
                <w:szCs w:val="17"/>
                <w:color w:val="auto"/>
              </w:rPr>
            </w:pPr>
          </w:p>
        </w:tc>
        <w:tc>
          <w:tcPr>
            <w:tcW w:w="800" w:type="dxa"/>
            <w:vAlign w:val="bottom"/>
            <w:shd w:val="clear" w:color="auto" w:fill="CFEDF9"/>
          </w:tcPr>
          <w:p>
            <w:pPr>
              <w:spacing w:after="0"/>
              <w:rPr>
                <w:sz w:val="17"/>
                <w:szCs w:val="17"/>
                <w:color w:val="auto"/>
              </w:rPr>
            </w:pPr>
          </w:p>
        </w:tc>
        <w:tc>
          <w:tcPr>
            <w:tcW w:w="2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100" w:type="dxa"/>
            <w:vAlign w:val="bottom"/>
            <w:shd w:val="clear" w:color="auto" w:fill="CFEDF9"/>
          </w:tcPr>
          <w:p>
            <w:pPr>
              <w:spacing w:after="0"/>
              <w:rPr>
                <w:sz w:val="17"/>
                <w:szCs w:val="17"/>
                <w:color w:val="auto"/>
              </w:rPr>
            </w:pPr>
          </w:p>
        </w:tc>
        <w:tc>
          <w:tcPr>
            <w:tcW w:w="1100" w:type="dxa"/>
            <w:vAlign w:val="bottom"/>
            <w:shd w:val="clear" w:color="auto" w:fill="CFEDF9"/>
          </w:tcPr>
          <w:p>
            <w:pPr>
              <w:spacing w:after="0"/>
              <w:rPr>
                <w:sz w:val="17"/>
                <w:szCs w:val="17"/>
                <w:color w:val="auto"/>
              </w:rPr>
            </w:pPr>
          </w:p>
        </w:tc>
        <w:tc>
          <w:tcPr>
            <w:tcW w:w="160" w:type="dxa"/>
            <w:vAlign w:val="bottom"/>
            <w:shd w:val="clear" w:color="auto" w:fill="CFEDF9"/>
          </w:tcPr>
          <w:p>
            <w:pPr>
              <w:spacing w:after="0"/>
              <w:rPr>
                <w:sz w:val="17"/>
                <w:szCs w:val="17"/>
                <w:color w:val="auto"/>
              </w:rPr>
            </w:pPr>
          </w:p>
        </w:tc>
        <w:tc>
          <w:tcPr>
            <w:tcW w:w="240" w:type="dxa"/>
            <w:vAlign w:val="bottom"/>
            <w:shd w:val="clear" w:color="auto" w:fill="CFEDF9"/>
          </w:tcPr>
          <w:p>
            <w:pPr>
              <w:spacing w:after="0"/>
              <w:rPr>
                <w:sz w:val="17"/>
                <w:szCs w:val="17"/>
                <w:color w:val="auto"/>
              </w:rPr>
            </w:pPr>
          </w:p>
        </w:tc>
        <w:tc>
          <w:tcPr>
            <w:tcW w:w="1080" w:type="dxa"/>
            <w:vAlign w:val="bottom"/>
            <w:shd w:val="clear" w:color="auto" w:fill="CFEDF9"/>
          </w:tcPr>
          <w:p>
            <w:pPr>
              <w:spacing w:after="0"/>
              <w:rPr>
                <w:sz w:val="17"/>
                <w:szCs w:val="17"/>
                <w:color w:val="auto"/>
              </w:rPr>
            </w:pPr>
          </w:p>
        </w:tc>
        <w:tc>
          <w:tcPr>
            <w:tcW w:w="180" w:type="dxa"/>
            <w:vAlign w:val="bottom"/>
            <w:shd w:val="clear" w:color="auto" w:fill="CFEDF9"/>
          </w:tcPr>
          <w:p>
            <w:pPr>
              <w:spacing w:after="0"/>
              <w:rPr>
                <w:sz w:val="17"/>
                <w:szCs w:val="17"/>
                <w:color w:val="auto"/>
              </w:rPr>
            </w:pPr>
          </w:p>
        </w:tc>
      </w:tr>
      <w:tr>
        <w:trPr>
          <w:trHeight w:val="253"/>
        </w:trPr>
        <w:tc>
          <w:tcPr>
            <w:tcW w:w="498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b w:val="1"/>
                <w:bCs w:val="1"/>
                <w:color w:val="231F20"/>
              </w:rPr>
              <w:t>fully sold or paid down</w:t>
            </w:r>
          </w:p>
        </w:tc>
        <w:tc>
          <w:tcPr>
            <w:tcW w:w="540" w:type="dxa"/>
            <w:vAlign w:val="bottom"/>
            <w:shd w:val="clear" w:color="auto" w:fill="CFEDF9"/>
          </w:tcPr>
          <w:p>
            <w:pPr>
              <w:spacing w:after="0"/>
              <w:rPr>
                <w:sz w:val="22"/>
                <w:szCs w:val="22"/>
                <w:color w:val="auto"/>
              </w:rPr>
            </w:pPr>
          </w:p>
        </w:tc>
        <w:tc>
          <w:tcPr>
            <w:tcW w:w="240" w:type="dxa"/>
            <w:vAlign w:val="bottom"/>
            <w:shd w:val="clear" w:color="auto" w:fill="CFEDF9"/>
          </w:tcPr>
          <w:p>
            <w:pPr>
              <w:spacing w:after="0"/>
              <w:rPr>
                <w:sz w:val="22"/>
                <w:szCs w:val="22"/>
                <w:color w:val="auto"/>
              </w:rPr>
            </w:pPr>
          </w:p>
        </w:tc>
        <w:tc>
          <w:tcPr>
            <w:tcW w:w="102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13.7%</w:t>
            </w:r>
          </w:p>
        </w:tc>
        <w:tc>
          <w:tcPr>
            <w:tcW w:w="80" w:type="dxa"/>
            <w:vAlign w:val="bottom"/>
            <w:shd w:val="clear" w:color="auto" w:fill="CFEDF9"/>
          </w:tcPr>
          <w:p>
            <w:pPr>
              <w:spacing w:after="0"/>
              <w:rPr>
                <w:sz w:val="22"/>
                <w:szCs w:val="22"/>
                <w:color w:val="auto"/>
              </w:rPr>
            </w:pPr>
          </w:p>
        </w:tc>
        <w:tc>
          <w:tcPr>
            <w:tcW w:w="100" w:type="dxa"/>
            <w:vAlign w:val="bottom"/>
            <w:shd w:val="clear" w:color="auto" w:fill="CFEDF9"/>
          </w:tcPr>
          <w:p>
            <w:pPr>
              <w:spacing w:after="0"/>
              <w:rPr>
                <w:sz w:val="22"/>
                <w:szCs w:val="22"/>
                <w:color w:val="auto"/>
              </w:rPr>
            </w:pPr>
          </w:p>
        </w:tc>
        <w:tc>
          <w:tcPr>
            <w:tcW w:w="12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240" w:type="dxa"/>
            <w:vAlign w:val="bottom"/>
            <w:shd w:val="clear" w:color="auto" w:fill="CFEDF9"/>
          </w:tcPr>
          <w:p>
            <w:pPr>
              <w:spacing w:after="0"/>
              <w:rPr>
                <w:sz w:val="22"/>
                <w:szCs w:val="22"/>
                <w:color w:val="auto"/>
              </w:rPr>
            </w:pPr>
          </w:p>
        </w:tc>
        <w:tc>
          <w:tcPr>
            <w:tcW w:w="12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9.1%</w:t>
            </w:r>
          </w:p>
        </w:tc>
      </w:tr>
    </w:tbl>
    <w:p>
      <w:pPr>
        <w:spacing w:after="0" w:line="2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231F20"/>
        </w:rPr>
        <w:t>(1)</w:t>
        <w:tab/>
        <w:t>Includes affiliates of Sixth Street</w:t>
      </w: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As of December 31, 2023 and 2022, our investments consisted of the following:</w:t>
      </w:r>
    </w:p>
    <w:p>
      <w:pPr>
        <w:spacing w:after="0" w:line="27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96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100" w:type="dxa"/>
            <w:vAlign w:val="bottom"/>
            <w:tcBorders>
              <w:bottom w:val="single" w:sz="8" w:color="231F20"/>
            </w:tcBorders>
          </w:tcPr>
          <w:p>
            <w:pPr>
              <w:spacing w:after="0"/>
              <w:rPr>
                <w:sz w:val="17"/>
                <w:szCs w:val="17"/>
                <w:color w:val="auto"/>
              </w:rPr>
            </w:pPr>
          </w:p>
        </w:tc>
        <w:tc>
          <w:tcPr>
            <w:tcW w:w="2620" w:type="dxa"/>
            <w:vAlign w:val="bottom"/>
            <w:tcBorders>
              <w:bottom w:val="single" w:sz="8" w:color="231F20"/>
            </w:tcBorders>
            <w:gridSpan w:val="4"/>
          </w:tcPr>
          <w:p>
            <w:pPr>
              <w:jc w:val="right"/>
              <w:ind w:right="623"/>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22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2340" w:type="dxa"/>
            <w:vAlign w:val="bottom"/>
            <w:tcBorders>
              <w:bottom w:val="single" w:sz="8" w:color="231F20"/>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60" w:type="dxa"/>
            <w:vAlign w:val="bottom"/>
            <w:tcBorders>
              <w:bottom w:val="single" w:sz="8" w:color="CFEDF9"/>
            </w:tcBorders>
            <w:vMerge w:val="continue"/>
          </w:tcPr>
          <w:p>
            <w:pPr>
              <w:spacing w:after="0"/>
              <w:rPr>
                <w:sz w:val="15"/>
                <w:szCs w:val="15"/>
                <w:color w:val="auto"/>
              </w:rPr>
            </w:pPr>
          </w:p>
        </w:tc>
        <w:tc>
          <w:tcPr>
            <w:tcW w:w="1240" w:type="dxa"/>
            <w:vAlign w:val="bottom"/>
            <w:tcBorders>
              <w:bottom w:val="single" w:sz="8" w:color="231F20"/>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Amortized Cost</w:t>
            </w:r>
          </w:p>
        </w:tc>
        <w:tc>
          <w:tcPr>
            <w:tcW w:w="240" w:type="dxa"/>
            <w:vAlign w:val="bottom"/>
            <w:tcBorders>
              <w:bottom w:val="single" w:sz="8" w:color="CFEDF9"/>
            </w:tcBorders>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080" w:type="dxa"/>
            <w:vAlign w:val="bottom"/>
            <w:tcBorders>
              <w:bottom w:val="single" w:sz="8" w:color="231F20"/>
            </w:tcBorders>
          </w:tcPr>
          <w:p>
            <w:pPr>
              <w:jc w:val="right"/>
              <w:ind w:right="163"/>
              <w:spacing w:after="0" w:line="174" w:lineRule="exact"/>
              <w:rPr>
                <w:sz w:val="20"/>
                <w:szCs w:val="20"/>
                <w:color w:val="auto"/>
              </w:rPr>
            </w:pPr>
            <w:r>
              <w:rPr>
                <w:rFonts w:ascii="Times New Roman" w:cs="Times New Roman" w:eastAsia="Times New Roman" w:hAnsi="Times New Roman"/>
                <w:sz w:val="16"/>
                <w:szCs w:val="16"/>
                <w:b w:val="1"/>
                <w:bCs w:val="1"/>
                <w:color w:val="231F20"/>
              </w:rPr>
              <w:t>Fair Value</w:t>
            </w:r>
          </w:p>
        </w:tc>
        <w:tc>
          <w:tcPr>
            <w:tcW w:w="220" w:type="dxa"/>
            <w:vAlign w:val="bottom"/>
            <w:tcBorders>
              <w:bottom w:val="single" w:sz="8" w:color="CFEDF9"/>
            </w:tcBorders>
          </w:tcPr>
          <w:p>
            <w:pPr>
              <w:spacing w:after="0"/>
              <w:rPr>
                <w:sz w:val="15"/>
                <w:szCs w:val="15"/>
                <w:color w:val="auto"/>
              </w:rPr>
            </w:pPr>
          </w:p>
        </w:tc>
        <w:tc>
          <w:tcPr>
            <w:tcW w:w="1240" w:type="dxa"/>
            <w:vAlign w:val="bottom"/>
            <w:tcBorders>
              <w:bottom w:val="single" w:sz="8" w:color="231F20"/>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Amortized Cost</w:t>
            </w:r>
          </w:p>
        </w:tc>
        <w:tc>
          <w:tcPr>
            <w:tcW w:w="240" w:type="dxa"/>
            <w:vAlign w:val="bottom"/>
            <w:tcBorders>
              <w:bottom w:val="single" w:sz="8" w:color="CFEDF9"/>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jc w:val="right"/>
              <w:ind w:right="163"/>
              <w:spacing w:after="0" w:line="174" w:lineRule="exact"/>
              <w:rPr>
                <w:sz w:val="20"/>
                <w:szCs w:val="20"/>
                <w:color w:val="auto"/>
              </w:rPr>
            </w:pPr>
            <w:r>
              <w:rPr>
                <w:rFonts w:ascii="Times New Roman" w:cs="Times New Roman" w:eastAsia="Times New Roman" w:hAnsi="Times New Roman"/>
                <w:sz w:val="16"/>
                <w:szCs w:val="16"/>
                <w:b w:val="1"/>
                <w:bCs w:val="1"/>
                <w:color w:val="231F20"/>
              </w:rPr>
              <w:t>Fair Value</w:t>
            </w:r>
          </w:p>
        </w:tc>
        <w:tc>
          <w:tcPr>
            <w:tcW w:w="100" w:type="dxa"/>
            <w:vAlign w:val="bottom"/>
            <w:tcBorders>
              <w:bottom w:val="single" w:sz="8" w:color="CFEDF9"/>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First-lien debt investments</w:t>
            </w:r>
          </w:p>
        </w:tc>
        <w:tc>
          <w:tcPr>
            <w:tcW w:w="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2,956.1</w:t>
            </w:r>
          </w:p>
        </w:tc>
        <w:tc>
          <w:tcPr>
            <w:tcW w:w="240" w:type="dxa"/>
            <w:vAlign w:val="bottom"/>
            <w:shd w:val="clear" w:color="auto" w:fill="CFEDF9"/>
          </w:tcPr>
          <w:p>
            <w:pPr>
              <w:spacing w:after="0"/>
              <w:rPr>
                <w:sz w:val="19"/>
                <w:szCs w:val="19"/>
                <w:color w:val="auto"/>
              </w:rPr>
            </w:pPr>
          </w:p>
        </w:tc>
        <w:tc>
          <w:tcPr>
            <w:tcW w:w="1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2,996.2</w:t>
            </w:r>
          </w:p>
        </w:tc>
        <w:tc>
          <w:tcPr>
            <w:tcW w:w="220" w:type="dxa"/>
            <w:vAlign w:val="bottom"/>
            <w:shd w:val="clear" w:color="auto" w:fill="CFEDF9"/>
          </w:tcPr>
          <w:p>
            <w:pPr>
              <w:spacing w:after="0"/>
              <w:rPr>
                <w:sz w:val="19"/>
                <w:szCs w:val="19"/>
                <w:color w:val="auto"/>
              </w:rPr>
            </w:pPr>
          </w:p>
        </w:tc>
        <w:tc>
          <w:tcPr>
            <w:tcW w:w="380" w:type="dxa"/>
            <w:vAlign w:val="bottom"/>
            <w:shd w:val="clear" w:color="auto" w:fill="CFEDF9"/>
          </w:tcPr>
          <w:p>
            <w:pPr>
              <w:jc w:val="right"/>
              <w:ind w:right="18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2,529.3</w:t>
            </w:r>
          </w:p>
        </w:tc>
        <w:tc>
          <w:tcPr>
            <w:tcW w:w="240" w:type="dxa"/>
            <w:vAlign w:val="bottom"/>
            <w:shd w:val="clear" w:color="auto" w:fill="CFEDF9"/>
          </w:tcPr>
          <w:p>
            <w:pPr>
              <w:spacing w:after="0"/>
              <w:rPr>
                <w:sz w:val="19"/>
                <w:szCs w:val="19"/>
                <w:color w:val="auto"/>
              </w:rPr>
            </w:pPr>
          </w:p>
        </w:tc>
        <w:tc>
          <w:tcPr>
            <w:tcW w:w="1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2,517.9</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231F20"/>
              </w:rPr>
              <w:t>Second-lien debt investments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Mezzanine debt investments</w:t>
            </w:r>
          </w:p>
        </w:tc>
        <w:tc>
          <w:tcPr>
            <w:tcW w:w="100" w:type="dxa"/>
            <w:vAlign w:val="bottom"/>
            <w:shd w:val="clear" w:color="auto" w:fill="CFEDF9"/>
          </w:tcPr>
          <w:p>
            <w:pPr>
              <w:spacing w:after="0"/>
              <w:rPr>
                <w:sz w:val="19"/>
                <w:szCs w:val="19"/>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38.0</w:t>
            </w:r>
          </w:p>
        </w:tc>
        <w:tc>
          <w:tcPr>
            <w:tcW w:w="24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39.5</w:t>
            </w:r>
          </w:p>
        </w:tc>
        <w:tc>
          <w:tcPr>
            <w:tcW w:w="220" w:type="dxa"/>
            <w:vAlign w:val="bottom"/>
            <w:shd w:val="clear" w:color="auto" w:fill="CFEDF9"/>
          </w:tcPr>
          <w:p>
            <w:pPr>
              <w:spacing w:after="0"/>
              <w:rPr>
                <w:sz w:val="19"/>
                <w:szCs w:val="19"/>
                <w:color w:val="auto"/>
              </w:rPr>
            </w:pPr>
          </w:p>
        </w:tc>
        <w:tc>
          <w:tcPr>
            <w:tcW w:w="38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24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0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231F20"/>
              </w:rPr>
              <w:t>Equity and other investments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Structured credit investments</w:t>
            </w:r>
          </w:p>
        </w:tc>
        <w:tc>
          <w:tcPr>
            <w:tcW w:w="100" w:type="dxa"/>
            <w:vAlign w:val="bottom"/>
            <w:tcBorders>
              <w:bottom w:val="single" w:sz="8" w:color="231F20"/>
            </w:tcBorders>
            <w:shd w:val="clear" w:color="auto" w:fill="CFEDF9"/>
          </w:tcPr>
          <w:p>
            <w:pPr>
              <w:spacing w:after="0"/>
              <w:rPr>
                <w:sz w:val="19"/>
                <w:szCs w:val="19"/>
                <w:color w:val="auto"/>
              </w:rPr>
            </w:pPr>
          </w:p>
        </w:tc>
        <w:tc>
          <w:tcPr>
            <w:tcW w:w="11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52.9</w:t>
            </w:r>
          </w:p>
        </w:tc>
        <w:tc>
          <w:tcPr>
            <w:tcW w:w="240" w:type="dxa"/>
            <w:vAlign w:val="bottom"/>
            <w:shd w:val="clear" w:color="auto" w:fill="CFEDF9"/>
          </w:tcPr>
          <w:p>
            <w:pPr>
              <w:spacing w:after="0"/>
              <w:rPr>
                <w:sz w:val="19"/>
                <w:szCs w:val="19"/>
                <w:color w:val="auto"/>
              </w:rPr>
            </w:pPr>
          </w:p>
        </w:tc>
        <w:tc>
          <w:tcPr>
            <w:tcW w:w="160" w:type="dxa"/>
            <w:vAlign w:val="bottom"/>
            <w:tcBorders>
              <w:bottom w:val="single" w:sz="8" w:color="231F20"/>
            </w:tcBorders>
            <w:shd w:val="clear" w:color="auto" w:fill="CFEDF9"/>
          </w:tcPr>
          <w:p>
            <w:pPr>
              <w:spacing w:after="0"/>
              <w:rPr>
                <w:sz w:val="19"/>
                <w:szCs w:val="19"/>
                <w:color w:val="auto"/>
              </w:rPr>
            </w:pPr>
          </w:p>
        </w:tc>
        <w:tc>
          <w:tcPr>
            <w:tcW w:w="10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55.8</w:t>
            </w:r>
          </w:p>
        </w:tc>
        <w:tc>
          <w:tcPr>
            <w:tcW w:w="220" w:type="dxa"/>
            <w:vAlign w:val="bottom"/>
            <w:shd w:val="clear" w:color="auto" w:fill="CFEDF9"/>
          </w:tcPr>
          <w:p>
            <w:pPr>
              <w:spacing w:after="0"/>
              <w:rPr>
                <w:sz w:val="19"/>
                <w:szCs w:val="19"/>
                <w:color w:val="auto"/>
              </w:rPr>
            </w:pPr>
          </w:p>
        </w:tc>
        <w:tc>
          <w:tcPr>
            <w:tcW w:w="380" w:type="dxa"/>
            <w:vAlign w:val="bottom"/>
            <w:tcBorders>
              <w:bottom w:val="single" w:sz="8" w:color="231F20"/>
            </w:tcBorders>
            <w:shd w:val="clear" w:color="auto" w:fill="CFEDF9"/>
          </w:tcPr>
          <w:p>
            <w:pPr>
              <w:spacing w:after="0"/>
              <w:rPr>
                <w:sz w:val="19"/>
                <w:szCs w:val="19"/>
                <w:color w:val="auto"/>
              </w:rPr>
            </w:pPr>
          </w:p>
        </w:tc>
        <w:tc>
          <w:tcPr>
            <w:tcW w:w="8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53.1</w:t>
            </w:r>
          </w:p>
        </w:tc>
        <w:tc>
          <w:tcPr>
            <w:tcW w:w="240" w:type="dxa"/>
            <w:vAlign w:val="bottom"/>
            <w:shd w:val="clear" w:color="auto" w:fill="CFEDF9"/>
          </w:tcPr>
          <w:p>
            <w:pPr>
              <w:spacing w:after="0"/>
              <w:rPr>
                <w:sz w:val="19"/>
                <w:szCs w:val="19"/>
                <w:color w:val="auto"/>
              </w:rPr>
            </w:pPr>
          </w:p>
        </w:tc>
        <w:tc>
          <w:tcPr>
            <w:tcW w:w="180" w:type="dxa"/>
            <w:vAlign w:val="bottom"/>
            <w:tcBorders>
              <w:bottom w:val="single" w:sz="8" w:color="231F20"/>
            </w:tcBorders>
            <w:shd w:val="clear" w:color="auto" w:fill="CFEDF9"/>
          </w:tcPr>
          <w:p>
            <w:pPr>
              <w:spacing w:after="0"/>
              <w:rPr>
                <w:sz w:val="19"/>
                <w:szCs w:val="19"/>
                <w:color w:val="auto"/>
              </w:rPr>
            </w:pPr>
          </w:p>
        </w:tc>
        <w:tc>
          <w:tcPr>
            <w:tcW w:w="10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51.4</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3,251.0</w:t>
            </w:r>
          </w:p>
        </w:tc>
        <w:tc>
          <w:tcPr>
            <w:tcW w:w="240" w:type="dxa"/>
            <w:vAlign w:val="bottom"/>
          </w:tcPr>
          <w:p>
            <w:pPr>
              <w:spacing w:after="0"/>
              <w:rPr>
                <w:sz w:val="19"/>
                <w:szCs w:val="19"/>
                <w:color w:val="auto"/>
              </w:rPr>
            </w:pP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3,283.1</w:t>
            </w:r>
          </w:p>
        </w:tc>
        <w:tc>
          <w:tcPr>
            <w:tcW w:w="220" w:type="dxa"/>
            <w:vAlign w:val="bottom"/>
          </w:tcPr>
          <w:p>
            <w:pPr>
              <w:spacing w:after="0"/>
              <w:rPr>
                <w:sz w:val="19"/>
                <w:szCs w:val="19"/>
                <w:color w:val="auto"/>
              </w:rPr>
            </w:pPr>
          </w:p>
        </w:tc>
        <w:tc>
          <w:tcPr>
            <w:tcW w:w="380" w:type="dxa"/>
            <w:vAlign w:val="bottom"/>
            <w:tcBorders>
              <w:bottom w:val="single" w:sz="8" w:color="231F20"/>
            </w:tcBorders>
          </w:tcPr>
          <w:p>
            <w:pPr>
              <w:jc w:val="right"/>
              <w:ind w:right="18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2,774.7</w:t>
            </w:r>
          </w:p>
        </w:tc>
        <w:tc>
          <w:tcPr>
            <w:tcW w:w="240" w:type="dxa"/>
            <w:vAlign w:val="bottom"/>
          </w:tcPr>
          <w:p>
            <w:pPr>
              <w:spacing w:after="0"/>
              <w:rPr>
                <w:sz w:val="19"/>
                <w:szCs w:val="19"/>
                <w:color w:val="auto"/>
              </w:rPr>
            </w:pPr>
          </w:p>
        </w:tc>
        <w:tc>
          <w:tcPr>
            <w:tcW w:w="1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66</w:t>
      </w:r>
    </w:p>
    <w:p>
      <w:pPr>
        <w:sectPr>
          <w:pgSz w:w="12240" w:h="15840" w:orient="portrait"/>
          <w:cols w:equalWidth="0" w:num="1">
            <w:col w:w="10760"/>
          </w:cols>
          <w:pgMar w:left="720" w:top="930" w:right="760" w:bottom="175" w:gutter="0" w:footer="0" w:header="0"/>
          <w:type w:val="continuous"/>
        </w:sectPr>
      </w:pPr>
    </w:p>
    <w:bookmarkStart w:id="66" w:name="page67"/>
    <w:bookmarkEnd w:id="66"/>
    <w:p>
      <w:pPr>
        <w:ind w:right="340" w:firstLine="245"/>
        <w:spacing w:after="0" w:line="277" w:lineRule="auto"/>
        <w:rPr>
          <w:sz w:val="20"/>
          <w:szCs w:val="20"/>
          <w:color w:val="auto"/>
        </w:rPr>
      </w:pPr>
      <w:r>
        <w:rPr>
          <w:rFonts w:ascii="Times New Roman" w:cs="Times New Roman" w:eastAsia="Times New Roman" w:hAnsi="Times New Roman"/>
          <w:sz w:val="20"/>
          <w:szCs w:val="20"/>
          <w:color w:val="231F20"/>
        </w:rPr>
        <w:t>The following tables show the fair value and amortized cost of our performing and non-accrual investments as of December 31, 2023 and 2022:</w:t>
      </w: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96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2640" w:type="dxa"/>
            <w:vAlign w:val="bottom"/>
            <w:tcBorders>
              <w:bottom w:val="single" w:sz="8" w:color="231F20"/>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300" w:type="dxa"/>
            <w:vAlign w:val="bottom"/>
          </w:tcPr>
          <w:p>
            <w:pPr>
              <w:spacing w:after="0"/>
              <w:rPr>
                <w:sz w:val="17"/>
                <w:szCs w:val="17"/>
                <w:color w:val="auto"/>
              </w:rPr>
            </w:pPr>
          </w:p>
        </w:tc>
        <w:tc>
          <w:tcPr>
            <w:tcW w:w="2660" w:type="dxa"/>
            <w:vAlign w:val="bottom"/>
            <w:tcBorders>
              <w:bottom w:val="single" w:sz="8" w:color="231F20"/>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0" w:type="dxa"/>
            <w:vAlign w:val="bottom"/>
          </w:tcPr>
          <w:p>
            <w:pPr>
              <w:spacing w:after="0"/>
              <w:rPr>
                <w:sz w:val="1"/>
                <w:szCs w:val="1"/>
                <w:color w:val="auto"/>
              </w:rPr>
            </w:pPr>
          </w:p>
        </w:tc>
      </w:tr>
      <w:tr>
        <w:trPr>
          <w:trHeight w:val="174"/>
        </w:trPr>
        <w:tc>
          <w:tcPr>
            <w:tcW w:w="3960" w:type="dxa"/>
            <w:vAlign w:val="bottom"/>
            <w:vMerge w:val="continue"/>
          </w:tcPr>
          <w:p>
            <w:pPr>
              <w:spacing w:after="0"/>
              <w:rPr>
                <w:sz w:val="15"/>
                <w:szCs w:val="15"/>
                <w:color w:val="auto"/>
              </w:rPr>
            </w:pPr>
          </w:p>
        </w:tc>
        <w:tc>
          <w:tcPr>
            <w:tcW w:w="1320" w:type="dxa"/>
            <w:vAlign w:val="bottom"/>
          </w:tcPr>
          <w:p>
            <w:pPr>
              <w:ind w:left="240"/>
              <w:spacing w:after="0" w:line="174" w:lineRule="exact"/>
              <w:rPr>
                <w:sz w:val="20"/>
                <w:szCs w:val="20"/>
                <w:color w:val="auto"/>
              </w:rPr>
            </w:pPr>
            <w:r>
              <w:rPr>
                <w:rFonts w:ascii="Times New Roman" w:cs="Times New Roman" w:eastAsia="Times New Roman" w:hAnsi="Times New Roman"/>
                <w:sz w:val="16"/>
                <w:szCs w:val="16"/>
                <w:b w:val="1"/>
                <w:bCs w:val="1"/>
                <w:color w:val="231F20"/>
              </w:rPr>
              <w:t>Fair Value</w:t>
            </w:r>
          </w:p>
        </w:tc>
        <w:tc>
          <w:tcPr>
            <w:tcW w:w="1320" w:type="dxa"/>
            <w:vAlign w:val="bottom"/>
          </w:tcPr>
          <w:p>
            <w:pPr>
              <w:ind w:left="340"/>
              <w:spacing w:after="0" w:line="174" w:lineRule="exact"/>
              <w:rPr>
                <w:sz w:val="20"/>
                <w:szCs w:val="20"/>
                <w:color w:val="auto"/>
              </w:rPr>
            </w:pPr>
            <w:r>
              <w:rPr>
                <w:rFonts w:ascii="Times New Roman" w:cs="Times New Roman" w:eastAsia="Times New Roman" w:hAnsi="Times New Roman"/>
                <w:sz w:val="16"/>
                <w:szCs w:val="16"/>
                <w:b w:val="1"/>
                <w:bCs w:val="1"/>
                <w:color w:val="231F20"/>
              </w:rPr>
              <w:t>Percentage</w:t>
            </w:r>
          </w:p>
        </w:tc>
        <w:tc>
          <w:tcPr>
            <w:tcW w:w="300" w:type="dxa"/>
            <w:vAlign w:val="bottom"/>
          </w:tcPr>
          <w:p>
            <w:pPr>
              <w:spacing w:after="0"/>
              <w:rPr>
                <w:sz w:val="15"/>
                <w:szCs w:val="15"/>
                <w:color w:val="auto"/>
              </w:rPr>
            </w:pPr>
          </w:p>
        </w:tc>
        <w:tc>
          <w:tcPr>
            <w:tcW w:w="1320" w:type="dxa"/>
            <w:vAlign w:val="bottom"/>
          </w:tcPr>
          <w:p>
            <w:pPr>
              <w:ind w:left="260"/>
              <w:spacing w:after="0" w:line="174" w:lineRule="exact"/>
              <w:rPr>
                <w:sz w:val="20"/>
                <w:szCs w:val="20"/>
                <w:color w:val="auto"/>
              </w:rPr>
            </w:pPr>
            <w:r>
              <w:rPr>
                <w:rFonts w:ascii="Times New Roman" w:cs="Times New Roman" w:eastAsia="Times New Roman" w:hAnsi="Times New Roman"/>
                <w:sz w:val="16"/>
                <w:szCs w:val="16"/>
                <w:b w:val="1"/>
                <w:bCs w:val="1"/>
                <w:color w:val="231F20"/>
              </w:rPr>
              <w:t>Fair Value</w:t>
            </w:r>
          </w:p>
        </w:tc>
        <w:tc>
          <w:tcPr>
            <w:tcW w:w="1340" w:type="dxa"/>
            <w:vAlign w:val="bottom"/>
          </w:tcPr>
          <w:p>
            <w:pPr>
              <w:ind w:left="340"/>
              <w:spacing w:after="0" w:line="174" w:lineRule="exact"/>
              <w:rPr>
                <w:sz w:val="20"/>
                <w:szCs w:val="20"/>
                <w:color w:val="auto"/>
              </w:rPr>
            </w:pPr>
            <w:r>
              <w:rPr>
                <w:rFonts w:ascii="Times New Roman" w:cs="Times New Roman" w:eastAsia="Times New Roman" w:hAnsi="Times New Roman"/>
                <w:sz w:val="16"/>
                <w:szCs w:val="16"/>
                <w:b w:val="1"/>
                <w:bCs w:val="1"/>
                <w:color w:val="231F20"/>
              </w:rPr>
              <w:t>Percentage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3763010</wp:posOffset>
                </wp:positionH>
                <wp:positionV relativeFrom="paragraph">
                  <wp:posOffset>6350</wp:posOffset>
                </wp:positionV>
                <wp:extent cx="770255" cy="14541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5415"/>
                        </a:xfrm>
                        <a:prstGeom prst="rect">
                          <a:avLst/>
                        </a:prstGeom>
                        <a:solidFill>
                          <a:srgbClr val="CFEDF9"/>
                        </a:solidFill>
                      </wps:spPr>
                      <wps:bodyPr/>
                    </wps:wsp>
                  </a:graphicData>
                </a:graphic>
              </wp:anchor>
            </w:drawing>
          </mc:Choice>
          <mc:Fallback>
            <w:pict>
              <v:rect id="Shape 15" o:spid="_x0000_s1040" style="position:absolute;margin-left:296.3pt;margin-top:0.5pt;width:60.6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4533265</wp:posOffset>
                </wp:positionH>
                <wp:positionV relativeFrom="paragraph">
                  <wp:posOffset>0</wp:posOffset>
                </wp:positionV>
                <wp:extent cx="196215" cy="15176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215" cy="151765"/>
                        </a:xfrm>
                        <a:prstGeom prst="rect">
                          <a:avLst/>
                        </a:prstGeom>
                        <a:solidFill>
                          <a:srgbClr val="CFEDF9"/>
                        </a:solidFill>
                      </wps:spPr>
                      <wps:bodyPr/>
                    </wps:wsp>
                  </a:graphicData>
                </a:graphic>
              </wp:anchor>
            </w:drawing>
          </mc:Choice>
          <mc:Fallback>
            <w:pict>
              <v:rect id="Shape 16" o:spid="_x0000_s1041" style="position:absolute;margin-left:356.95pt;margin-top:0pt;width:15.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5637530</wp:posOffset>
                </wp:positionH>
                <wp:positionV relativeFrom="paragraph">
                  <wp:posOffset>6350</wp:posOffset>
                </wp:positionV>
                <wp:extent cx="770255" cy="14541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5415"/>
                        </a:xfrm>
                        <a:prstGeom prst="rect">
                          <a:avLst/>
                        </a:prstGeom>
                        <a:solidFill>
                          <a:srgbClr val="CFEDF9"/>
                        </a:solidFill>
                      </wps:spPr>
                      <wps:bodyPr/>
                    </wps:wsp>
                  </a:graphicData>
                </a:graphic>
              </wp:anchor>
            </w:drawing>
          </mc:Choice>
          <mc:Fallback>
            <w:pict>
              <v:rect id="Shape 17" o:spid="_x0000_s1042" style="position:absolute;margin-left:443.9pt;margin-top:0.5pt;width:60.6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tbl>
      <w:tblPr>
        <w:tblLayout w:type="fixed"/>
        <w:tblInd w:w="540" w:type="dxa"/>
        <w:tblCellMar>
          <w:top w:w="0" w:type="dxa"/>
          <w:left w:w="0" w:type="dxa"/>
          <w:bottom w:w="0" w:type="dxa"/>
          <w:right w:w="0" w:type="dxa"/>
        </w:tblCellMar>
      </w:tblPr>
      <w:tr>
        <w:trPr>
          <w:trHeight w:val="20"/>
        </w:trPr>
        <w:tc>
          <w:tcPr>
            <w:tcW w:w="3960" w:type="dxa"/>
            <w:vAlign w:val="bottom"/>
            <w:shd w:val="clear" w:color="auto" w:fill="CFEDF9"/>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200" w:type="dxa"/>
            <w:vAlign w:val="bottom"/>
            <w:tcBorders>
              <w:right w:val="single" w:sz="8" w:color="231F20"/>
            </w:tcBorders>
            <w:shd w:val="clear" w:color="auto" w:fill="CFEDF9"/>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20" w:type="dxa"/>
            <w:vAlign w:val="bottom"/>
            <w:tcBorders>
              <w:right w:val="single" w:sz="8" w:color="231F20"/>
            </w:tcBorders>
            <w:shd w:val="clear" w:color="auto" w:fill="CFEDF9"/>
          </w:tcPr>
          <w:p>
            <w:pPr>
              <w:spacing w:after="0" w:line="20" w:lineRule="exact"/>
              <w:rPr>
                <w:sz w:val="1"/>
                <w:szCs w:val="1"/>
                <w:color w:val="auto"/>
              </w:rPr>
            </w:pPr>
          </w:p>
        </w:tc>
        <w:tc>
          <w:tcPr>
            <w:tcW w:w="120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960" w:type="dxa"/>
            <w:vAlign w:val="bottom"/>
            <w:shd w:val="clear" w:color="auto" w:fill="CFEDF9"/>
          </w:tcPr>
          <w:p>
            <w:pPr>
              <w:spacing w:after="0" w:line="200" w:lineRule="exact"/>
              <w:rPr>
                <w:sz w:val="20"/>
                <w:szCs w:val="20"/>
                <w:color w:val="auto"/>
              </w:rPr>
            </w:pPr>
            <w:r>
              <w:rPr>
                <w:rFonts w:ascii="Times New Roman" w:cs="Times New Roman" w:eastAsia="Times New Roman" w:hAnsi="Times New Roman"/>
                <w:sz w:val="20"/>
                <w:szCs w:val="20"/>
                <w:color w:val="231F20"/>
              </w:rPr>
              <w:t>Performing</w:t>
            </w:r>
          </w:p>
        </w:tc>
        <w:tc>
          <w:tcPr>
            <w:tcW w:w="100" w:type="dxa"/>
            <w:vAlign w:val="bottom"/>
            <w:shd w:val="clear" w:color="auto" w:fill="CFEDF9"/>
          </w:tcPr>
          <w:p>
            <w:pPr>
              <w:jc w:val="right"/>
              <w:spacing w:after="0" w:line="20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140" w:type="dxa"/>
            <w:vAlign w:val="bottom"/>
            <w:shd w:val="clear" w:color="auto" w:fill="CFEDF9"/>
          </w:tcPr>
          <w:p>
            <w:pPr>
              <w:jc w:val="right"/>
              <w:spacing w:after="0" w:line="200" w:lineRule="exact"/>
              <w:rPr>
                <w:sz w:val="20"/>
                <w:szCs w:val="20"/>
                <w:color w:val="auto"/>
              </w:rPr>
            </w:pPr>
            <w:r>
              <w:rPr>
                <w:rFonts w:ascii="Times New Roman" w:cs="Times New Roman" w:eastAsia="Times New Roman" w:hAnsi="Times New Roman"/>
                <w:sz w:val="20"/>
                <w:szCs w:val="20"/>
                <w:color w:val="231F20"/>
              </w:rPr>
              <w:t>3,262.4</w:t>
            </w:r>
          </w:p>
        </w:tc>
        <w:tc>
          <w:tcPr>
            <w:tcW w:w="200" w:type="dxa"/>
            <w:vAlign w:val="bottom"/>
            <w:tcBorders>
              <w:right w:val="single" w:sz="8" w:color="CFEDF9"/>
            </w:tcBorders>
            <w:shd w:val="clear" w:color="auto" w:fill="CFEDF9"/>
          </w:tcPr>
          <w:p>
            <w:pPr>
              <w:spacing w:after="0"/>
              <w:rPr>
                <w:sz w:val="17"/>
                <w:szCs w:val="17"/>
                <w:color w:val="auto"/>
              </w:rPr>
            </w:pPr>
          </w:p>
        </w:tc>
        <w:tc>
          <w:tcPr>
            <w:tcW w:w="1500" w:type="dxa"/>
            <w:vAlign w:val="bottom"/>
            <w:gridSpan w:val="2"/>
          </w:tcPr>
          <w:p>
            <w:pPr>
              <w:jc w:val="right"/>
              <w:ind w:right="140"/>
              <w:spacing w:after="0" w:line="200" w:lineRule="exact"/>
              <w:rPr>
                <w:sz w:val="20"/>
                <w:szCs w:val="20"/>
                <w:color w:val="auto"/>
              </w:rPr>
            </w:pPr>
            <w:r>
              <w:rPr>
                <w:rFonts w:ascii="Times New Roman" w:cs="Times New Roman" w:eastAsia="Times New Roman" w:hAnsi="Times New Roman"/>
                <w:sz w:val="20"/>
                <w:szCs w:val="20"/>
                <w:color w:val="231F20"/>
              </w:rPr>
              <w:t>99.4%</w:t>
            </w:r>
          </w:p>
        </w:tc>
        <w:tc>
          <w:tcPr>
            <w:tcW w:w="380" w:type="dxa"/>
            <w:vAlign w:val="bottom"/>
            <w:shd w:val="clear" w:color="auto" w:fill="CFEDF9"/>
          </w:tcPr>
          <w:p>
            <w:pPr>
              <w:jc w:val="right"/>
              <w:ind w:right="184"/>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CFEDF9"/>
          </w:tcPr>
          <w:p>
            <w:pPr>
              <w:jc w:val="right"/>
              <w:spacing w:after="0" w:line="200" w:lineRule="exact"/>
              <w:rPr>
                <w:sz w:val="20"/>
                <w:szCs w:val="20"/>
                <w:color w:val="auto"/>
              </w:rPr>
            </w:pPr>
            <w:r>
              <w:rPr>
                <w:rFonts w:ascii="Times New Roman" w:cs="Times New Roman" w:eastAsia="Times New Roman" w:hAnsi="Times New Roman"/>
                <w:sz w:val="20"/>
                <w:szCs w:val="20"/>
                <w:color w:val="231F20"/>
              </w:rPr>
              <w:t>2,787.7</w:t>
            </w:r>
          </w:p>
        </w:tc>
        <w:tc>
          <w:tcPr>
            <w:tcW w:w="220" w:type="dxa"/>
            <w:vAlign w:val="bottom"/>
            <w:tcBorders>
              <w:right w:val="single" w:sz="8" w:color="CFEDF9"/>
            </w:tcBorders>
            <w:shd w:val="clear" w:color="auto" w:fill="CFEDF9"/>
          </w:tcPr>
          <w:p>
            <w:pPr>
              <w:spacing w:after="0"/>
              <w:rPr>
                <w:sz w:val="17"/>
                <w:szCs w:val="17"/>
                <w:color w:val="auto"/>
              </w:rPr>
            </w:pPr>
          </w:p>
        </w:tc>
        <w:tc>
          <w:tcPr>
            <w:tcW w:w="13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FEDF9"/>
            </w:tcBorders>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Non-accrual </w:t>
            </w:r>
            <w:r>
              <w:rPr>
                <w:rFonts w:ascii="Times New Roman" w:cs="Times New Roman" w:eastAsia="Times New Roman" w:hAnsi="Times New Roman"/>
                <w:sz w:val="26"/>
                <w:szCs w:val="26"/>
                <w:color w:val="231F20"/>
                <w:vertAlign w:val="superscript"/>
              </w:rPr>
              <w:t>(1)</w:t>
            </w:r>
          </w:p>
        </w:tc>
        <w:tc>
          <w:tcPr>
            <w:tcW w:w="10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200" w:type="dxa"/>
            <w:vAlign w:val="bottom"/>
            <w:tcBorders>
              <w:bottom w:val="single" w:sz="8" w:color="CFEDF9"/>
            </w:tcBorders>
          </w:tcPr>
          <w:p>
            <w:pPr>
              <w:spacing w:after="0"/>
              <w:rPr>
                <w:sz w:val="19"/>
                <w:szCs w:val="19"/>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30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220" w:type="dxa"/>
            <w:vAlign w:val="bottom"/>
            <w:tcBorders>
              <w:bottom w:val="single" w:sz="8" w:color="CFEDF9"/>
            </w:tcBorders>
          </w:tcPr>
          <w:p>
            <w:pPr>
              <w:spacing w:after="0"/>
              <w:rPr>
                <w:sz w:val="19"/>
                <w:szCs w:val="19"/>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3,283.1</w:t>
            </w:r>
          </w:p>
        </w:tc>
        <w:tc>
          <w:tcPr>
            <w:tcW w:w="200" w:type="dxa"/>
            <w:vAlign w:val="bottom"/>
            <w:tcBorders>
              <w:right w:val="single" w:sz="8" w:color="CFEDF9"/>
            </w:tcBorders>
            <w:shd w:val="clear" w:color="auto" w:fill="CFEDF9"/>
          </w:tcPr>
          <w:p>
            <w:pPr>
              <w:spacing w:after="0"/>
              <w:rPr>
                <w:sz w:val="19"/>
                <w:szCs w:val="19"/>
                <w:color w:val="auto"/>
              </w:rPr>
            </w:pPr>
          </w:p>
        </w:tc>
        <w:tc>
          <w:tcPr>
            <w:tcW w:w="150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380" w:type="dxa"/>
            <w:vAlign w:val="bottom"/>
            <w:shd w:val="clear" w:color="auto" w:fill="CFEDF9"/>
          </w:tcPr>
          <w:p>
            <w:pPr>
              <w:jc w:val="right"/>
              <w:ind w:right="184"/>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2,787.9</w:t>
            </w:r>
          </w:p>
        </w:tc>
        <w:tc>
          <w:tcPr>
            <w:tcW w:w="220" w:type="dxa"/>
            <w:vAlign w:val="bottom"/>
            <w:tcBorders>
              <w:right w:val="single" w:sz="8" w:color="CFEDF9"/>
            </w:tcBorders>
            <w:shd w:val="clear" w:color="auto" w:fill="CFEDF9"/>
          </w:tcPr>
          <w:p>
            <w:pPr>
              <w:spacing w:after="0"/>
              <w:rPr>
                <w:sz w:val="19"/>
                <w:szCs w:val="19"/>
                <w:color w:val="auto"/>
              </w:rPr>
            </w:pPr>
          </w:p>
        </w:tc>
        <w:tc>
          <w:tcPr>
            <w:tcW w:w="13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6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100" w:type="dxa"/>
            <w:vAlign w:val="bottom"/>
          </w:tcPr>
          <w:p>
            <w:pPr>
              <w:spacing w:after="0"/>
              <w:rPr>
                <w:sz w:val="24"/>
                <w:szCs w:val="24"/>
                <w:color w:val="auto"/>
              </w:rPr>
            </w:pPr>
          </w:p>
        </w:tc>
        <w:tc>
          <w:tcPr>
            <w:tcW w:w="2840" w:type="dxa"/>
            <w:vAlign w:val="bottom"/>
            <w:gridSpan w:val="4"/>
          </w:tcPr>
          <w:p>
            <w:pPr>
              <w:jc w:val="right"/>
              <w:ind w:right="98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380" w:type="dxa"/>
            <w:vAlign w:val="bottom"/>
          </w:tcPr>
          <w:p>
            <w:pPr>
              <w:spacing w:after="0"/>
              <w:rPr>
                <w:sz w:val="24"/>
                <w:szCs w:val="24"/>
                <w:color w:val="auto"/>
              </w:rPr>
            </w:pPr>
          </w:p>
        </w:tc>
        <w:tc>
          <w:tcPr>
            <w:tcW w:w="244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0" w:type="dxa"/>
            <w:vAlign w:val="bottom"/>
          </w:tcPr>
          <w:p>
            <w:pPr>
              <w:spacing w:after="0"/>
              <w:rPr>
                <w:sz w:val="1"/>
                <w:szCs w:val="1"/>
                <w:color w:val="auto"/>
              </w:rPr>
            </w:pPr>
          </w:p>
        </w:tc>
      </w:tr>
      <w:tr>
        <w:trPr>
          <w:trHeight w:val="174"/>
        </w:trPr>
        <w:tc>
          <w:tcPr>
            <w:tcW w:w="3960" w:type="dxa"/>
            <w:vAlign w:val="bottom"/>
            <w:tcBorders>
              <w:bottom w:val="single" w:sz="8" w:color="CFEDF9"/>
            </w:tcBorders>
            <w:vMerge w:val="continue"/>
          </w:tcPr>
          <w:p>
            <w:pPr>
              <w:spacing w:after="0"/>
              <w:rPr>
                <w:sz w:val="15"/>
                <w:szCs w:val="15"/>
                <w:color w:val="auto"/>
              </w:rPr>
            </w:pPr>
          </w:p>
        </w:tc>
        <w:tc>
          <w:tcPr>
            <w:tcW w:w="1240" w:type="dxa"/>
            <w:vAlign w:val="bottom"/>
            <w:tcBorders>
              <w:top w:val="single" w:sz="8" w:color="231F20"/>
              <w:bottom w:val="single" w:sz="8" w:color="231F20"/>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Amortized Cost</w:t>
            </w:r>
          </w:p>
        </w:tc>
        <w:tc>
          <w:tcPr>
            <w:tcW w:w="200" w:type="dxa"/>
            <w:vAlign w:val="bottom"/>
            <w:tcBorders>
              <w:top w:val="single" w:sz="8" w:color="231F20"/>
              <w:bottom w:val="single" w:sz="8" w:color="CFEDF9"/>
            </w:tcBorders>
          </w:tcPr>
          <w:p>
            <w:pPr>
              <w:spacing w:after="0"/>
              <w:rPr>
                <w:sz w:val="15"/>
                <w:szCs w:val="15"/>
                <w:color w:val="auto"/>
              </w:rPr>
            </w:pPr>
          </w:p>
        </w:tc>
        <w:tc>
          <w:tcPr>
            <w:tcW w:w="1200" w:type="dxa"/>
            <w:vAlign w:val="bottom"/>
            <w:tcBorders>
              <w:top w:val="single" w:sz="8" w:color="231F20"/>
              <w:bottom w:val="single" w:sz="8" w:color="231F20"/>
            </w:tcBorders>
          </w:tcPr>
          <w:p>
            <w:pPr>
              <w:jc w:val="right"/>
              <w:ind w:right="123"/>
              <w:spacing w:after="0" w:line="174" w:lineRule="exact"/>
              <w:rPr>
                <w:sz w:val="20"/>
                <w:szCs w:val="20"/>
                <w:color w:val="auto"/>
              </w:rPr>
            </w:pPr>
            <w:r>
              <w:rPr>
                <w:rFonts w:ascii="Times New Roman" w:cs="Times New Roman" w:eastAsia="Times New Roman" w:hAnsi="Times New Roman"/>
                <w:sz w:val="16"/>
                <w:szCs w:val="16"/>
                <w:b w:val="1"/>
                <w:bCs w:val="1"/>
                <w:color w:val="231F20"/>
              </w:rPr>
              <w:t>Percentage</w:t>
            </w:r>
          </w:p>
        </w:tc>
        <w:tc>
          <w:tcPr>
            <w:tcW w:w="300" w:type="dxa"/>
            <w:vAlign w:val="bottom"/>
          </w:tcPr>
          <w:p>
            <w:pPr>
              <w:spacing w:after="0"/>
              <w:rPr>
                <w:sz w:val="15"/>
                <w:szCs w:val="15"/>
                <w:color w:val="auto"/>
              </w:rPr>
            </w:pPr>
          </w:p>
        </w:tc>
        <w:tc>
          <w:tcPr>
            <w:tcW w:w="1240" w:type="dxa"/>
            <w:vAlign w:val="bottom"/>
            <w:tcBorders>
              <w:top w:val="single" w:sz="8" w:color="231F20"/>
              <w:bottom w:val="single" w:sz="8" w:color="231F20"/>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Amortized Cost</w:t>
            </w:r>
          </w:p>
        </w:tc>
        <w:tc>
          <w:tcPr>
            <w:tcW w:w="220" w:type="dxa"/>
            <w:vAlign w:val="bottom"/>
            <w:tcBorders>
              <w:top w:val="single" w:sz="8" w:color="231F20"/>
              <w:bottom w:val="single" w:sz="8" w:color="CFEDF9"/>
            </w:tcBorders>
          </w:tcPr>
          <w:p>
            <w:pPr>
              <w:spacing w:after="0"/>
              <w:rPr>
                <w:sz w:val="15"/>
                <w:szCs w:val="15"/>
                <w:color w:val="auto"/>
              </w:rPr>
            </w:pPr>
          </w:p>
        </w:tc>
        <w:tc>
          <w:tcPr>
            <w:tcW w:w="1200" w:type="dxa"/>
            <w:vAlign w:val="bottom"/>
            <w:tcBorders>
              <w:top w:val="single" w:sz="8" w:color="231F20"/>
              <w:bottom w:val="single" w:sz="8" w:color="231F20"/>
            </w:tcBorders>
          </w:tcPr>
          <w:p>
            <w:pPr>
              <w:jc w:val="right"/>
              <w:ind w:right="143"/>
              <w:spacing w:after="0" w:line="174" w:lineRule="exact"/>
              <w:rPr>
                <w:sz w:val="20"/>
                <w:szCs w:val="20"/>
                <w:color w:val="auto"/>
              </w:rPr>
            </w:pPr>
            <w:r>
              <w:rPr>
                <w:rFonts w:ascii="Times New Roman" w:cs="Times New Roman" w:eastAsia="Times New Roman" w:hAnsi="Times New Roman"/>
                <w:sz w:val="16"/>
                <w:szCs w:val="16"/>
                <w:b w:val="1"/>
                <w:bCs w:val="1"/>
                <w:color w:val="231F20"/>
              </w:rPr>
              <w:t>Percentage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Performing</w:t>
            </w:r>
          </w:p>
        </w:tc>
        <w:tc>
          <w:tcPr>
            <w:tcW w:w="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3,222.9</w:t>
            </w:r>
          </w:p>
        </w:tc>
        <w:tc>
          <w:tcPr>
            <w:tcW w:w="200" w:type="dxa"/>
            <w:vAlign w:val="bottom"/>
            <w:tcBorders>
              <w:right w:val="single" w:sz="8" w:color="CFEDF9"/>
            </w:tcBorders>
            <w:shd w:val="clear" w:color="auto" w:fill="CFEDF9"/>
          </w:tcPr>
          <w:p>
            <w:pPr>
              <w:spacing w:after="0"/>
              <w:rPr>
                <w:sz w:val="19"/>
                <w:szCs w:val="19"/>
                <w:color w:val="auto"/>
              </w:rPr>
            </w:pPr>
          </w:p>
        </w:tc>
        <w:tc>
          <w:tcPr>
            <w:tcW w:w="150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99.1%</w:t>
            </w:r>
          </w:p>
        </w:tc>
        <w:tc>
          <w:tcPr>
            <w:tcW w:w="380" w:type="dxa"/>
            <w:vAlign w:val="bottom"/>
            <w:shd w:val="clear" w:color="auto" w:fill="CFEDF9"/>
          </w:tcPr>
          <w:p>
            <w:pPr>
              <w:jc w:val="right"/>
              <w:ind w:right="184"/>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2,772.8</w:t>
            </w:r>
          </w:p>
        </w:tc>
        <w:tc>
          <w:tcPr>
            <w:tcW w:w="220" w:type="dxa"/>
            <w:vAlign w:val="bottom"/>
            <w:tcBorders>
              <w:right w:val="single" w:sz="8" w:color="CFEDF9"/>
            </w:tcBorders>
            <w:shd w:val="clear" w:color="auto" w:fill="CFEDF9"/>
          </w:tcPr>
          <w:p>
            <w:pPr>
              <w:spacing w:after="0"/>
              <w:rPr>
                <w:sz w:val="19"/>
                <w:szCs w:val="19"/>
                <w:color w:val="auto"/>
              </w:rPr>
            </w:pPr>
          </w:p>
        </w:tc>
        <w:tc>
          <w:tcPr>
            <w:tcW w:w="13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99.9%</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FEDF9"/>
            </w:tcBorders>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Non-accrual </w:t>
            </w:r>
            <w:r>
              <w:rPr>
                <w:rFonts w:ascii="Times New Roman" w:cs="Times New Roman" w:eastAsia="Times New Roman" w:hAnsi="Times New Roman"/>
                <w:sz w:val="26"/>
                <w:szCs w:val="26"/>
                <w:color w:val="231F20"/>
                <w:vertAlign w:val="superscript"/>
              </w:rPr>
              <w:t>(1)</w:t>
            </w:r>
          </w:p>
        </w:tc>
        <w:tc>
          <w:tcPr>
            <w:tcW w:w="10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200" w:type="dxa"/>
            <w:vAlign w:val="bottom"/>
            <w:tcBorders>
              <w:bottom w:val="single" w:sz="8" w:color="CFEDF9"/>
            </w:tcBorders>
          </w:tcPr>
          <w:p>
            <w:pPr>
              <w:spacing w:after="0"/>
              <w:rPr>
                <w:sz w:val="19"/>
                <w:szCs w:val="19"/>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0.9</w:t>
            </w:r>
          </w:p>
        </w:tc>
        <w:tc>
          <w:tcPr>
            <w:tcW w:w="300" w:type="dxa"/>
            <w:vAlign w:val="bottom"/>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220" w:type="dxa"/>
            <w:vAlign w:val="bottom"/>
            <w:tcBorders>
              <w:bottom w:val="single" w:sz="8" w:color="CFEDF9"/>
            </w:tcBorders>
          </w:tcPr>
          <w:p>
            <w:pPr>
              <w:spacing w:after="0"/>
              <w:rPr>
                <w:sz w:val="19"/>
                <w:szCs w:val="19"/>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3,251.0</w:t>
            </w:r>
          </w:p>
        </w:tc>
        <w:tc>
          <w:tcPr>
            <w:tcW w:w="200" w:type="dxa"/>
            <w:vAlign w:val="bottom"/>
            <w:tcBorders>
              <w:right w:val="single" w:sz="8" w:color="CFEDF9"/>
            </w:tcBorders>
            <w:shd w:val="clear" w:color="auto" w:fill="CFEDF9"/>
          </w:tcPr>
          <w:p>
            <w:pPr>
              <w:spacing w:after="0"/>
              <w:rPr>
                <w:sz w:val="19"/>
                <w:szCs w:val="19"/>
                <w:color w:val="auto"/>
              </w:rPr>
            </w:pPr>
          </w:p>
        </w:tc>
        <w:tc>
          <w:tcPr>
            <w:tcW w:w="150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380" w:type="dxa"/>
            <w:vAlign w:val="bottom"/>
            <w:shd w:val="clear" w:color="auto" w:fill="CFEDF9"/>
          </w:tcPr>
          <w:p>
            <w:pPr>
              <w:jc w:val="right"/>
              <w:ind w:right="184"/>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2,774.7</w:t>
            </w:r>
          </w:p>
        </w:tc>
        <w:tc>
          <w:tcPr>
            <w:tcW w:w="220" w:type="dxa"/>
            <w:vAlign w:val="bottom"/>
            <w:tcBorders>
              <w:right w:val="single" w:sz="8" w:color="CFEDF9"/>
            </w:tcBorders>
            <w:shd w:val="clear" w:color="auto" w:fill="CFEDF9"/>
          </w:tcPr>
          <w:p>
            <w:pPr>
              <w:spacing w:after="0"/>
              <w:rPr>
                <w:sz w:val="19"/>
                <w:szCs w:val="19"/>
                <w:color w:val="auto"/>
              </w:rPr>
            </w:pPr>
          </w:p>
        </w:tc>
        <w:tc>
          <w:tcPr>
            <w:tcW w:w="13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3763010</wp:posOffset>
                </wp:positionH>
                <wp:positionV relativeFrom="paragraph">
                  <wp:posOffset>-1039495</wp:posOffset>
                </wp:positionV>
                <wp:extent cx="770255" cy="14605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6050"/>
                        </a:xfrm>
                        <a:prstGeom prst="rect">
                          <a:avLst/>
                        </a:prstGeom>
                        <a:solidFill>
                          <a:srgbClr val="CFEDF9"/>
                        </a:solidFill>
                      </wps:spPr>
                      <wps:bodyPr/>
                    </wps:wsp>
                  </a:graphicData>
                </a:graphic>
              </wp:anchor>
            </w:drawing>
          </mc:Choice>
          <mc:Fallback>
            <w:pict>
              <v:rect id="Shape 18" o:spid="_x0000_s1043" style="position:absolute;margin-left:296.3pt;margin-top:-81.8499pt;width:60.6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4533265</wp:posOffset>
                </wp:positionH>
                <wp:positionV relativeFrom="paragraph">
                  <wp:posOffset>-1045845</wp:posOffset>
                </wp:positionV>
                <wp:extent cx="196215" cy="1524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215" cy="152400"/>
                        </a:xfrm>
                        <a:prstGeom prst="rect">
                          <a:avLst/>
                        </a:prstGeom>
                        <a:solidFill>
                          <a:srgbClr val="CFEDF9"/>
                        </a:solidFill>
                      </wps:spPr>
                      <wps:bodyPr/>
                    </wps:wsp>
                  </a:graphicData>
                </a:graphic>
              </wp:anchor>
            </w:drawing>
          </mc:Choice>
          <mc:Fallback>
            <w:pict>
              <v:rect id="Shape 19" o:spid="_x0000_s1044" style="position:absolute;margin-left:356.95pt;margin-top:-82.3499pt;width:15.4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5637530</wp:posOffset>
                </wp:positionH>
                <wp:positionV relativeFrom="paragraph">
                  <wp:posOffset>-1039495</wp:posOffset>
                </wp:positionV>
                <wp:extent cx="770255" cy="1460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6050"/>
                        </a:xfrm>
                        <a:prstGeom prst="rect">
                          <a:avLst/>
                        </a:prstGeom>
                        <a:solidFill>
                          <a:srgbClr val="CFEDF9"/>
                        </a:solidFill>
                      </wps:spPr>
                      <wps:bodyPr/>
                    </wps:wsp>
                  </a:graphicData>
                </a:graphic>
              </wp:anchor>
            </w:drawing>
          </mc:Choice>
          <mc:Fallback>
            <w:pict>
              <v:rect id="Shape 20" o:spid="_x0000_s1045" style="position:absolute;margin-left:443.9pt;margin-top:-81.8499pt;width:60.6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3763010</wp:posOffset>
                </wp:positionH>
                <wp:positionV relativeFrom="paragraph">
                  <wp:posOffset>-472440</wp:posOffset>
                </wp:positionV>
                <wp:extent cx="770255" cy="14605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6050"/>
                        </a:xfrm>
                        <a:prstGeom prst="rect">
                          <a:avLst/>
                        </a:prstGeom>
                        <a:solidFill>
                          <a:srgbClr val="CFEDF9"/>
                        </a:solidFill>
                      </wps:spPr>
                      <wps:bodyPr/>
                    </wps:wsp>
                  </a:graphicData>
                </a:graphic>
              </wp:anchor>
            </w:drawing>
          </mc:Choice>
          <mc:Fallback>
            <w:pict>
              <v:rect id="Shape 21" o:spid="_x0000_s1046" style="position:absolute;margin-left:296.3pt;margin-top:-37.1999pt;width:60.6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4533265</wp:posOffset>
                </wp:positionH>
                <wp:positionV relativeFrom="paragraph">
                  <wp:posOffset>-478790</wp:posOffset>
                </wp:positionV>
                <wp:extent cx="196215" cy="1524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215" cy="152400"/>
                        </a:xfrm>
                        <a:prstGeom prst="rect">
                          <a:avLst/>
                        </a:prstGeom>
                        <a:solidFill>
                          <a:srgbClr val="CFEDF9"/>
                        </a:solidFill>
                      </wps:spPr>
                      <wps:bodyPr/>
                    </wps:wsp>
                  </a:graphicData>
                </a:graphic>
              </wp:anchor>
            </w:drawing>
          </mc:Choice>
          <mc:Fallback>
            <w:pict>
              <v:rect id="Shape 22" o:spid="_x0000_s1047" style="position:absolute;margin-left:356.95pt;margin-top:-37.6999pt;width:15.4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5637530</wp:posOffset>
                </wp:positionH>
                <wp:positionV relativeFrom="paragraph">
                  <wp:posOffset>-472440</wp:posOffset>
                </wp:positionV>
                <wp:extent cx="770255" cy="14605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6050"/>
                        </a:xfrm>
                        <a:prstGeom prst="rect">
                          <a:avLst/>
                        </a:prstGeom>
                        <a:solidFill>
                          <a:srgbClr val="CFEDF9"/>
                        </a:solidFill>
                      </wps:spPr>
                      <wps:bodyPr/>
                    </wps:wsp>
                  </a:graphicData>
                </a:graphic>
              </wp:anchor>
            </w:drawing>
          </mc:Choice>
          <mc:Fallback>
            <w:pict>
              <v:rect id="Shape 23" o:spid="_x0000_s1048" style="position:absolute;margin-left:443.9pt;margin-top:-37.1999pt;width:60.6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3763010</wp:posOffset>
                </wp:positionH>
                <wp:positionV relativeFrom="paragraph">
                  <wp:posOffset>-173990</wp:posOffset>
                </wp:positionV>
                <wp:extent cx="770255" cy="14541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5415"/>
                        </a:xfrm>
                        <a:prstGeom prst="rect">
                          <a:avLst/>
                        </a:prstGeom>
                        <a:solidFill>
                          <a:srgbClr val="CFEDF9"/>
                        </a:solidFill>
                      </wps:spPr>
                      <wps:bodyPr/>
                    </wps:wsp>
                  </a:graphicData>
                </a:graphic>
              </wp:anchor>
            </w:drawing>
          </mc:Choice>
          <mc:Fallback>
            <w:pict>
              <v:rect id="Shape 24" o:spid="_x0000_s1049" style="position:absolute;margin-left:296.3pt;margin-top:-13.6999pt;width:60.6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4533265</wp:posOffset>
                </wp:positionH>
                <wp:positionV relativeFrom="paragraph">
                  <wp:posOffset>-180340</wp:posOffset>
                </wp:positionV>
                <wp:extent cx="196215" cy="15176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215" cy="151765"/>
                        </a:xfrm>
                        <a:prstGeom prst="rect">
                          <a:avLst/>
                        </a:prstGeom>
                        <a:solidFill>
                          <a:srgbClr val="CFEDF9"/>
                        </a:solidFill>
                      </wps:spPr>
                      <wps:bodyPr/>
                    </wps:wsp>
                  </a:graphicData>
                </a:graphic>
              </wp:anchor>
            </w:drawing>
          </mc:Choice>
          <mc:Fallback>
            <w:pict>
              <v:rect id="Shape 25" o:spid="_x0000_s1050" style="position:absolute;margin-left:356.95pt;margin-top:-14.1999pt;width:15.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5637530</wp:posOffset>
                </wp:positionH>
                <wp:positionV relativeFrom="paragraph">
                  <wp:posOffset>-173990</wp:posOffset>
                </wp:positionV>
                <wp:extent cx="770255" cy="14541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145415"/>
                        </a:xfrm>
                        <a:prstGeom prst="rect">
                          <a:avLst/>
                        </a:prstGeom>
                        <a:solidFill>
                          <a:srgbClr val="CFEDF9"/>
                        </a:solidFill>
                      </wps:spPr>
                      <wps:bodyPr/>
                    </wps:wsp>
                  </a:graphicData>
                </a:graphic>
              </wp:anchor>
            </w:drawing>
          </mc:Choice>
          <mc:Fallback>
            <w:pict>
              <v:rect id="Shape 26" o:spid="_x0000_s1051" style="position:absolute;margin-left:443.9pt;margin-top:-13.6999pt;width:60.6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pacing w:after="0" w:line="191" w:lineRule="exact"/>
        <w:rPr>
          <w:sz w:val="20"/>
          <w:szCs w:val="20"/>
          <w:color w:val="auto"/>
        </w:rPr>
      </w:pPr>
    </w:p>
    <w:p>
      <w:pPr>
        <w:ind w:left="500" w:right="60" w:hanging="500"/>
        <w:spacing w:after="0" w:line="246" w:lineRule="auto"/>
        <w:tabs>
          <w:tab w:leader="none" w:pos="50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20"/>
          <w:szCs w:val="20"/>
          <w:i w:val="1"/>
          <w:iCs w:val="1"/>
          <w:color w:val="231F20"/>
        </w:rPr>
        <w:t>“–Critical Accounting Policies – Interest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Dividend Income Recognition.”</w:t>
      </w:r>
    </w:p>
    <w:p>
      <w:pPr>
        <w:spacing w:after="0" w:line="200" w:lineRule="exact"/>
        <w:rPr>
          <w:sz w:val="20"/>
          <w:szCs w:val="20"/>
          <w:color w:val="auto"/>
        </w:rPr>
      </w:pPr>
    </w:p>
    <w:p>
      <w:pPr>
        <w:ind w:right="120" w:firstLine="245"/>
        <w:spacing w:after="0" w:line="253" w:lineRule="auto"/>
        <w:rPr>
          <w:sz w:val="20"/>
          <w:szCs w:val="20"/>
          <w:color w:val="auto"/>
        </w:rPr>
      </w:pPr>
      <w:r>
        <w:rPr>
          <w:rFonts w:ascii="Times New Roman" w:cs="Times New Roman" w:eastAsia="Times New Roman" w:hAnsi="Times New Roman"/>
          <w:sz w:val="20"/>
          <w:szCs w:val="20"/>
          <w:color w:val="231F20"/>
        </w:rPr>
        <w:t>The weighted average yields and interest rates of our performing debt investments at fair value as of December 31, 2023 and 2022 were as follows:</w:t>
      </w:r>
    </w:p>
    <w:tbl>
      <w:tblPr>
        <w:tblLayout w:type="fixed"/>
        <w:tblInd w:w="1080" w:type="dxa"/>
        <w:tblCellMar>
          <w:top w:w="0" w:type="dxa"/>
          <w:left w:w="0" w:type="dxa"/>
          <w:bottom w:w="0" w:type="dxa"/>
          <w:right w:w="0" w:type="dxa"/>
        </w:tblCellMar>
      </w:tblPr>
      <w:tr>
        <w:trPr>
          <w:trHeight w:val="179"/>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400"/>
              <w:spacing w:after="0" w:line="178" w:lineRule="exact"/>
              <w:rPr>
                <w:sz w:val="20"/>
                <w:szCs w:val="20"/>
                <w:color w:val="auto"/>
              </w:rPr>
            </w:pPr>
            <w:r>
              <w:rPr>
                <w:rFonts w:ascii="Times New Roman" w:cs="Times New Roman" w:eastAsia="Times New Roman" w:hAnsi="Times New Roman"/>
                <w:sz w:val="16"/>
                <w:szCs w:val="16"/>
                <w:b w:val="1"/>
                <w:bCs w:val="1"/>
                <w:color w:val="231F20"/>
              </w:rPr>
              <w:t>December 31, 2023</w:t>
            </w:r>
          </w:p>
        </w:tc>
        <w:tc>
          <w:tcPr>
            <w:tcW w:w="1700" w:type="dxa"/>
            <w:vAlign w:val="bottom"/>
            <w:gridSpan w:val="2"/>
          </w:tcPr>
          <w:p>
            <w:pPr>
              <w:jc w:val="right"/>
              <w:ind w:right="280"/>
              <w:spacing w:after="0" w:line="178" w:lineRule="exact"/>
              <w:rPr>
                <w:sz w:val="20"/>
                <w:szCs w:val="20"/>
                <w:color w:val="auto"/>
              </w:rPr>
            </w:pPr>
            <w:r>
              <w:rPr>
                <w:rFonts w:ascii="Times New Roman" w:cs="Times New Roman" w:eastAsia="Times New Roman" w:hAnsi="Times New Roman"/>
                <w:sz w:val="16"/>
                <w:szCs w:val="16"/>
                <w:b w:val="1"/>
                <w:bCs w:val="1"/>
                <w:color w:val="231F20"/>
              </w:rPr>
              <w:t>December 31, 2022</w:t>
            </w:r>
          </w:p>
        </w:tc>
      </w:tr>
      <w:tr>
        <w:trPr>
          <w:trHeight w:val="200"/>
        </w:trPr>
        <w:tc>
          <w:tcPr>
            <w:tcW w:w="5020" w:type="dxa"/>
            <w:vAlign w:val="bottom"/>
            <w:tcBorders>
              <w:top w:val="single" w:sz="8" w:color="CFEDF9"/>
            </w:tcBorders>
            <w:shd w:val="clear" w:color="auto" w:fill="CFEDF9"/>
          </w:tcPr>
          <w:p>
            <w:pPr>
              <w:spacing w:after="0" w:line="201" w:lineRule="exact"/>
              <w:rPr>
                <w:sz w:val="20"/>
                <w:szCs w:val="20"/>
                <w:color w:val="auto"/>
              </w:rPr>
            </w:pPr>
            <w:r>
              <w:rPr>
                <w:rFonts w:ascii="Times New Roman" w:cs="Times New Roman" w:eastAsia="Times New Roman" w:hAnsi="Times New Roman"/>
                <w:sz w:val="20"/>
                <w:szCs w:val="20"/>
                <w:color w:val="231F20"/>
              </w:rPr>
              <w:t>Weighted average total yield of debt and income</w:t>
            </w:r>
          </w:p>
        </w:tc>
        <w:tc>
          <w:tcPr>
            <w:tcW w:w="120" w:type="dxa"/>
            <w:vAlign w:val="bottom"/>
            <w:tcBorders>
              <w:top w:val="single" w:sz="8" w:color="CFEDF9"/>
            </w:tcBorders>
            <w:shd w:val="clear" w:color="auto" w:fill="CFEDF9"/>
          </w:tcPr>
          <w:p>
            <w:pPr>
              <w:spacing w:after="0"/>
              <w:rPr>
                <w:sz w:val="17"/>
                <w:szCs w:val="17"/>
                <w:color w:val="auto"/>
              </w:rPr>
            </w:pPr>
          </w:p>
        </w:tc>
        <w:tc>
          <w:tcPr>
            <w:tcW w:w="1520" w:type="dxa"/>
            <w:vAlign w:val="bottom"/>
            <w:tcBorders>
              <w:top w:val="single" w:sz="8" w:color="231F20"/>
            </w:tcBorders>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Borders>
              <w:top w:val="single" w:sz="8" w:color="231F20"/>
            </w:tcBorders>
          </w:tcPr>
          <w:p>
            <w:pPr>
              <w:spacing w:after="0"/>
              <w:rPr>
                <w:sz w:val="17"/>
                <w:szCs w:val="17"/>
                <w:color w:val="auto"/>
              </w:rPr>
            </w:pPr>
          </w:p>
        </w:tc>
        <w:tc>
          <w:tcPr>
            <w:tcW w:w="160" w:type="dxa"/>
            <w:vAlign w:val="bottom"/>
          </w:tcPr>
          <w:p>
            <w:pPr>
              <w:spacing w:after="0"/>
              <w:rPr>
                <w:sz w:val="17"/>
                <w:szCs w:val="17"/>
                <w:color w:val="auto"/>
              </w:rPr>
            </w:pPr>
          </w:p>
        </w:tc>
      </w:tr>
      <w:tr>
        <w:trPr>
          <w:trHeight w:val="249"/>
        </w:trPr>
        <w:tc>
          <w:tcPr>
            <w:tcW w:w="5020" w:type="dxa"/>
            <w:vAlign w:val="bottom"/>
            <w:shd w:val="clear" w:color="auto" w:fill="CFEDF9"/>
          </w:tcPr>
          <w:p>
            <w:pPr>
              <w:ind w:left="160"/>
              <w:spacing w:after="0" w:line="250" w:lineRule="exact"/>
              <w:rPr>
                <w:sz w:val="20"/>
                <w:szCs w:val="20"/>
                <w:color w:val="auto"/>
              </w:rPr>
            </w:pPr>
            <w:r>
              <w:rPr>
                <w:rFonts w:ascii="Times New Roman" w:cs="Times New Roman" w:eastAsia="Times New Roman" w:hAnsi="Times New Roman"/>
                <w:sz w:val="20"/>
                <w:szCs w:val="20"/>
                <w:color w:val="231F20"/>
              </w:rPr>
              <w:t xml:space="preserve">producing securities </w:t>
            </w:r>
            <w:r>
              <w:rPr>
                <w:rFonts w:ascii="Times New Roman" w:cs="Times New Roman" w:eastAsia="Times New Roman" w:hAnsi="Times New Roman"/>
                <w:sz w:val="26"/>
                <w:szCs w:val="26"/>
                <w:color w:val="231F20"/>
                <w:vertAlign w:val="superscript"/>
              </w:rPr>
              <w:t>(1)</w:t>
            </w:r>
          </w:p>
        </w:tc>
        <w:tc>
          <w:tcPr>
            <w:tcW w:w="120" w:type="dxa"/>
            <w:vAlign w:val="bottom"/>
            <w:shd w:val="clear" w:color="auto" w:fill="CFEDF9"/>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14.1%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13.5%</w:t>
            </w:r>
          </w:p>
        </w:tc>
      </w:tr>
      <w:tr>
        <w:trPr>
          <w:trHeight w:val="210"/>
        </w:trPr>
        <w:tc>
          <w:tcPr>
            <w:tcW w:w="50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Weighted average interest rate of debt and income</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9"/>
        </w:trPr>
        <w:tc>
          <w:tcPr>
            <w:tcW w:w="50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producing securities</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13.7%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13.1%</w:t>
            </w:r>
          </w:p>
        </w:tc>
      </w:tr>
      <w:tr>
        <w:trPr>
          <w:trHeight w:val="210"/>
        </w:trPr>
        <w:tc>
          <w:tcPr>
            <w:tcW w:w="5020" w:type="dxa"/>
            <w:vAlign w:val="bottom"/>
            <w:shd w:val="clear" w:color="auto" w:fill="CFEDF9"/>
          </w:tcPr>
          <w:p>
            <w:pPr>
              <w:spacing w:after="0" w:line="210" w:lineRule="exact"/>
              <w:rPr>
                <w:sz w:val="20"/>
                <w:szCs w:val="20"/>
                <w:color w:val="auto"/>
              </w:rPr>
            </w:pPr>
            <w:r>
              <w:rPr>
                <w:rFonts w:ascii="Times New Roman" w:cs="Times New Roman" w:eastAsia="Times New Roman" w:hAnsi="Times New Roman"/>
                <w:sz w:val="20"/>
                <w:szCs w:val="20"/>
                <w:color w:val="231F20"/>
              </w:rPr>
              <w:t>Weighted average spread over reference rate of all floating</w:t>
            </w:r>
          </w:p>
        </w:tc>
        <w:tc>
          <w:tcPr>
            <w:tcW w:w="120" w:type="dxa"/>
            <w:vAlign w:val="bottom"/>
            <w:shd w:val="clear" w:color="auto" w:fill="CFEDF9"/>
          </w:tcPr>
          <w:p>
            <w:pPr>
              <w:spacing w:after="0"/>
              <w:rPr>
                <w:sz w:val="18"/>
                <w:szCs w:val="18"/>
                <w:color w:val="auto"/>
              </w:rPr>
            </w:pPr>
          </w:p>
        </w:tc>
        <w:tc>
          <w:tcPr>
            <w:tcW w:w="1520" w:type="dxa"/>
            <w:vAlign w:val="bottom"/>
            <w:shd w:val="clear" w:color="auto" w:fill="CFEDF9"/>
          </w:tcPr>
          <w:p>
            <w:pPr>
              <w:spacing w:after="0"/>
              <w:rPr>
                <w:sz w:val="18"/>
                <w:szCs w:val="18"/>
                <w:color w:val="auto"/>
              </w:rPr>
            </w:pPr>
          </w:p>
        </w:tc>
        <w:tc>
          <w:tcPr>
            <w:tcW w:w="280" w:type="dxa"/>
            <w:vAlign w:val="bottom"/>
            <w:shd w:val="clear" w:color="auto" w:fill="CFEDF9"/>
          </w:tcPr>
          <w:p>
            <w:pPr>
              <w:spacing w:after="0"/>
              <w:rPr>
                <w:sz w:val="18"/>
                <w:szCs w:val="18"/>
                <w:color w:val="auto"/>
              </w:rPr>
            </w:pPr>
          </w:p>
        </w:tc>
        <w:tc>
          <w:tcPr>
            <w:tcW w:w="1540" w:type="dxa"/>
            <w:vAlign w:val="bottom"/>
            <w:shd w:val="clear" w:color="auto" w:fill="CFEDF9"/>
          </w:tcPr>
          <w:p>
            <w:pPr>
              <w:spacing w:after="0"/>
              <w:rPr>
                <w:sz w:val="18"/>
                <w:szCs w:val="18"/>
                <w:color w:val="auto"/>
              </w:rPr>
            </w:pPr>
          </w:p>
        </w:tc>
        <w:tc>
          <w:tcPr>
            <w:tcW w:w="160" w:type="dxa"/>
            <w:vAlign w:val="bottom"/>
            <w:shd w:val="clear" w:color="auto" w:fill="CFEDF9"/>
          </w:tcPr>
          <w:p>
            <w:pPr>
              <w:spacing w:after="0"/>
              <w:rPr>
                <w:sz w:val="18"/>
                <w:szCs w:val="18"/>
                <w:color w:val="auto"/>
              </w:rPr>
            </w:pPr>
          </w:p>
        </w:tc>
      </w:tr>
      <w:tr>
        <w:trPr>
          <w:trHeight w:val="249"/>
        </w:trPr>
        <w:tc>
          <w:tcPr>
            <w:tcW w:w="502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color w:val="231F20"/>
              </w:rPr>
              <w:t>rate investments</w:t>
            </w:r>
          </w:p>
        </w:tc>
        <w:tc>
          <w:tcPr>
            <w:tcW w:w="1920" w:type="dxa"/>
            <w:vAlign w:val="bottom"/>
            <w:gridSpan w:val="3"/>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8.3%</w:t>
            </w:r>
          </w:p>
        </w:tc>
        <w:tc>
          <w:tcPr>
            <w:tcW w:w="17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3945890</wp:posOffset>
                </wp:positionH>
                <wp:positionV relativeFrom="paragraph">
                  <wp:posOffset>-875665</wp:posOffset>
                </wp:positionV>
                <wp:extent cx="969010" cy="2921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9010" cy="292100"/>
                        </a:xfrm>
                        <a:prstGeom prst="rect">
                          <a:avLst/>
                        </a:prstGeom>
                        <a:solidFill>
                          <a:srgbClr val="CFEDF9"/>
                        </a:solidFill>
                      </wps:spPr>
                      <wps:bodyPr/>
                    </wps:wsp>
                  </a:graphicData>
                </a:graphic>
              </wp:anchor>
            </w:drawing>
          </mc:Choice>
          <mc:Fallback>
            <w:pict>
              <v:rect id="Shape 27" o:spid="_x0000_s1052" style="position:absolute;margin-left:310.7pt;margin-top:-68.9499pt;width:76.3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4914900</wp:posOffset>
                </wp:positionH>
                <wp:positionV relativeFrom="paragraph">
                  <wp:posOffset>-882015</wp:posOffset>
                </wp:positionV>
                <wp:extent cx="182245" cy="2984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245" cy="298450"/>
                        </a:xfrm>
                        <a:prstGeom prst="rect">
                          <a:avLst/>
                        </a:prstGeom>
                        <a:solidFill>
                          <a:srgbClr val="CFEDF9"/>
                        </a:solidFill>
                      </wps:spPr>
                      <wps:bodyPr/>
                    </wps:wsp>
                  </a:graphicData>
                </a:graphic>
              </wp:anchor>
            </w:drawing>
          </mc:Choice>
          <mc:Fallback>
            <w:pict>
              <v:rect id="Shape 28" o:spid="_x0000_s1053" style="position:absolute;margin-left:387pt;margin-top:-69.4499pt;width:14.35pt;height: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5097145</wp:posOffset>
                </wp:positionH>
                <wp:positionV relativeFrom="paragraph">
                  <wp:posOffset>-875665</wp:posOffset>
                </wp:positionV>
                <wp:extent cx="969010" cy="2921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9010" cy="292100"/>
                        </a:xfrm>
                        <a:prstGeom prst="rect">
                          <a:avLst/>
                        </a:prstGeom>
                        <a:solidFill>
                          <a:srgbClr val="CFEDF9"/>
                        </a:solidFill>
                      </wps:spPr>
                      <wps:bodyPr/>
                    </wps:wsp>
                  </a:graphicData>
                </a:graphic>
              </wp:anchor>
            </w:drawing>
          </mc:Choice>
          <mc:Fallback>
            <w:pict>
              <v:rect id="Shape 29" o:spid="_x0000_s1054" style="position:absolute;margin-left:401.35pt;margin-top:-68.9499pt;width:76.3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6066155</wp:posOffset>
                </wp:positionH>
                <wp:positionV relativeFrom="paragraph">
                  <wp:posOffset>-882015</wp:posOffset>
                </wp:positionV>
                <wp:extent cx="106045" cy="2984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045" cy="298450"/>
                        </a:xfrm>
                        <a:prstGeom prst="rect">
                          <a:avLst/>
                        </a:prstGeom>
                        <a:solidFill>
                          <a:srgbClr val="CFEDF9"/>
                        </a:solidFill>
                      </wps:spPr>
                      <wps:bodyPr/>
                    </wps:wsp>
                  </a:graphicData>
                </a:graphic>
              </wp:anchor>
            </w:drawing>
          </mc:Choice>
          <mc:Fallback>
            <w:pict>
              <v:rect id="Shape 30" o:spid="_x0000_s1055" style="position:absolute;margin-left:477.65pt;margin-top:-69.4499pt;width:8.35pt;height: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pacing w:after="0" w:line="190" w:lineRule="exact"/>
        <w:rPr>
          <w:sz w:val="20"/>
          <w:szCs w:val="20"/>
          <w:color w:val="auto"/>
        </w:rPr>
      </w:pPr>
    </w:p>
    <w:p>
      <w:pPr>
        <w:ind w:left="500" w:hanging="500"/>
        <w:spacing w:after="0"/>
        <w:tabs>
          <w:tab w:leader="none" w:pos="500" w:val="left"/>
        </w:tabs>
        <w:numPr>
          <w:ilvl w:val="0"/>
          <w:numId w:val="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Weighted average total portfolio yield at fair value was 13.4% at December 31, 2023 and 12.8% at December 31, 2022.</w:t>
      </w:r>
    </w:p>
    <w:p>
      <w:pPr>
        <w:spacing w:after="0" w:line="316" w:lineRule="exact"/>
        <w:rPr>
          <w:sz w:val="20"/>
          <w:szCs w:val="20"/>
          <w:color w:val="auto"/>
        </w:rPr>
      </w:pPr>
    </w:p>
    <w:p>
      <w:pPr>
        <w:ind w:right="120" w:firstLine="245"/>
        <w:spacing w:after="0" w:line="278" w:lineRule="auto"/>
        <w:rPr>
          <w:sz w:val="20"/>
          <w:szCs w:val="20"/>
          <w:color w:val="auto"/>
        </w:rPr>
      </w:pPr>
      <w:r>
        <w:rPr>
          <w:rFonts w:ascii="Times New Roman" w:cs="Times New Roman" w:eastAsia="Times New Roman" w:hAnsi="Times New Roman"/>
          <w:sz w:val="19"/>
          <w:szCs w:val="19"/>
          <w:color w:val="231F20"/>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5" w:lineRule="exact"/>
        <w:rPr>
          <w:sz w:val="20"/>
          <w:szCs w:val="20"/>
          <w:color w:val="auto"/>
        </w:rPr>
      </w:pPr>
    </w:p>
    <w:p>
      <w:pPr>
        <w:ind w:left="500" w:hanging="255"/>
        <w:spacing w:after="0"/>
        <w:tabs>
          <w:tab w:leader="none" w:pos="50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assessment of success of the portfolio company in adhering to its business plan and compliance with covenants;</w:t>
      </w:r>
    </w:p>
    <w:p>
      <w:pPr>
        <w:spacing w:after="0" w:line="133" w:lineRule="exact"/>
        <w:rPr>
          <w:rFonts w:ascii="Arial" w:cs="Arial" w:eastAsia="Arial" w:hAnsi="Arial"/>
          <w:sz w:val="20"/>
          <w:szCs w:val="20"/>
          <w:color w:val="231F20"/>
        </w:rPr>
      </w:pPr>
    </w:p>
    <w:p>
      <w:pPr>
        <w:ind w:left="500" w:right="580" w:hanging="255"/>
        <w:spacing w:after="0" w:line="276" w:lineRule="auto"/>
        <w:tabs>
          <w:tab w:leader="none" w:pos="50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periodic and regular contact with portfolio company management and, if appropriate, the financial or strategic sponsor, to discuss financial position, requirements and accomplishments;</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comparisons to other companies in the industry;</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attendance at, and participation in, board meetings; and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review of monthly and quarterly financial statements and financial projections for portfolio companies.</w:t>
      </w:r>
    </w:p>
    <w:p>
      <w:pPr>
        <w:spacing w:after="0" w:line="239"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231F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3" w:lineRule="exact"/>
        <w:rPr>
          <w:sz w:val="20"/>
          <w:szCs w:val="20"/>
          <w:color w:val="auto"/>
        </w:rPr>
      </w:pPr>
    </w:p>
    <w:p>
      <w:pPr>
        <w:ind w:left="500" w:hanging="255"/>
        <w:spacing w:after="0" w:line="258" w:lineRule="auto"/>
        <w:tabs>
          <w:tab w:leader="none" w:pos="50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2240" w:h="15840" w:orient="portrait"/>
          <w:cols w:equalWidth="0" w:num="1">
            <w:col w:w="10800"/>
          </w:cols>
          <w:pgMar w:left="720" w:top="930" w:right="720" w:bottom="175" w:gutter="0" w:footer="0" w:header="0"/>
          <w:type w:val="continuous"/>
        </w:sectPr>
      </w:pPr>
    </w:p>
    <w:bookmarkStart w:id="67" w:name="page68"/>
    <w:bookmarkEnd w:id="67"/>
    <w:p>
      <w:pPr>
        <w:ind w:left="500" w:right="160" w:hanging="255"/>
        <w:spacing w:after="0" w:line="252" w:lineRule="auto"/>
        <w:tabs>
          <w:tab w:leader="none" w:pos="50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87" w:lineRule="exact"/>
        <w:rPr>
          <w:rFonts w:ascii="Arial" w:cs="Arial" w:eastAsia="Arial" w:hAnsi="Arial"/>
          <w:sz w:val="20"/>
          <w:szCs w:val="20"/>
          <w:color w:val="231F20"/>
        </w:rPr>
      </w:pPr>
    </w:p>
    <w:p>
      <w:pPr>
        <w:ind w:left="500" w:hanging="255"/>
        <w:spacing w:after="0" w:line="278" w:lineRule="auto"/>
        <w:tabs>
          <w:tab w:leader="none" w:pos="500" w:val="left"/>
        </w:tabs>
        <w:numPr>
          <w:ilvl w:val="0"/>
          <w:numId w:val="59"/>
        </w:numPr>
        <w:rPr>
          <w:rFonts w:ascii="Arial" w:cs="Arial" w:eastAsia="Arial" w:hAnsi="Arial"/>
          <w:sz w:val="19"/>
          <w:szCs w:val="19"/>
          <w:color w:val="231F20"/>
        </w:rPr>
      </w:pPr>
      <w:r>
        <w:rPr>
          <w:rFonts w:ascii="Times New Roman" w:cs="Times New Roman" w:eastAsia="Times New Roman" w:hAnsi="Times New Roman"/>
          <w:sz w:val="19"/>
          <w:szCs w:val="19"/>
          <w:color w:val="231F20"/>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4" w:lineRule="exact"/>
        <w:rPr>
          <w:rFonts w:ascii="Arial" w:cs="Arial" w:eastAsia="Arial" w:hAnsi="Arial"/>
          <w:sz w:val="19"/>
          <w:szCs w:val="19"/>
          <w:color w:val="231F20"/>
        </w:rPr>
      </w:pPr>
    </w:p>
    <w:p>
      <w:pPr>
        <w:ind w:left="500" w:right="60" w:hanging="255"/>
        <w:spacing w:after="0" w:line="246" w:lineRule="auto"/>
        <w:tabs>
          <w:tab w:leader="none" w:pos="50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3" w:lineRule="exact"/>
        <w:rPr>
          <w:rFonts w:ascii="Arial" w:cs="Arial" w:eastAsia="Arial" w:hAnsi="Arial"/>
          <w:sz w:val="20"/>
          <w:szCs w:val="20"/>
          <w:color w:val="231F20"/>
        </w:rPr>
      </w:pPr>
    </w:p>
    <w:p>
      <w:pPr>
        <w:ind w:left="500" w:right="200" w:hanging="255"/>
        <w:spacing w:after="0" w:line="249" w:lineRule="auto"/>
        <w:tabs>
          <w:tab w:leader="none" w:pos="50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96" w:lineRule="exact"/>
        <w:rPr>
          <w:sz w:val="20"/>
          <w:szCs w:val="20"/>
          <w:color w:val="auto"/>
        </w:rPr>
      </w:pPr>
    </w:p>
    <w:p>
      <w:pPr>
        <w:jc w:val="both"/>
        <w:ind w:right="100" w:firstLine="245"/>
        <w:spacing w:after="0" w:line="278" w:lineRule="auto"/>
        <w:rPr>
          <w:sz w:val="20"/>
          <w:szCs w:val="20"/>
          <w:color w:val="auto"/>
        </w:rPr>
      </w:pPr>
      <w:r>
        <w:rPr>
          <w:rFonts w:ascii="Times New Roman" w:cs="Times New Roman" w:eastAsia="Times New Roman" w:hAnsi="Times New Roman"/>
          <w:sz w:val="19"/>
          <w:szCs w:val="19"/>
          <w:color w:val="231F20"/>
        </w:rPr>
        <w:t>The following table shows the distribution of our investments on the 1 to 5 investment performance rating scale at fair value as of December 31, 2023 and 2022.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Investment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gridSpan w:val="7"/>
          </w:tcPr>
          <w:p>
            <w:pPr>
              <w:jc w:val="right"/>
              <w:ind w:right="150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240" w:type="dxa"/>
            <w:vAlign w:val="bottom"/>
          </w:tcPr>
          <w:p>
            <w:pPr>
              <w:spacing w:after="0"/>
              <w:rPr>
                <w:sz w:val="17"/>
                <w:szCs w:val="17"/>
                <w:color w:val="auto"/>
              </w:rPr>
            </w:pPr>
          </w:p>
        </w:tc>
        <w:tc>
          <w:tcPr>
            <w:tcW w:w="3540" w:type="dxa"/>
            <w:vAlign w:val="bottom"/>
            <w:gridSpan w:val="7"/>
          </w:tcPr>
          <w:p>
            <w:pPr>
              <w:jc w:val="right"/>
              <w:ind w:right="132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0" w:type="dxa"/>
            <w:vAlign w:val="bottom"/>
          </w:tcPr>
          <w:p>
            <w:pPr>
              <w:spacing w:after="0"/>
              <w:rPr>
                <w:sz w:val="1"/>
                <w:szCs w:val="1"/>
                <w:color w:val="auto"/>
              </w:rPr>
            </w:pPr>
          </w:p>
        </w:tc>
      </w:tr>
      <w:tr>
        <w:trPr>
          <w:trHeight w:val="166"/>
        </w:trPr>
        <w:tc>
          <w:tcPr>
            <w:tcW w:w="1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Borders>
              <w:top w:val="single" w:sz="8" w:color="231F20"/>
            </w:tcBorders>
            <w:gridSpan w:val="3"/>
          </w:tcPr>
          <w:p>
            <w:pPr>
              <w:jc w:val="center"/>
              <w:ind w:right="20"/>
              <w:spacing w:after="0" w:line="166" w:lineRule="exact"/>
              <w:rPr>
                <w:sz w:val="20"/>
                <w:szCs w:val="20"/>
                <w:color w:val="auto"/>
              </w:rPr>
            </w:pPr>
            <w:r>
              <w:rPr>
                <w:rFonts w:ascii="Times New Roman" w:cs="Times New Roman" w:eastAsia="Times New Roman" w:hAnsi="Times New Roman"/>
                <w:sz w:val="16"/>
                <w:szCs w:val="16"/>
                <w:b w:val="1"/>
                <w:bCs w:val="1"/>
                <w:color w:val="231F20"/>
                <w:w w:val="99"/>
              </w:rPr>
              <w:t>Investments at</w:t>
            </w:r>
          </w:p>
        </w:tc>
        <w:tc>
          <w:tcPr>
            <w:tcW w:w="220" w:type="dxa"/>
            <w:vAlign w:val="bottom"/>
            <w:tcBorders>
              <w:top w:val="single" w:sz="8" w:color="231F20"/>
            </w:tcBorders>
          </w:tcPr>
          <w:p>
            <w:pPr>
              <w:spacing w:after="0"/>
              <w:rPr>
                <w:sz w:val="14"/>
                <w:szCs w:val="14"/>
                <w:color w:val="auto"/>
              </w:rPr>
            </w:pPr>
          </w:p>
        </w:tc>
        <w:tc>
          <w:tcPr>
            <w:tcW w:w="40" w:type="dxa"/>
            <w:vAlign w:val="bottom"/>
            <w:tcBorders>
              <w:top w:val="single" w:sz="8" w:color="231F20"/>
            </w:tcBorders>
          </w:tcPr>
          <w:p>
            <w:pPr>
              <w:spacing w:after="0"/>
              <w:rPr>
                <w:sz w:val="14"/>
                <w:szCs w:val="14"/>
                <w:color w:val="auto"/>
              </w:rPr>
            </w:pPr>
          </w:p>
        </w:tc>
        <w:tc>
          <w:tcPr>
            <w:tcW w:w="1620" w:type="dxa"/>
            <w:vAlign w:val="bottom"/>
            <w:tcBorders>
              <w:top w:val="single" w:sz="8" w:color="231F20"/>
            </w:tcBorders>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top w:val="single" w:sz="8" w:color="231F20"/>
            </w:tcBorders>
          </w:tcPr>
          <w:p>
            <w:pPr>
              <w:spacing w:after="0"/>
              <w:rPr>
                <w:sz w:val="14"/>
                <w:szCs w:val="14"/>
                <w:color w:val="auto"/>
              </w:rPr>
            </w:pPr>
          </w:p>
        </w:tc>
        <w:tc>
          <w:tcPr>
            <w:tcW w:w="1480" w:type="dxa"/>
            <w:vAlign w:val="bottom"/>
            <w:tcBorders>
              <w:top w:val="single" w:sz="8" w:color="231F20"/>
            </w:tcBorders>
            <w:gridSpan w:val="2"/>
          </w:tcPr>
          <w:p>
            <w:pPr>
              <w:jc w:val="center"/>
              <w:ind w:right="240"/>
              <w:spacing w:after="0" w:line="166" w:lineRule="exact"/>
              <w:rPr>
                <w:sz w:val="20"/>
                <w:szCs w:val="20"/>
                <w:color w:val="auto"/>
              </w:rPr>
            </w:pPr>
            <w:r>
              <w:rPr>
                <w:rFonts w:ascii="Times New Roman" w:cs="Times New Roman" w:eastAsia="Times New Roman" w:hAnsi="Times New Roman"/>
                <w:sz w:val="16"/>
                <w:szCs w:val="16"/>
                <w:b w:val="1"/>
                <w:bCs w:val="1"/>
                <w:color w:val="231F20"/>
                <w:w w:val="99"/>
              </w:rPr>
              <w:t>Investments at</w:t>
            </w:r>
          </w:p>
        </w:tc>
        <w:tc>
          <w:tcPr>
            <w:tcW w:w="220" w:type="dxa"/>
            <w:vAlign w:val="bottom"/>
            <w:tcBorders>
              <w:top w:val="single" w:sz="8" w:color="231F20"/>
            </w:tcBorders>
          </w:tcPr>
          <w:p>
            <w:pPr>
              <w:spacing w:after="0"/>
              <w:rPr>
                <w:sz w:val="14"/>
                <w:szCs w:val="14"/>
                <w:color w:val="auto"/>
              </w:rPr>
            </w:pPr>
          </w:p>
        </w:tc>
        <w:tc>
          <w:tcPr>
            <w:tcW w:w="40" w:type="dxa"/>
            <w:vAlign w:val="bottom"/>
            <w:tcBorders>
              <w:top w:val="single" w:sz="8" w:color="231F20"/>
            </w:tcBorders>
          </w:tcPr>
          <w:p>
            <w:pPr>
              <w:spacing w:after="0"/>
              <w:rPr>
                <w:sz w:val="14"/>
                <w:szCs w:val="14"/>
                <w:color w:val="auto"/>
              </w:rPr>
            </w:pPr>
          </w:p>
        </w:tc>
        <w:tc>
          <w:tcPr>
            <w:tcW w:w="1620" w:type="dxa"/>
            <w:vAlign w:val="bottom"/>
            <w:tcBorders>
              <w:top w:val="single" w:sz="8" w:color="231F20"/>
            </w:tcBorders>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Performance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Percentage of</w:t>
            </w:r>
          </w:p>
        </w:tc>
        <w:tc>
          <w:tcPr>
            <w:tcW w:w="24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231F20"/>
              </w:rPr>
              <w:t>Percentage of</w:t>
            </w:r>
          </w:p>
        </w:tc>
        <w:tc>
          <w:tcPr>
            <w:tcW w:w="0" w:type="dxa"/>
            <w:vAlign w:val="bottom"/>
          </w:tcPr>
          <w:p>
            <w:pPr>
              <w:spacing w:after="0"/>
              <w:rPr>
                <w:sz w:val="1"/>
                <w:szCs w:val="1"/>
                <w:color w:val="auto"/>
              </w:rPr>
            </w:pPr>
          </w:p>
        </w:tc>
      </w:tr>
      <w:tr>
        <w:trPr>
          <w:trHeight w:val="203"/>
        </w:trPr>
        <w:tc>
          <w:tcPr>
            <w:tcW w:w="1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Rating</w:t>
            </w:r>
          </w:p>
        </w:tc>
        <w:tc>
          <w:tcPr>
            <w:tcW w:w="200" w:type="dxa"/>
            <w:vAlign w:val="bottom"/>
            <w:tcBorders>
              <w:bottom w:val="single" w:sz="8" w:color="CFEDF9"/>
            </w:tcBorders>
            <w:gridSpan w:val="2"/>
          </w:tcPr>
          <w:p>
            <w:pPr>
              <w:spacing w:after="0"/>
              <w:rPr>
                <w:sz w:val="17"/>
                <w:szCs w:val="17"/>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1180" w:type="dxa"/>
            <w:vAlign w:val="bottom"/>
            <w:tcBorders>
              <w:bottom w:val="single" w:sz="8" w:color="231F20"/>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220" w:type="dxa"/>
            <w:vAlign w:val="bottom"/>
            <w:tcBorders>
              <w:bottom w:val="single" w:sz="8" w:color="CFEDF9"/>
            </w:tcBorders>
          </w:tcPr>
          <w:p>
            <w:pPr>
              <w:spacing w:after="0"/>
              <w:rPr>
                <w:sz w:val="17"/>
                <w:szCs w:val="17"/>
                <w:color w:val="auto"/>
              </w:rPr>
            </w:pPr>
          </w:p>
        </w:tc>
        <w:tc>
          <w:tcPr>
            <w:tcW w:w="40" w:type="dxa"/>
            <w:vAlign w:val="bottom"/>
            <w:tcBorders>
              <w:bottom w:val="single" w:sz="8" w:color="CFEDF9"/>
            </w:tcBorders>
          </w:tcPr>
          <w:p>
            <w:pPr>
              <w:spacing w:after="0"/>
              <w:rPr>
                <w:sz w:val="17"/>
                <w:szCs w:val="17"/>
                <w:color w:val="auto"/>
              </w:rPr>
            </w:pPr>
          </w:p>
        </w:tc>
        <w:tc>
          <w:tcPr>
            <w:tcW w:w="1640" w:type="dxa"/>
            <w:vAlign w:val="bottom"/>
            <w:tcBorders>
              <w:bottom w:val="single" w:sz="8" w:color="231F20"/>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rPr>
              <w:t>Total Portfolio</w:t>
            </w:r>
          </w:p>
        </w:tc>
        <w:tc>
          <w:tcPr>
            <w:tcW w:w="34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80" w:type="dxa"/>
            <w:vAlign w:val="bottom"/>
            <w:tcBorders>
              <w:bottom w:val="single" w:sz="8" w:color="231F20"/>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 in millions)</w:t>
            </w:r>
          </w:p>
        </w:tc>
        <w:tc>
          <w:tcPr>
            <w:tcW w:w="220" w:type="dxa"/>
            <w:vAlign w:val="bottom"/>
            <w:tcBorders>
              <w:bottom w:val="single" w:sz="8" w:color="CFEDF9"/>
            </w:tcBorders>
          </w:tcPr>
          <w:p>
            <w:pPr>
              <w:spacing w:after="0"/>
              <w:rPr>
                <w:sz w:val="17"/>
                <w:szCs w:val="17"/>
                <w:color w:val="auto"/>
              </w:rPr>
            </w:pPr>
          </w:p>
        </w:tc>
        <w:tc>
          <w:tcPr>
            <w:tcW w:w="40" w:type="dxa"/>
            <w:vAlign w:val="bottom"/>
            <w:tcBorders>
              <w:bottom w:val="single" w:sz="8" w:color="CFEDF9"/>
            </w:tcBorders>
          </w:tcPr>
          <w:p>
            <w:pPr>
              <w:spacing w:after="0"/>
              <w:rPr>
                <w:sz w:val="17"/>
                <w:szCs w:val="17"/>
                <w:color w:val="auto"/>
              </w:rPr>
            </w:pPr>
          </w:p>
        </w:tc>
        <w:tc>
          <w:tcPr>
            <w:tcW w:w="1640" w:type="dxa"/>
            <w:vAlign w:val="bottom"/>
            <w:tcBorders>
              <w:bottom w:val="single" w:sz="8" w:color="231F20"/>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Total Portfolio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800" w:type="dxa"/>
            <w:vAlign w:val="bottom"/>
            <w:shd w:val="clear" w:color="auto" w:fill="CFEDF9"/>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1</w:t>
            </w:r>
          </w:p>
        </w:tc>
        <w:tc>
          <w:tcPr>
            <w:tcW w:w="18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520" w:type="dxa"/>
            <w:vAlign w:val="bottom"/>
            <w:shd w:val="clear" w:color="auto" w:fill="CFEDF9"/>
          </w:tcPr>
          <w:p>
            <w:pPr>
              <w:jc w:val="right"/>
              <w:ind w:right="359"/>
              <w:spacing w:after="0"/>
              <w:rPr>
                <w:sz w:val="20"/>
                <w:szCs w:val="20"/>
                <w:color w:val="auto"/>
              </w:rPr>
            </w:pPr>
            <w:r>
              <w:rPr>
                <w:rFonts w:ascii="Times New Roman" w:cs="Times New Roman" w:eastAsia="Times New Roman" w:hAnsi="Times New Roman"/>
                <w:sz w:val="17"/>
                <w:szCs w:val="17"/>
                <w:color w:val="231F20"/>
                <w:w w:val="70"/>
              </w:rPr>
              <w:t>$</w:t>
            </w:r>
          </w:p>
        </w:tc>
        <w:tc>
          <w:tcPr>
            <w:tcW w:w="1180" w:type="dxa"/>
            <w:vAlign w:val="bottom"/>
            <w:gridSpan w:val="2"/>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2,939.1</w:t>
            </w:r>
          </w:p>
        </w:tc>
        <w:tc>
          <w:tcPr>
            <w:tcW w:w="220" w:type="dxa"/>
            <w:vAlign w:val="bottom"/>
            <w:shd w:val="clear" w:color="auto" w:fill="CFEDF9"/>
          </w:tcPr>
          <w:p>
            <w:pPr>
              <w:spacing w:after="0"/>
              <w:rPr>
                <w:sz w:val="19"/>
                <w:szCs w:val="19"/>
                <w:color w:val="auto"/>
              </w:rPr>
            </w:pPr>
          </w:p>
        </w:tc>
        <w:tc>
          <w:tcPr>
            <w:tcW w:w="40" w:type="dxa"/>
            <w:vAlign w:val="bottom"/>
            <w:tcBorders>
              <w:right w:val="single" w:sz="8" w:color="CFEDF9"/>
            </w:tcBorders>
            <w:shd w:val="clear" w:color="auto" w:fill="CFEDF9"/>
          </w:tcPr>
          <w:p>
            <w:pPr>
              <w:spacing w:after="0"/>
              <w:rPr>
                <w:sz w:val="19"/>
                <w:szCs w:val="19"/>
                <w:color w:val="auto"/>
              </w:rPr>
            </w:pPr>
          </w:p>
        </w:tc>
        <w:tc>
          <w:tcPr>
            <w:tcW w:w="1980" w:type="dxa"/>
            <w:vAlign w:val="bottom"/>
            <w:gridSpan w:val="3"/>
          </w:tcPr>
          <w:p>
            <w:pPr>
              <w:jc w:val="right"/>
              <w:ind w:right="180"/>
              <w:spacing w:after="0" w:line="220" w:lineRule="exact"/>
              <w:rPr>
                <w:sz w:val="20"/>
                <w:szCs w:val="20"/>
                <w:color w:val="auto"/>
              </w:rPr>
            </w:pPr>
            <w:r>
              <w:rPr>
                <w:rFonts w:ascii="Times New Roman" w:cs="Times New Roman" w:eastAsia="Times New Roman" w:hAnsi="Times New Roman"/>
                <w:sz w:val="20"/>
                <w:szCs w:val="20"/>
                <w:color w:val="231F20"/>
              </w:rPr>
              <w:t>89.5%</w:t>
            </w:r>
          </w:p>
        </w:tc>
        <w:tc>
          <w:tcPr>
            <w:tcW w:w="240" w:type="dxa"/>
            <w:vAlign w:val="bottom"/>
            <w:shd w:val="clear" w:color="auto" w:fill="CFEDF9"/>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2,472.8</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40" w:type="dxa"/>
            <w:vAlign w:val="bottom"/>
            <w:tcBorders>
              <w:right w:val="single" w:sz="8" w:color="CFEDF9"/>
            </w:tcBorders>
            <w:shd w:val="clear" w:color="auto" w:fill="CFEDF9"/>
          </w:tcPr>
          <w:p>
            <w:pPr>
              <w:spacing w:after="0"/>
              <w:rPr>
                <w:sz w:val="19"/>
                <w:szCs w:val="19"/>
                <w:color w:val="auto"/>
              </w:rPr>
            </w:pPr>
          </w:p>
        </w:tc>
        <w:tc>
          <w:tcPr>
            <w:tcW w:w="18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88.7%</w:t>
            </w:r>
          </w:p>
        </w:tc>
        <w:tc>
          <w:tcPr>
            <w:tcW w:w="0" w:type="dxa"/>
            <w:vAlign w:val="bottom"/>
          </w:tcPr>
          <w:p>
            <w:pPr>
              <w:spacing w:after="0"/>
              <w:rPr>
                <w:sz w:val="1"/>
                <w:szCs w:val="1"/>
                <w:color w:val="auto"/>
              </w:rPr>
            </w:pPr>
          </w:p>
        </w:tc>
      </w:tr>
      <w:tr>
        <w:trPr>
          <w:trHeight w:val="230"/>
        </w:trPr>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196.6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3</w:t>
            </w:r>
          </w:p>
        </w:tc>
        <w:tc>
          <w:tcPr>
            <w:tcW w:w="18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520" w:type="dxa"/>
            <w:vAlign w:val="bottom"/>
            <w:shd w:val="clear" w:color="auto" w:fill="CFEDF9"/>
          </w:tcPr>
          <w:p>
            <w:pPr>
              <w:spacing w:after="0"/>
              <w:rPr>
                <w:sz w:val="19"/>
                <w:szCs w:val="19"/>
                <w:color w:val="auto"/>
              </w:rPr>
            </w:pPr>
          </w:p>
        </w:tc>
        <w:tc>
          <w:tcPr>
            <w:tcW w:w="118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126.7</w:t>
            </w:r>
          </w:p>
        </w:tc>
        <w:tc>
          <w:tcPr>
            <w:tcW w:w="18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20" w:type="dxa"/>
            <w:vAlign w:val="bottom"/>
            <w:shd w:val="clear" w:color="auto" w:fill="CFEDF9"/>
          </w:tcPr>
          <w:p>
            <w:pPr>
              <w:spacing w:after="0"/>
              <w:rPr>
                <w:sz w:val="19"/>
                <w:szCs w:val="19"/>
                <w:color w:val="auto"/>
              </w:rPr>
            </w:pPr>
          </w:p>
        </w:tc>
        <w:tc>
          <w:tcPr>
            <w:tcW w:w="3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21.3</w:t>
            </w:r>
          </w:p>
        </w:tc>
        <w:tc>
          <w:tcPr>
            <w:tcW w:w="20" w:type="dxa"/>
            <w:vAlign w:val="bottom"/>
            <w:shd w:val="clear" w:color="auto" w:fill="CFEDF9"/>
          </w:tcPr>
          <w:p>
            <w:pPr>
              <w:spacing w:after="0"/>
              <w:rPr>
                <w:sz w:val="19"/>
                <w:szCs w:val="19"/>
                <w:color w:val="auto"/>
              </w:rPr>
            </w:pPr>
          </w:p>
        </w:tc>
        <w:tc>
          <w:tcPr>
            <w:tcW w:w="18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180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5</w:t>
            </w:r>
          </w:p>
        </w:tc>
        <w:tc>
          <w:tcPr>
            <w:tcW w:w="180" w:type="dxa"/>
            <w:vAlign w:val="bottom"/>
            <w:shd w:val="clear" w:color="auto" w:fill="CFEDF9"/>
          </w:tcPr>
          <w:p>
            <w:pPr>
              <w:spacing w:after="0"/>
              <w:rPr>
                <w:sz w:val="19"/>
                <w:szCs w:val="19"/>
                <w:color w:val="auto"/>
              </w:rPr>
            </w:pPr>
          </w:p>
        </w:tc>
        <w:tc>
          <w:tcPr>
            <w:tcW w:w="20" w:type="dxa"/>
            <w:vAlign w:val="bottom"/>
            <w:tcBorders>
              <w:bottom w:val="single" w:sz="8" w:color="231F20"/>
            </w:tcBorders>
            <w:shd w:val="clear" w:color="auto" w:fill="CFEDF9"/>
          </w:tcPr>
          <w:p>
            <w:pPr>
              <w:spacing w:after="0"/>
              <w:rPr>
                <w:sz w:val="19"/>
                <w:szCs w:val="19"/>
                <w:color w:val="auto"/>
              </w:rPr>
            </w:pPr>
          </w:p>
        </w:tc>
        <w:tc>
          <w:tcPr>
            <w:tcW w:w="520" w:type="dxa"/>
            <w:vAlign w:val="bottom"/>
            <w:tcBorders>
              <w:bottom w:val="single" w:sz="8" w:color="231F20"/>
            </w:tcBorders>
            <w:shd w:val="clear" w:color="auto" w:fill="CFEDF9"/>
          </w:tcPr>
          <w:p>
            <w:pPr>
              <w:spacing w:after="0"/>
              <w:rPr>
                <w:sz w:val="19"/>
                <w:szCs w:val="19"/>
                <w:color w:val="auto"/>
              </w:rPr>
            </w:pPr>
          </w:p>
        </w:tc>
        <w:tc>
          <w:tcPr>
            <w:tcW w:w="11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660" w:type="dxa"/>
            <w:vAlign w:val="bottom"/>
            <w:tcBorders>
              <w:bottom w:val="single" w:sz="8" w:color="231F20"/>
            </w:tcBorders>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20" w:type="dxa"/>
            <w:vAlign w:val="bottom"/>
            <w:shd w:val="clear" w:color="auto" w:fill="CFEDF9"/>
          </w:tcPr>
          <w:p>
            <w:pPr>
              <w:spacing w:after="0"/>
              <w:rPr>
                <w:sz w:val="19"/>
                <w:szCs w:val="19"/>
                <w:color w:val="auto"/>
              </w:rPr>
            </w:pPr>
          </w:p>
        </w:tc>
        <w:tc>
          <w:tcPr>
            <w:tcW w:w="340" w:type="dxa"/>
            <w:vAlign w:val="bottom"/>
            <w:shd w:val="clear" w:color="auto" w:fill="CFEDF9"/>
          </w:tcPr>
          <w:p>
            <w:pPr>
              <w:spacing w:after="0"/>
              <w:rPr>
                <w:sz w:val="19"/>
                <w:szCs w:val="19"/>
                <w:color w:val="auto"/>
              </w:rPr>
            </w:pPr>
          </w:p>
        </w:tc>
        <w:tc>
          <w:tcPr>
            <w:tcW w:w="240" w:type="dxa"/>
            <w:vAlign w:val="bottom"/>
            <w:tcBorders>
              <w:bottom w:val="single" w:sz="8" w:color="231F20"/>
            </w:tcBorders>
            <w:shd w:val="clear" w:color="auto" w:fill="CFEDF9"/>
          </w:tcPr>
          <w:p>
            <w:pPr>
              <w:spacing w:after="0"/>
              <w:rPr>
                <w:sz w:val="19"/>
                <w:szCs w:val="19"/>
                <w:color w:val="auto"/>
              </w:rPr>
            </w:pPr>
          </w:p>
        </w:tc>
        <w:tc>
          <w:tcPr>
            <w:tcW w:w="14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660" w:type="dxa"/>
            <w:vAlign w:val="bottom"/>
            <w:tcBorders>
              <w:bottom w:val="single" w:sz="8" w:color="231F20"/>
            </w:tcBorders>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Total</w:t>
            </w:r>
          </w:p>
        </w:tc>
        <w:tc>
          <w:tcPr>
            <w:tcW w:w="180" w:type="dxa"/>
            <w:vAlign w:val="bottom"/>
          </w:tcPr>
          <w:p>
            <w:pPr>
              <w:spacing w:after="0"/>
              <w:rPr>
                <w:sz w:val="19"/>
                <w:szCs w:val="19"/>
                <w:color w:val="auto"/>
              </w:rPr>
            </w:pPr>
          </w:p>
        </w:tc>
        <w:tc>
          <w:tcPr>
            <w:tcW w:w="540" w:type="dxa"/>
            <w:vAlign w:val="bottom"/>
            <w:gridSpan w:val="2"/>
          </w:tcPr>
          <w:p>
            <w:pPr>
              <w:jc w:val="right"/>
              <w:ind w:right="359"/>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3,283.1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4"/>
          </w:tcPr>
          <w:p>
            <w:pPr>
              <w:jc w:val="right"/>
              <w:ind w:right="180"/>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240" w:type="dxa"/>
            <w:vAlign w:val="bottom"/>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2,787.9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4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2831465</wp:posOffset>
                </wp:positionH>
                <wp:positionV relativeFrom="paragraph">
                  <wp:posOffset>-910590</wp:posOffset>
                </wp:positionV>
                <wp:extent cx="1057910" cy="14605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7910" cy="146050"/>
                        </a:xfrm>
                        <a:prstGeom prst="rect">
                          <a:avLst/>
                        </a:prstGeom>
                        <a:solidFill>
                          <a:srgbClr val="CFEDF9"/>
                        </a:solidFill>
                      </wps:spPr>
                      <wps:bodyPr/>
                    </wps:wsp>
                  </a:graphicData>
                </a:graphic>
              </wp:anchor>
            </w:drawing>
          </mc:Choice>
          <mc:Fallback>
            <w:pict>
              <v:rect id="Shape 31" o:spid="_x0000_s1056" style="position:absolute;margin-left:222.95pt;margin-top:-71.6999pt;width:83.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3889375</wp:posOffset>
                </wp:positionH>
                <wp:positionV relativeFrom="paragraph">
                  <wp:posOffset>-916940</wp:posOffset>
                </wp:positionV>
                <wp:extent cx="229870" cy="1524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870" cy="152400"/>
                        </a:xfrm>
                        <a:prstGeom prst="rect">
                          <a:avLst/>
                        </a:prstGeom>
                        <a:solidFill>
                          <a:srgbClr val="CFEDF9"/>
                        </a:solidFill>
                      </wps:spPr>
                      <wps:bodyPr/>
                    </wps:wsp>
                  </a:graphicData>
                </a:graphic>
              </wp:anchor>
            </w:drawing>
          </mc:Choice>
          <mc:Fallback>
            <w:pict>
              <v:rect id="Shape 32" o:spid="_x0000_s1057" style="position:absolute;margin-left:306.25pt;margin-top:-72.1999pt;width:18.1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5348605</wp:posOffset>
                </wp:positionH>
                <wp:positionV relativeFrom="paragraph">
                  <wp:posOffset>-910590</wp:posOffset>
                </wp:positionV>
                <wp:extent cx="1057910" cy="14605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7910" cy="146050"/>
                        </a:xfrm>
                        <a:prstGeom prst="rect">
                          <a:avLst/>
                        </a:prstGeom>
                        <a:solidFill>
                          <a:srgbClr val="CFEDF9"/>
                        </a:solidFill>
                      </wps:spPr>
                      <wps:bodyPr/>
                    </wps:wsp>
                  </a:graphicData>
                </a:graphic>
              </wp:anchor>
            </w:drawing>
          </mc:Choice>
          <mc:Fallback>
            <w:pict>
              <v:rect id="Shape 33" o:spid="_x0000_s1058" style="position:absolute;margin-left:421.15pt;margin-top:-71.6999pt;width:83.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Operating results for the years ended December 31, 2023, 2022 and 2021 were as follows:</w:t>
      </w:r>
    </w:p>
    <w:p>
      <w:pPr>
        <w:spacing w:after="0" w:line="27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16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4"/>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260" w:type="dxa"/>
            <w:vAlign w:val="bottom"/>
          </w:tcPr>
          <w:p>
            <w:pPr>
              <w:spacing w:after="0"/>
              <w:rPr>
                <w:sz w:val="13"/>
                <w:szCs w:val="13"/>
                <w:color w:val="auto"/>
              </w:rPr>
            </w:pPr>
          </w:p>
        </w:tc>
        <w:tc>
          <w:tcPr>
            <w:tcW w:w="118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24"/>
              <w:spacing w:after="0" w:line="155" w:lineRule="exact"/>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5700" w:type="dxa"/>
            <w:vAlign w:val="bottom"/>
            <w:tcBorders>
              <w:bottom w:val="single" w:sz="8" w:color="CFEDF9"/>
            </w:tcBorders>
          </w:tcPr>
          <w:p>
            <w:pPr>
              <w:spacing w:after="0"/>
              <w:rPr>
                <w:sz w:val="6"/>
                <w:szCs w:val="6"/>
                <w:color w:val="auto"/>
              </w:rPr>
            </w:pPr>
          </w:p>
        </w:tc>
        <w:tc>
          <w:tcPr>
            <w:tcW w:w="20" w:type="dxa"/>
            <w:vAlign w:val="bottom"/>
            <w:tcBorders>
              <w:bottom w:val="single" w:sz="8" w:color="CFEDF9"/>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1060" w:type="dxa"/>
            <w:vAlign w:val="bottom"/>
            <w:tcBorders>
              <w:bottom w:val="single" w:sz="8" w:color="231F20"/>
            </w:tcBorders>
            <w:vMerge w:val="continue"/>
          </w:tcPr>
          <w:p>
            <w:pPr>
              <w:spacing w:after="0"/>
              <w:rPr>
                <w:sz w:val="6"/>
                <w:szCs w:val="6"/>
                <w:color w:val="auto"/>
              </w:rPr>
            </w:pPr>
          </w:p>
        </w:tc>
        <w:tc>
          <w:tcPr>
            <w:tcW w:w="260" w:type="dxa"/>
            <w:vAlign w:val="bottom"/>
            <w:tcBorders>
              <w:bottom w:val="single" w:sz="8" w:color="CFEDF9"/>
            </w:tcBorders>
          </w:tcPr>
          <w:p>
            <w:pPr>
              <w:spacing w:after="0"/>
              <w:rPr>
                <w:sz w:val="6"/>
                <w:szCs w:val="6"/>
                <w:color w:val="auto"/>
              </w:rPr>
            </w:pPr>
          </w:p>
        </w:tc>
        <w:tc>
          <w:tcPr>
            <w:tcW w:w="12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vMerge w:val="continue"/>
          </w:tcPr>
          <w:p>
            <w:pPr>
              <w:spacing w:after="0"/>
              <w:rPr>
                <w:sz w:val="6"/>
                <w:szCs w:val="6"/>
                <w:color w:val="auto"/>
              </w:rPr>
            </w:pPr>
          </w:p>
        </w:tc>
        <w:tc>
          <w:tcPr>
            <w:tcW w:w="80" w:type="dxa"/>
            <w:vAlign w:val="bottom"/>
            <w:tcBorders>
              <w:bottom w:val="single" w:sz="8" w:color="CFEDF9"/>
            </w:tcBorders>
          </w:tcPr>
          <w:p>
            <w:pPr>
              <w:spacing w:after="0"/>
              <w:rPr>
                <w:sz w:val="6"/>
                <w:szCs w:val="6"/>
                <w:color w:val="auto"/>
              </w:rPr>
            </w:pPr>
          </w:p>
        </w:tc>
        <w:tc>
          <w:tcPr>
            <w:tcW w:w="160" w:type="dxa"/>
            <w:vAlign w:val="bottom"/>
            <w:tcBorders>
              <w:bottom w:val="single" w:sz="8" w:color="231F20"/>
            </w:tcBorders>
          </w:tcPr>
          <w:p>
            <w:pPr>
              <w:spacing w:after="0"/>
              <w:rPr>
                <w:sz w:val="6"/>
                <w:szCs w:val="6"/>
                <w:color w:val="auto"/>
              </w:rPr>
            </w:pPr>
          </w:p>
        </w:tc>
        <w:tc>
          <w:tcPr>
            <w:tcW w:w="100" w:type="dxa"/>
            <w:vAlign w:val="bottom"/>
            <w:tcBorders>
              <w:bottom w:val="single" w:sz="8" w:color="231F20"/>
            </w:tcBorders>
          </w:tcPr>
          <w:p>
            <w:pPr>
              <w:spacing w:after="0"/>
              <w:rPr>
                <w:sz w:val="6"/>
                <w:szCs w:val="6"/>
                <w:color w:val="auto"/>
              </w:rPr>
            </w:pPr>
          </w:p>
        </w:tc>
        <w:tc>
          <w:tcPr>
            <w:tcW w:w="1060" w:type="dxa"/>
            <w:vAlign w:val="bottom"/>
            <w:tcBorders>
              <w:bottom w:val="single" w:sz="8" w:color="231F20"/>
            </w:tcBorders>
            <w:vMerge w:val="continue"/>
          </w:tcPr>
          <w:p>
            <w:pPr>
              <w:spacing w:after="0"/>
              <w:rPr>
                <w:sz w:val="6"/>
                <w:szCs w:val="6"/>
                <w:color w:val="auto"/>
              </w:rPr>
            </w:pPr>
          </w:p>
        </w:tc>
        <w:tc>
          <w:tcPr>
            <w:tcW w:w="100" w:type="dxa"/>
            <w:vAlign w:val="bottom"/>
            <w:tcBorders>
              <w:bottom w:val="single" w:sz="8" w:color="CFEDF9"/>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70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Total investment income</w:t>
            </w: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438.1</w:t>
            </w: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309.3</w:t>
            </w:r>
          </w:p>
        </w:tc>
        <w:tc>
          <w:tcPr>
            <w:tcW w:w="80" w:type="dxa"/>
            <w:vAlign w:val="bottom"/>
            <w:shd w:val="clear" w:color="auto" w:fill="CFEDF9"/>
          </w:tcPr>
          <w:p>
            <w:pPr>
              <w:spacing w:after="0"/>
              <w:rPr>
                <w:sz w:val="19"/>
                <w:szCs w:val="19"/>
                <w:color w:val="auto"/>
              </w:rPr>
            </w:pPr>
          </w:p>
        </w:tc>
        <w:tc>
          <w:tcPr>
            <w:tcW w:w="260" w:type="dxa"/>
            <w:vAlign w:val="bottom"/>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278.6</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Less: Net expenses</w:t>
            </w:r>
          </w:p>
        </w:tc>
        <w:tc>
          <w:tcPr>
            <w:tcW w:w="20" w:type="dxa"/>
            <w:vAlign w:val="bottom"/>
            <w:tcBorders>
              <w:bottom w:val="single" w:sz="8" w:color="CFEDF9"/>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239.3</w:t>
            </w:r>
          </w:p>
        </w:tc>
        <w:tc>
          <w:tcPr>
            <w:tcW w:w="260" w:type="dxa"/>
            <w:vAlign w:val="bottom"/>
            <w:tcBorders>
              <w:bottom w:val="single" w:sz="8" w:color="CFEDF9"/>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140.4</w:t>
            </w:r>
          </w:p>
        </w:tc>
        <w:tc>
          <w:tcPr>
            <w:tcW w:w="80" w:type="dxa"/>
            <w:vAlign w:val="bottom"/>
            <w:tcBorders>
              <w:bottom w:val="single" w:sz="8" w:color="CFEDF9"/>
            </w:tcBorders>
          </w:tcPr>
          <w:p>
            <w:pPr>
              <w:spacing w:after="0"/>
              <w:rPr>
                <w:sz w:val="19"/>
                <w:szCs w:val="19"/>
                <w:color w:val="auto"/>
              </w:rPr>
            </w:pPr>
          </w:p>
        </w:tc>
        <w:tc>
          <w:tcPr>
            <w:tcW w:w="160" w:type="dxa"/>
            <w:vAlign w:val="bottom"/>
            <w:tcBorders>
              <w:bottom w:val="single" w:sz="8" w:color="CFEDF9"/>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135.8</w:t>
            </w: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0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color w:val="231F20"/>
              </w:rPr>
              <w:t>Net investment income before income taxes</w:t>
            </w: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198.8</w:t>
            </w: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9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168.9</w:t>
            </w:r>
          </w:p>
        </w:tc>
        <w:tc>
          <w:tcPr>
            <w:tcW w:w="8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0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142.8</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EDF9"/>
            </w:tcBorders>
          </w:tcPr>
          <w:p>
            <w:pPr>
              <w:ind w:left="200"/>
              <w:spacing w:after="0"/>
              <w:rPr>
                <w:sz w:val="20"/>
                <w:szCs w:val="20"/>
                <w:color w:val="auto"/>
              </w:rPr>
            </w:pPr>
            <w:r>
              <w:rPr>
                <w:rFonts w:ascii="Times New Roman" w:cs="Times New Roman" w:eastAsia="Times New Roman" w:hAnsi="Times New Roman"/>
                <w:sz w:val="20"/>
                <w:szCs w:val="20"/>
                <w:color w:val="231F20"/>
              </w:rPr>
              <w:t>Less: Income taxes, including excise taxes</w:t>
            </w:r>
          </w:p>
        </w:tc>
        <w:tc>
          <w:tcPr>
            <w:tcW w:w="20" w:type="dxa"/>
            <w:vAlign w:val="bottom"/>
            <w:tcBorders>
              <w:bottom w:val="single" w:sz="8" w:color="CFEDF9"/>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260" w:type="dxa"/>
            <w:vAlign w:val="bottom"/>
            <w:tcBorders>
              <w:bottom w:val="single" w:sz="8" w:color="CFEDF9"/>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80" w:type="dxa"/>
            <w:vAlign w:val="bottom"/>
            <w:tcBorders>
              <w:bottom w:val="single" w:sz="8" w:color="CFEDF9"/>
            </w:tcBorders>
          </w:tcPr>
          <w:p>
            <w:pPr>
              <w:spacing w:after="0"/>
              <w:rPr>
                <w:sz w:val="19"/>
                <w:szCs w:val="19"/>
                <w:color w:val="auto"/>
              </w:rPr>
            </w:pPr>
          </w:p>
        </w:tc>
        <w:tc>
          <w:tcPr>
            <w:tcW w:w="160" w:type="dxa"/>
            <w:vAlign w:val="bottom"/>
            <w:tcBorders>
              <w:bottom w:val="single" w:sz="8" w:color="CFEDF9"/>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0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color w:val="231F20"/>
              </w:rPr>
              <w:t>Net investment income</w:t>
            </w: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196.4</w:t>
            </w: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9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166.3</w:t>
            </w:r>
          </w:p>
        </w:tc>
        <w:tc>
          <w:tcPr>
            <w:tcW w:w="8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0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142.4</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Net realized gains (losses) </w:t>
            </w:r>
            <w:r>
              <w:rPr>
                <w:rFonts w:ascii="Times New Roman" w:cs="Times New Roman" w:eastAsia="Times New Roman" w:hAnsi="Times New Roman"/>
                <w:sz w:val="26"/>
                <w:szCs w:val="26"/>
                <w:color w:val="231F20"/>
                <w:vertAlign w:val="superscript"/>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Net change in unrealized gains (losses) </w:t>
            </w:r>
            <w:r>
              <w:rPr>
                <w:rFonts w:ascii="Times New Roman" w:cs="Times New Roman" w:eastAsia="Times New Roman" w:hAnsi="Times New Roman"/>
                <w:sz w:val="26"/>
                <w:szCs w:val="26"/>
                <w:color w:val="231F20"/>
                <w:vertAlign w:val="superscript"/>
              </w:rPr>
              <w:t>(1)</w:t>
            </w: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13.2</w:t>
            </w: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0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(74.9)</w:t>
            </w:r>
          </w:p>
        </w:tc>
        <w:tc>
          <w:tcPr>
            <w:tcW w:w="16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0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40.5</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Net increase (decrease) in net assets resulting from operations</w:t>
            </w:r>
          </w:p>
        </w:tc>
        <w:tc>
          <w:tcPr>
            <w:tcW w:w="20" w:type="dxa"/>
            <w:vAlign w:val="bottom"/>
          </w:tcPr>
          <w:p>
            <w:pPr>
              <w:spacing w:after="0"/>
              <w:rPr>
                <w:sz w:val="19"/>
                <w:szCs w:val="19"/>
                <w:color w:val="auto"/>
              </w:rPr>
            </w:pPr>
          </w:p>
        </w:tc>
        <w:tc>
          <w:tcPr>
            <w:tcW w:w="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222.0</w:t>
            </w:r>
          </w:p>
        </w:tc>
        <w:tc>
          <w:tcPr>
            <w:tcW w:w="26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231F20"/>
        </w:rPr>
        <w:t>(1)</w:t>
        <w:tab/>
        <w:t>Includes foreign exchange hedging activity.</w:t>
      </w:r>
    </w:p>
    <w:p>
      <w:pPr>
        <w:sectPr>
          <w:pgSz w:w="12240" w:h="15840" w:orient="portrait"/>
          <w:cols w:equalWidth="0" w:num="1">
            <w:col w:w="10800"/>
          </w:cols>
          <w:pgMar w:left="720" w:top="944"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2240" w:h="15840" w:orient="portrait"/>
          <w:cols w:equalWidth="0" w:num="1">
            <w:col w:w="10800"/>
          </w:cols>
          <w:pgMar w:left="720" w:top="944" w:right="720" w:bottom="175"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Investment Income</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2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2880" w:type="dxa"/>
            <w:vAlign w:val="bottom"/>
            <w:tcBorders>
              <w:bottom w:val="single" w:sz="8" w:color="231F20"/>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7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720" w:type="dxa"/>
            <w:vAlign w:val="bottom"/>
            <w:tcBorders>
              <w:bottom w:val="single" w:sz="8" w:color="CFEDF9"/>
            </w:tcBorders>
            <w:vMerge w:val="continue"/>
          </w:tcPr>
          <w:p>
            <w:pPr>
              <w:spacing w:after="0"/>
              <w:rPr>
                <w:sz w:val="15"/>
                <w:szCs w:val="15"/>
                <w:color w:val="auto"/>
              </w:rPr>
            </w:pPr>
          </w:p>
        </w:tc>
        <w:tc>
          <w:tcPr>
            <w:tcW w:w="20" w:type="dxa"/>
            <w:vAlign w:val="bottom"/>
            <w:tcBorders>
              <w:bottom w:val="single" w:sz="8" w:color="CFEDF9"/>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ind w:right="327"/>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Borders>
              <w:bottom w:val="single" w:sz="8" w:color="CFEDF9"/>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right"/>
              <w:ind w:right="304"/>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240" w:type="dxa"/>
            <w:vAlign w:val="bottom"/>
            <w:tcBorders>
              <w:bottom w:val="single" w:sz="8" w:color="CFEDF9"/>
            </w:tcBorders>
          </w:tcPr>
          <w:p>
            <w:pPr>
              <w:spacing w:after="0"/>
              <w:rPr>
                <w:sz w:val="15"/>
                <w:szCs w:val="15"/>
                <w:color w:val="auto"/>
              </w:rPr>
            </w:pPr>
          </w:p>
        </w:tc>
        <w:tc>
          <w:tcPr>
            <w:tcW w:w="3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324"/>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2021</w:t>
            </w:r>
          </w:p>
        </w:tc>
        <w:tc>
          <w:tcPr>
            <w:tcW w:w="100" w:type="dxa"/>
            <w:vAlign w:val="bottom"/>
            <w:tcBorders>
              <w:bottom w:val="single" w:sz="8" w:color="CFEDF9"/>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72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Interest from investments</w:t>
            </w: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418.8</w:t>
            </w:r>
          </w:p>
        </w:tc>
        <w:tc>
          <w:tcPr>
            <w:tcW w:w="220" w:type="dxa"/>
            <w:vAlign w:val="bottom"/>
            <w:shd w:val="clear" w:color="auto" w:fill="CFEDF9"/>
          </w:tcPr>
          <w:p>
            <w:pPr>
              <w:spacing w:after="0"/>
              <w:rPr>
                <w:sz w:val="19"/>
                <w:szCs w:val="19"/>
                <w:color w:val="auto"/>
              </w:rPr>
            </w:pPr>
          </w:p>
        </w:tc>
        <w:tc>
          <w:tcPr>
            <w:tcW w:w="260" w:type="dxa"/>
            <w:vAlign w:val="bottom"/>
            <w:shd w:val="clear" w:color="auto" w:fill="CFEDF9"/>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297.6</w:t>
            </w:r>
          </w:p>
        </w:tc>
        <w:tc>
          <w:tcPr>
            <w:tcW w:w="240" w:type="dxa"/>
            <w:vAlign w:val="bottom"/>
            <w:shd w:val="clear" w:color="auto" w:fill="CFEDF9"/>
          </w:tcPr>
          <w:p>
            <w:pPr>
              <w:spacing w:after="0"/>
              <w:rPr>
                <w:sz w:val="19"/>
                <w:szCs w:val="19"/>
                <w:color w:val="auto"/>
              </w:rPr>
            </w:pPr>
          </w:p>
        </w:tc>
        <w:tc>
          <w:tcPr>
            <w:tcW w:w="380" w:type="dxa"/>
            <w:vAlign w:val="bottom"/>
            <w:shd w:val="clear" w:color="auto" w:fill="CFEDF9"/>
          </w:tcPr>
          <w:p>
            <w:pPr>
              <w:jc w:val="right"/>
              <w:ind w:right="1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266.7</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231F20"/>
              </w:rPr>
              <w:t>Dividend 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Other income</w:t>
            </w:r>
          </w:p>
        </w:tc>
        <w:tc>
          <w:tcPr>
            <w:tcW w:w="20" w:type="dxa"/>
            <w:vAlign w:val="bottom"/>
            <w:shd w:val="clear" w:color="auto" w:fill="CFEDF9"/>
          </w:tcPr>
          <w:p>
            <w:pPr>
              <w:spacing w:after="0"/>
              <w:rPr>
                <w:sz w:val="19"/>
                <w:szCs w:val="19"/>
                <w:color w:val="auto"/>
              </w:rPr>
            </w:pPr>
          </w:p>
        </w:tc>
        <w:tc>
          <w:tcPr>
            <w:tcW w:w="240" w:type="dxa"/>
            <w:vAlign w:val="bottom"/>
            <w:tcBorders>
              <w:bottom w:val="single" w:sz="8" w:color="231F20"/>
            </w:tcBorders>
            <w:shd w:val="clear" w:color="auto" w:fill="CFEDF9"/>
          </w:tcPr>
          <w:p>
            <w:pPr>
              <w:spacing w:after="0"/>
              <w:rPr>
                <w:sz w:val="19"/>
                <w:szCs w:val="19"/>
                <w:color w:val="auto"/>
              </w:rPr>
            </w:pPr>
          </w:p>
        </w:tc>
        <w:tc>
          <w:tcPr>
            <w:tcW w:w="9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15.1</w:t>
            </w:r>
          </w:p>
        </w:tc>
        <w:tc>
          <w:tcPr>
            <w:tcW w:w="220" w:type="dxa"/>
            <w:vAlign w:val="bottom"/>
            <w:shd w:val="clear" w:color="auto" w:fill="CFEDF9"/>
          </w:tcPr>
          <w:p>
            <w:pPr>
              <w:spacing w:after="0"/>
              <w:rPr>
                <w:sz w:val="19"/>
                <w:szCs w:val="19"/>
                <w:color w:val="auto"/>
              </w:rPr>
            </w:pPr>
          </w:p>
        </w:tc>
        <w:tc>
          <w:tcPr>
            <w:tcW w:w="260" w:type="dxa"/>
            <w:vAlign w:val="bottom"/>
            <w:tcBorders>
              <w:bottom w:val="single" w:sz="8" w:color="231F20"/>
            </w:tcBorders>
            <w:shd w:val="clear" w:color="auto" w:fill="CFEDF9"/>
          </w:tcPr>
          <w:p>
            <w:pPr>
              <w:spacing w:after="0"/>
              <w:rPr>
                <w:sz w:val="19"/>
                <w:szCs w:val="19"/>
                <w:color w:val="auto"/>
              </w:rPr>
            </w:pPr>
          </w:p>
        </w:tc>
        <w:tc>
          <w:tcPr>
            <w:tcW w:w="8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240" w:type="dxa"/>
            <w:vAlign w:val="bottom"/>
            <w:shd w:val="clear" w:color="auto" w:fill="CFEDF9"/>
          </w:tcPr>
          <w:p>
            <w:pPr>
              <w:spacing w:after="0"/>
              <w:rPr>
                <w:sz w:val="19"/>
                <w:szCs w:val="19"/>
                <w:color w:val="auto"/>
              </w:rPr>
            </w:pPr>
          </w:p>
        </w:tc>
        <w:tc>
          <w:tcPr>
            <w:tcW w:w="380" w:type="dxa"/>
            <w:vAlign w:val="bottom"/>
            <w:tcBorders>
              <w:bottom w:val="single" w:sz="8" w:color="231F20"/>
            </w:tcBorders>
            <w:shd w:val="clear" w:color="auto" w:fill="CFEDF9"/>
          </w:tcPr>
          <w:p>
            <w:pPr>
              <w:spacing w:after="0"/>
              <w:rPr>
                <w:sz w:val="19"/>
                <w:szCs w:val="19"/>
                <w:color w:val="auto"/>
              </w:rPr>
            </w:pPr>
          </w:p>
        </w:tc>
        <w:tc>
          <w:tcPr>
            <w:tcW w:w="7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investment income</w:t>
            </w:r>
          </w:p>
        </w:tc>
        <w:tc>
          <w:tcPr>
            <w:tcW w:w="20" w:type="dxa"/>
            <w:vAlign w:val="bottom"/>
          </w:tcPr>
          <w:p>
            <w:pPr>
              <w:spacing w:after="0"/>
              <w:rPr>
                <w:sz w:val="19"/>
                <w:szCs w:val="19"/>
                <w:color w:val="auto"/>
              </w:rPr>
            </w:pPr>
          </w:p>
        </w:tc>
        <w:tc>
          <w:tcPr>
            <w:tcW w:w="240" w:type="dxa"/>
            <w:vAlign w:val="bottom"/>
            <w:tcBorders>
              <w:bottom w:val="single" w:sz="8" w:color="231F20"/>
            </w:tcBorders>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438.1</w:t>
            </w:r>
          </w:p>
        </w:tc>
        <w:tc>
          <w:tcPr>
            <w:tcW w:w="22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309.3</w:t>
            </w:r>
          </w:p>
        </w:tc>
        <w:tc>
          <w:tcPr>
            <w:tcW w:w="240" w:type="dxa"/>
            <w:vAlign w:val="bottom"/>
          </w:tcPr>
          <w:p>
            <w:pPr>
              <w:spacing w:after="0"/>
              <w:rPr>
                <w:sz w:val="19"/>
                <w:szCs w:val="19"/>
                <w:color w:val="auto"/>
              </w:rPr>
            </w:pPr>
          </w:p>
        </w:tc>
        <w:tc>
          <w:tcPr>
            <w:tcW w:w="380" w:type="dxa"/>
            <w:vAlign w:val="bottom"/>
            <w:tcBorders>
              <w:bottom w:val="single" w:sz="8" w:color="231F20"/>
            </w:tcBorders>
          </w:tcPr>
          <w:p>
            <w:pPr>
              <w:jc w:val="right"/>
              <w:ind w:right="1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231F20"/>
        </w:rPr>
        <w:t>Interest from investments, which includes amortization of upfront fees and prepayment fees, increased from $297.6 million for the year ended December 31, 2022 to $418.8 million for the year ended December 31, 2023. The increase in interest from investments was primarily the result of an increase in interest earned due to an increase in reference rates for the year ended December 31, 2023 compared to the same period in 2022 and a larger average portfolio size for the year ended December 31, 2023 compared to the same period in 2022. Dividend income increased from $2.2 million for the year ended December 31, 2022 to $4.2 million for the year ended December 31, 2023 due to increased investments in dividend yielding securities in 2023. Other income increased from $9.5 million for the year ended December 31, 2022 to $15.1 million for the year ended December 31, 2023, primarily due to increased amendment and other miscellaneous fees earned during 2023.</w:t>
      </w:r>
    </w:p>
    <w:p>
      <w:pPr>
        <w:spacing w:after="0" w:line="202"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Interest from investments, which includes amortization of upfront fees and prepayment fees, increased from $266.7 million for the year ended December 31, 2021 to $297.6 million for the year ended December 31, 2022, primarily due to an increase in interest rates and total assets outstanding for the year ended December 31, 2022 compared to the same period in 2021. Dividend income decreased from $4.2 million for the year ended December 31, 2021 to $2.2 million for the year ended December 31, 2022 due to decreased investment in dividend yielding securities in 2022. Other income increased from $7.7 million for the year ended December 31, 2021 to $9.5 million for the year ended December 31, 2022, primarily due to increased amendment and other miscellaneous fees earned during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Expenses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Operating expenses for the years ended December 31, 2023, 2022 and 2021 were as follows:</w:t>
      </w:r>
    </w:p>
    <w:p>
      <w:pPr>
        <w:spacing w:after="0" w:line="27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86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2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2820" w:type="dxa"/>
            <w:vAlign w:val="bottom"/>
            <w:tcBorders>
              <w:bottom w:val="single" w:sz="8" w:color="231F20"/>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c>
          <w:tcPr>
            <w:tcW w:w="68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860" w:type="dxa"/>
            <w:vAlign w:val="bottom"/>
            <w:tcBorders>
              <w:bottom w:val="single" w:sz="8" w:color="CFEDF9"/>
            </w:tcBorders>
            <w:vMerge w:val="continue"/>
          </w:tcPr>
          <w:p>
            <w:pPr>
              <w:spacing w:after="0"/>
              <w:rPr>
                <w:sz w:val="15"/>
                <w:szCs w:val="15"/>
                <w:color w:val="auto"/>
              </w:rPr>
            </w:pPr>
          </w:p>
        </w:tc>
        <w:tc>
          <w:tcPr>
            <w:tcW w:w="20" w:type="dxa"/>
            <w:vAlign w:val="bottom"/>
            <w:tcBorders>
              <w:bottom w:val="single" w:sz="8" w:color="CFEDF9"/>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right"/>
              <w:ind w:right="324"/>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240" w:type="dxa"/>
            <w:vAlign w:val="bottom"/>
            <w:tcBorders>
              <w:bottom w:val="single" w:sz="8" w:color="CFEDF9"/>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ind w:right="322"/>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00" w:type="dxa"/>
            <w:vAlign w:val="bottom"/>
            <w:tcBorders>
              <w:bottom w:val="single" w:sz="8" w:color="CFEDF9"/>
            </w:tcBorders>
          </w:tcPr>
          <w:p>
            <w:pPr>
              <w:spacing w:after="0"/>
              <w:rPr>
                <w:sz w:val="15"/>
                <w:szCs w:val="15"/>
                <w:color w:val="auto"/>
              </w:rPr>
            </w:pPr>
          </w:p>
        </w:tc>
        <w:tc>
          <w:tcPr>
            <w:tcW w:w="46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ind w:right="242"/>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2021</w:t>
            </w:r>
          </w:p>
        </w:tc>
        <w:tc>
          <w:tcPr>
            <w:tcW w:w="100" w:type="dxa"/>
            <w:vAlign w:val="bottom"/>
            <w:tcBorders>
              <w:bottom w:val="single" w:sz="8" w:color="CFEDF9"/>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Interest</w:t>
            </w: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133.7</w:t>
            </w:r>
          </w:p>
        </w:tc>
        <w:tc>
          <w:tcPr>
            <w:tcW w:w="240" w:type="dxa"/>
            <w:vAlign w:val="bottom"/>
            <w:shd w:val="clear" w:color="auto" w:fill="CFEDF9"/>
          </w:tcPr>
          <w:p>
            <w:pPr>
              <w:spacing w:after="0"/>
              <w:rPr>
                <w:sz w:val="19"/>
                <w:szCs w:val="19"/>
                <w:color w:val="auto"/>
              </w:rPr>
            </w:pPr>
          </w:p>
        </w:tc>
        <w:tc>
          <w:tcPr>
            <w:tcW w:w="240" w:type="dxa"/>
            <w:vAlign w:val="bottom"/>
            <w:shd w:val="clear" w:color="auto" w:fill="CFEDF9"/>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63.0</w:t>
            </w:r>
          </w:p>
        </w:tc>
        <w:tc>
          <w:tcPr>
            <w:tcW w:w="100" w:type="dxa"/>
            <w:vAlign w:val="bottom"/>
            <w:shd w:val="clear" w:color="auto" w:fill="CFEDF9"/>
          </w:tcPr>
          <w:p>
            <w:pPr>
              <w:spacing w:after="0"/>
              <w:rPr>
                <w:sz w:val="19"/>
                <w:szCs w:val="19"/>
                <w:color w:val="auto"/>
              </w:rPr>
            </w:pPr>
          </w:p>
        </w:tc>
        <w:tc>
          <w:tcPr>
            <w:tcW w:w="460" w:type="dxa"/>
            <w:vAlign w:val="bottom"/>
            <w:shd w:val="clear" w:color="auto" w:fill="CFEDF9"/>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38.8</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231F20"/>
              </w:rPr>
              <w:t>Management fees (net of waivers)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EDF9"/>
          </w:tcPr>
          <w:p>
            <w:pPr>
              <w:spacing w:after="0" w:line="210" w:lineRule="exact"/>
              <w:rPr>
                <w:sz w:val="20"/>
                <w:szCs w:val="20"/>
                <w:color w:val="auto"/>
              </w:rPr>
            </w:pPr>
            <w:r>
              <w:rPr>
                <w:rFonts w:ascii="Times New Roman" w:cs="Times New Roman" w:eastAsia="Times New Roman" w:hAnsi="Times New Roman"/>
                <w:sz w:val="20"/>
                <w:szCs w:val="20"/>
                <w:color w:val="231F20"/>
              </w:rPr>
              <w:t>Incentive fees related to pre-incentive fee net investment</w:t>
            </w:r>
          </w:p>
        </w:tc>
        <w:tc>
          <w:tcPr>
            <w:tcW w:w="2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88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90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460" w:type="dxa"/>
            <w:vAlign w:val="bottom"/>
            <w:shd w:val="clear" w:color="auto" w:fill="CFEDF9"/>
          </w:tcPr>
          <w:p>
            <w:pPr>
              <w:spacing w:after="0"/>
              <w:rPr>
                <w:sz w:val="18"/>
                <w:szCs w:val="18"/>
                <w:color w:val="auto"/>
              </w:rPr>
            </w:pPr>
          </w:p>
        </w:tc>
        <w:tc>
          <w:tcPr>
            <w:tcW w:w="68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6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color w:val="231F20"/>
              </w:rPr>
              <w:t>income (net of waivers)</w:t>
            </w:r>
          </w:p>
        </w:tc>
        <w:tc>
          <w:tcPr>
            <w:tcW w:w="20" w:type="dxa"/>
            <w:vAlign w:val="bottom"/>
            <w:shd w:val="clear" w:color="auto" w:fill="CFEDF9"/>
          </w:tcPr>
          <w:p>
            <w:pPr>
              <w:spacing w:after="0"/>
              <w:rPr>
                <w:sz w:val="21"/>
                <w:szCs w:val="21"/>
                <w:color w:val="auto"/>
              </w:rPr>
            </w:pPr>
          </w:p>
        </w:tc>
        <w:tc>
          <w:tcPr>
            <w:tcW w:w="240" w:type="dxa"/>
            <w:vAlign w:val="bottom"/>
            <w:shd w:val="clear" w:color="auto" w:fill="CFEDF9"/>
          </w:tcPr>
          <w:p>
            <w:pPr>
              <w:spacing w:after="0"/>
              <w:rPr>
                <w:sz w:val="21"/>
                <w:szCs w:val="21"/>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42.6</w:t>
            </w:r>
          </w:p>
        </w:tc>
        <w:tc>
          <w:tcPr>
            <w:tcW w:w="240" w:type="dxa"/>
            <w:vAlign w:val="bottom"/>
            <w:shd w:val="clear" w:color="auto" w:fill="CFEDF9"/>
          </w:tcPr>
          <w:p>
            <w:pPr>
              <w:spacing w:after="0"/>
              <w:rPr>
                <w:sz w:val="21"/>
                <w:szCs w:val="21"/>
                <w:color w:val="auto"/>
              </w:rPr>
            </w:pPr>
          </w:p>
        </w:tc>
        <w:tc>
          <w:tcPr>
            <w:tcW w:w="240" w:type="dxa"/>
            <w:vAlign w:val="bottom"/>
            <w:shd w:val="clear" w:color="auto" w:fill="CFEDF9"/>
          </w:tcPr>
          <w:p>
            <w:pPr>
              <w:spacing w:after="0"/>
              <w:rPr>
                <w:sz w:val="21"/>
                <w:szCs w:val="21"/>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33.4</w:t>
            </w:r>
          </w:p>
        </w:tc>
        <w:tc>
          <w:tcPr>
            <w:tcW w:w="100" w:type="dxa"/>
            <w:vAlign w:val="bottom"/>
            <w:shd w:val="clear" w:color="auto" w:fill="CFEDF9"/>
          </w:tcPr>
          <w:p>
            <w:pPr>
              <w:spacing w:after="0"/>
              <w:rPr>
                <w:sz w:val="21"/>
                <w:szCs w:val="21"/>
                <w:color w:val="auto"/>
              </w:rPr>
            </w:pPr>
          </w:p>
        </w:tc>
        <w:tc>
          <w:tcPr>
            <w:tcW w:w="460" w:type="dxa"/>
            <w:vAlign w:val="bottom"/>
            <w:shd w:val="clear" w:color="auto" w:fill="CFEDF9"/>
          </w:tcPr>
          <w:p>
            <w:pPr>
              <w:spacing w:after="0"/>
              <w:rPr>
                <w:sz w:val="21"/>
                <w:szCs w:val="21"/>
                <w:color w:val="auto"/>
              </w:rPr>
            </w:pPr>
          </w:p>
        </w:tc>
        <w:tc>
          <w:tcPr>
            <w:tcW w:w="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33.1</w:t>
            </w:r>
          </w:p>
        </w:tc>
        <w:tc>
          <w:tcPr>
            <w:tcW w:w="10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231F20"/>
              </w:rPr>
              <w:t>Incentive fees related to realized/unrealized capital gains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(8.9)</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Professional fees</w:t>
            </w: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2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7.2</w:t>
            </w:r>
          </w:p>
        </w:tc>
        <w:tc>
          <w:tcPr>
            <w:tcW w:w="100" w:type="dxa"/>
            <w:vAlign w:val="bottom"/>
            <w:shd w:val="clear" w:color="auto" w:fill="CFEDF9"/>
          </w:tcPr>
          <w:p>
            <w:pPr>
              <w:spacing w:after="0"/>
              <w:rPr>
                <w:sz w:val="19"/>
                <w:szCs w:val="19"/>
                <w:color w:val="auto"/>
              </w:rPr>
            </w:pPr>
          </w:p>
        </w:tc>
        <w:tc>
          <w:tcPr>
            <w:tcW w:w="460" w:type="dxa"/>
            <w:vAlign w:val="bottom"/>
            <w:shd w:val="clear" w:color="auto" w:fill="CFEDF9"/>
          </w:tcPr>
          <w:p>
            <w:pPr>
              <w:spacing w:after="0"/>
              <w:rPr>
                <w:sz w:val="19"/>
                <w:szCs w:val="19"/>
                <w:color w:val="auto"/>
              </w:rPr>
            </w:pPr>
          </w:p>
        </w:tc>
        <w:tc>
          <w:tcPr>
            <w:tcW w:w="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231F20"/>
              </w:rPr>
              <w:t>Directors fees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Other general and administrative</w:t>
            </w:r>
          </w:p>
        </w:tc>
        <w:tc>
          <w:tcPr>
            <w:tcW w:w="20" w:type="dxa"/>
            <w:vAlign w:val="bottom"/>
            <w:shd w:val="clear" w:color="auto" w:fill="CFEDF9"/>
          </w:tcPr>
          <w:p>
            <w:pPr>
              <w:spacing w:after="0"/>
              <w:rPr>
                <w:sz w:val="19"/>
                <w:szCs w:val="19"/>
                <w:color w:val="auto"/>
              </w:rPr>
            </w:pPr>
          </w:p>
        </w:tc>
        <w:tc>
          <w:tcPr>
            <w:tcW w:w="240" w:type="dxa"/>
            <w:vAlign w:val="bottom"/>
            <w:tcBorders>
              <w:bottom w:val="single" w:sz="8" w:color="231F20"/>
            </w:tcBorders>
            <w:shd w:val="clear" w:color="auto" w:fill="CFEDF9"/>
          </w:tcPr>
          <w:p>
            <w:pPr>
              <w:spacing w:after="0"/>
              <w:rPr>
                <w:sz w:val="19"/>
                <w:szCs w:val="19"/>
                <w:color w:val="auto"/>
              </w:rPr>
            </w:pPr>
          </w:p>
        </w:tc>
        <w:tc>
          <w:tcPr>
            <w:tcW w:w="8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5.3</w:t>
            </w:r>
          </w:p>
        </w:tc>
        <w:tc>
          <w:tcPr>
            <w:tcW w:w="240" w:type="dxa"/>
            <w:vAlign w:val="bottom"/>
            <w:shd w:val="clear" w:color="auto" w:fill="CFEDF9"/>
          </w:tcPr>
          <w:p>
            <w:pPr>
              <w:spacing w:after="0"/>
              <w:rPr>
                <w:sz w:val="19"/>
                <w:szCs w:val="19"/>
                <w:color w:val="auto"/>
              </w:rPr>
            </w:pPr>
          </w:p>
        </w:tc>
        <w:tc>
          <w:tcPr>
            <w:tcW w:w="240" w:type="dxa"/>
            <w:vAlign w:val="bottom"/>
            <w:tcBorders>
              <w:bottom w:val="single" w:sz="8" w:color="231F20"/>
            </w:tcBorders>
            <w:shd w:val="clear" w:color="auto" w:fill="CFEDF9"/>
          </w:tcPr>
          <w:p>
            <w:pPr>
              <w:spacing w:after="0"/>
              <w:rPr>
                <w:sz w:val="19"/>
                <w:szCs w:val="19"/>
                <w:color w:val="auto"/>
              </w:rPr>
            </w:pPr>
          </w:p>
        </w:tc>
        <w:tc>
          <w:tcPr>
            <w:tcW w:w="9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100" w:type="dxa"/>
            <w:vAlign w:val="bottom"/>
            <w:shd w:val="clear" w:color="auto" w:fill="CFEDF9"/>
          </w:tcPr>
          <w:p>
            <w:pPr>
              <w:spacing w:after="0"/>
              <w:rPr>
                <w:sz w:val="19"/>
                <w:szCs w:val="19"/>
                <w:color w:val="auto"/>
              </w:rPr>
            </w:pPr>
          </w:p>
        </w:tc>
        <w:tc>
          <w:tcPr>
            <w:tcW w:w="460" w:type="dxa"/>
            <w:vAlign w:val="bottom"/>
            <w:tcBorders>
              <w:bottom w:val="single" w:sz="8" w:color="231F20"/>
            </w:tcBorders>
            <w:shd w:val="clear" w:color="auto" w:fill="CFEDF9"/>
          </w:tcPr>
          <w:p>
            <w:pPr>
              <w:spacing w:after="0"/>
              <w:rPr>
                <w:sz w:val="19"/>
                <w:szCs w:val="19"/>
                <w:color w:val="auto"/>
              </w:rPr>
            </w:pPr>
          </w:p>
        </w:tc>
        <w:tc>
          <w:tcPr>
            <w:tcW w:w="6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6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Net Expenses</w:t>
            </w:r>
          </w:p>
        </w:tc>
        <w:tc>
          <w:tcPr>
            <w:tcW w:w="20" w:type="dxa"/>
            <w:vAlign w:val="bottom"/>
          </w:tcPr>
          <w:p>
            <w:pPr>
              <w:spacing w:after="0"/>
              <w:rPr>
                <w:sz w:val="19"/>
                <w:szCs w:val="19"/>
                <w:color w:val="auto"/>
              </w:rPr>
            </w:pPr>
          </w:p>
        </w:tc>
        <w:tc>
          <w:tcPr>
            <w:tcW w:w="240" w:type="dxa"/>
            <w:vAlign w:val="bottom"/>
            <w:tcBorders>
              <w:bottom w:val="single" w:sz="8" w:color="231F20"/>
            </w:tcBorders>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239.3</w:t>
            </w:r>
          </w:p>
        </w:tc>
        <w:tc>
          <w:tcPr>
            <w:tcW w:w="240" w:type="dxa"/>
            <w:vAlign w:val="bottom"/>
          </w:tcPr>
          <w:p>
            <w:pPr>
              <w:spacing w:after="0"/>
              <w:rPr>
                <w:sz w:val="19"/>
                <w:szCs w:val="19"/>
                <w:color w:val="auto"/>
              </w:rPr>
            </w:pPr>
          </w:p>
        </w:tc>
        <w:tc>
          <w:tcPr>
            <w:tcW w:w="240" w:type="dxa"/>
            <w:vAlign w:val="bottom"/>
            <w:tcBorders>
              <w:bottom w:val="single" w:sz="8" w:color="231F20"/>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140.4</w:t>
            </w:r>
          </w:p>
        </w:tc>
        <w:tc>
          <w:tcPr>
            <w:tcW w:w="100" w:type="dxa"/>
            <w:vAlign w:val="bottom"/>
          </w:tcPr>
          <w:p>
            <w:pPr>
              <w:spacing w:after="0"/>
              <w:rPr>
                <w:sz w:val="19"/>
                <w:szCs w:val="19"/>
                <w:color w:val="auto"/>
              </w:rPr>
            </w:pPr>
          </w:p>
        </w:tc>
        <w:tc>
          <w:tcPr>
            <w:tcW w:w="460" w:type="dxa"/>
            <w:vAlign w:val="bottom"/>
            <w:tcBorders>
              <w:bottom w:val="single" w:sz="8" w:color="231F20"/>
            </w:tcBorders>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6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Interest</w:t>
      </w:r>
    </w:p>
    <w:p>
      <w:pPr>
        <w:spacing w:after="0" w:line="110" w:lineRule="exact"/>
        <w:rPr>
          <w:sz w:val="20"/>
          <w:szCs w:val="20"/>
          <w:color w:val="auto"/>
        </w:rPr>
      </w:pPr>
    </w:p>
    <w:p>
      <w:pPr>
        <w:ind w:right="40" w:firstLine="245"/>
        <w:spacing w:after="0" w:line="237" w:lineRule="auto"/>
        <w:rPr>
          <w:sz w:val="20"/>
          <w:szCs w:val="20"/>
          <w:color w:val="auto"/>
        </w:rPr>
      </w:pPr>
      <w:r>
        <w:rPr>
          <w:rFonts w:ascii="Times New Roman" w:cs="Times New Roman" w:eastAsia="Times New Roman" w:hAnsi="Times New Roman"/>
          <w:sz w:val="20"/>
          <w:szCs w:val="20"/>
          <w:color w:val="231F20"/>
        </w:rPr>
        <w:t>Interest expense, including other debt financing expenses, increased from $63.0 million for the year ended December 31, 2022 to $133.7 million for the year ended December 31, 2023. This increase was primarily due to an increase in the average interest rate on our debt outstanding and an increase in the average debt outstanding from $1,342.0 million for the year ended December 31, 2022 to $1,705.6 million for the year ended December 31, 2023. The average interest rate on our debt outstanding increased from 3.9% for the year ended December 31, 2022 to 7.3% for the year ended December 31, 2023 due to a change in the mix of our debt financing sources and a change in SOFR rates.</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Interest expense, including other debt financing expenses, increased from $38.8 million for the year ended December 31, 2021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$63.0 million for the year ended December 31, 2022. This increase was primarily due to an increase in the average interest rate on our</w:t>
      </w:r>
    </w:p>
    <w:p>
      <w:pPr>
        <w:spacing w:after="0" w:line="230" w:lineRule="auto"/>
        <w:rPr>
          <w:sz w:val="20"/>
          <w:szCs w:val="20"/>
          <w:color w:val="auto"/>
        </w:rPr>
      </w:pPr>
      <w:r>
        <w:rPr>
          <w:rFonts w:ascii="Times New Roman" w:cs="Times New Roman" w:eastAsia="Times New Roman" w:hAnsi="Times New Roman"/>
          <w:sz w:val="20"/>
          <w:szCs w:val="20"/>
          <w:color w:val="231F20"/>
        </w:rPr>
        <w:t>debt outstanding and an increase in the average debt outstanding from $1,223.4 million for the year ended December 31, 2021 to</w:t>
      </w:r>
    </w:p>
    <w:p>
      <w:pPr>
        <w:spacing w:after="0" w:line="230" w:lineRule="auto"/>
        <w:rPr>
          <w:sz w:val="20"/>
          <w:szCs w:val="20"/>
          <w:color w:val="auto"/>
        </w:rPr>
      </w:pPr>
      <w:r>
        <w:rPr>
          <w:rFonts w:ascii="Times New Roman" w:cs="Times New Roman" w:eastAsia="Times New Roman" w:hAnsi="Times New Roman"/>
          <w:sz w:val="20"/>
          <w:szCs w:val="20"/>
          <w:color w:val="231F20"/>
        </w:rPr>
        <w:t>$1,342.0 million for the year ended December 31, 2022. The average interest rate on our debt outstanding increased from 2.3% for the</w:t>
      </w:r>
    </w:p>
    <w:p>
      <w:pPr>
        <w:spacing w:after="0" w:line="230" w:lineRule="auto"/>
        <w:rPr>
          <w:sz w:val="20"/>
          <w:szCs w:val="20"/>
          <w:color w:val="auto"/>
        </w:rPr>
      </w:pPr>
      <w:r>
        <w:rPr>
          <w:rFonts w:ascii="Times New Roman" w:cs="Times New Roman" w:eastAsia="Times New Roman" w:hAnsi="Times New Roman"/>
          <w:sz w:val="20"/>
          <w:szCs w:val="20"/>
          <w:color w:val="231F20"/>
        </w:rPr>
        <w:t>year ended December 31, 2021 to 3.9% for the year ended December 31, 2022 due to a change in the mix of our debt financing</w:t>
      </w:r>
    </w:p>
    <w:p>
      <w:pPr>
        <w:spacing w:after="0"/>
        <w:rPr>
          <w:sz w:val="20"/>
          <w:szCs w:val="20"/>
          <w:color w:val="auto"/>
        </w:rPr>
      </w:pPr>
      <w:r>
        <w:rPr>
          <w:rFonts w:ascii="Times New Roman" w:cs="Times New Roman" w:eastAsia="Times New Roman" w:hAnsi="Times New Roman"/>
          <w:sz w:val="20"/>
          <w:szCs w:val="20"/>
          <w:color w:val="231F20"/>
        </w:rPr>
        <w:t>sources and a change in SOFR rates.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2240" w:h="15840" w:orient="portrait"/>
          <w:cols w:equalWidth="0" w:num="1">
            <w:col w:w="10800"/>
          </w:cols>
          <w:pgMar w:left="720" w:top="930" w:right="720" w:bottom="175" w:gutter="0" w:footer="0" w:header="0"/>
          <w:type w:val="continuous"/>
        </w:sectPr>
      </w:pPr>
    </w:p>
    <w:bookmarkStart w:id="69" w:name="page70"/>
    <w:bookmarkEnd w:id="69"/>
    <w:p>
      <w:pPr>
        <w:ind w:left="240"/>
        <w:spacing w:after="0"/>
        <w:rPr>
          <w:sz w:val="20"/>
          <w:szCs w:val="20"/>
          <w:color w:val="auto"/>
        </w:rPr>
      </w:pPr>
      <w:r>
        <w:rPr>
          <w:rFonts w:ascii="Times New Roman" w:cs="Times New Roman" w:eastAsia="Times New Roman" w:hAnsi="Times New Roman"/>
          <w:sz w:val="20"/>
          <w:szCs w:val="20"/>
          <w:i w:val="1"/>
          <w:iCs w:val="1"/>
          <w:color w:val="231F20"/>
        </w:rPr>
        <w:t>Management Fees</w:t>
      </w:r>
    </w:p>
    <w:p>
      <w:pPr>
        <w:spacing w:after="0" w:line="108" w:lineRule="exact"/>
        <w:rPr>
          <w:sz w:val="20"/>
          <w:szCs w:val="20"/>
          <w:color w:val="auto"/>
        </w:rPr>
      </w:pPr>
    </w:p>
    <w:p>
      <w:pPr>
        <w:jc w:val="both"/>
        <w:ind w:right="120" w:firstLine="245"/>
        <w:spacing w:after="0" w:line="237" w:lineRule="auto"/>
        <w:rPr>
          <w:sz w:val="20"/>
          <w:szCs w:val="20"/>
          <w:color w:val="auto"/>
        </w:rPr>
      </w:pPr>
      <w:r>
        <w:rPr>
          <w:rFonts w:ascii="Times New Roman" w:cs="Times New Roman" w:eastAsia="Times New Roman" w:hAnsi="Times New Roman"/>
          <w:sz w:val="20"/>
          <w:szCs w:val="20"/>
          <w:color w:val="231F20"/>
        </w:rPr>
        <w:t>Management Fees (gross of waivers) increased from $39.9 million for the year ended December 31, 2022 to $46.4 million for the year ended December 31, 2023 due to an increase in average assets. Management Fees (net of waivers) increased from $39.5 million for the year ended December 31, 2022 to $45.2 million for the year ended December 31, 2023. Management Fees waived were $1.2 million for the year ended December 31, 2023, pursuant to the Leverage Waiver. Management Fees waived were $0.4 million for the year ended December 31, 2022 pursuant to the Leverage Waiver. Any waived management fees are not subject to recoupment by the Adviser.</w:t>
      </w:r>
    </w:p>
    <w:p>
      <w:pPr>
        <w:spacing w:after="0" w:line="200" w:lineRule="exact"/>
        <w:rPr>
          <w:sz w:val="20"/>
          <w:szCs w:val="20"/>
          <w:color w:val="auto"/>
        </w:rPr>
      </w:pPr>
    </w:p>
    <w:p>
      <w:pPr>
        <w:ind w:firstLine="245"/>
        <w:spacing w:after="0" w:line="239" w:lineRule="auto"/>
        <w:rPr>
          <w:sz w:val="20"/>
          <w:szCs w:val="20"/>
          <w:color w:val="auto"/>
        </w:rPr>
      </w:pPr>
      <w:r>
        <w:rPr>
          <w:rFonts w:ascii="Times New Roman" w:cs="Times New Roman" w:eastAsia="Times New Roman" w:hAnsi="Times New Roman"/>
          <w:sz w:val="20"/>
          <w:szCs w:val="20"/>
          <w:color w:val="231F20"/>
        </w:rPr>
        <w:t>Management Fees (gross of waivers) increased from $37.1 million for the year ended December 31, 2021 to $39.9 million for the year ended December 31, 2022 due to an increase in average total assets. Management Fees (net of waivers) increased from $36.9 million for the year ended December 31, 2021 to $39.5 million for the year ended December 31, 2022. Management Fees waived were $0.4 million for the year ended December 31, 2022, pursuant to the Leverage Waiver. Management Fees waived were $0.2 million for the year ended December 31, 2021.</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Incentive Fees</w:t>
      </w:r>
    </w:p>
    <w:p>
      <w:pPr>
        <w:spacing w:after="0" w:line="108" w:lineRule="exact"/>
        <w:rPr>
          <w:sz w:val="20"/>
          <w:szCs w:val="20"/>
          <w:color w:val="auto"/>
        </w:rPr>
      </w:pPr>
    </w:p>
    <w:p>
      <w:pPr>
        <w:ind w:right="40" w:firstLine="245"/>
        <w:spacing w:after="0" w:line="237" w:lineRule="auto"/>
        <w:rPr>
          <w:sz w:val="20"/>
          <w:szCs w:val="20"/>
          <w:color w:val="auto"/>
        </w:rPr>
      </w:pPr>
      <w:r>
        <w:rPr>
          <w:rFonts w:ascii="Times New Roman" w:cs="Times New Roman" w:eastAsia="Times New Roman" w:hAnsi="Times New Roman"/>
          <w:sz w:val="20"/>
          <w:szCs w:val="20"/>
          <w:color w:val="231F20"/>
        </w:rPr>
        <w:t>For the years ended December 31, 2023, 2022 and 2021, Incentive Fees were $47.0 million, $24.5 million and $46.6 million, respectively, of which $42.6 million, $33.4 million, and $33.1 million, respectively, were realized and payable to the Adviser. The increase in Incentive Fees from 2022 to 2023 was primarily due to an increase in reference rates and a larger average portfolio size for the year ended December 31, 2023 compared to the same period in 2022. For the years ended December 31, 2023, 2022 and 2021, $4.4 million, $(8.9) million, and $13.5 million, respectively, of Incentive Fees were accrued related to Capital Gains Fees. As of December 31, 2023, these accrued Incentive Fees are not contractually payable to the Adviser.</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Professional Fees and Other General and Administrative Expenses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Professional fees increased from $7.2 million for the year ended December 31, 2022 to $7.3 million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2023 due to higher legal fees and higher independent third-party valuation firm and sub-agent administration costs due</w:t>
      </w:r>
    </w:p>
    <w:p>
      <w:pPr>
        <w:spacing w:after="0" w:line="230" w:lineRule="auto"/>
        <w:rPr>
          <w:sz w:val="20"/>
          <w:szCs w:val="20"/>
          <w:color w:val="auto"/>
        </w:rPr>
      </w:pPr>
      <w:r>
        <w:rPr>
          <w:rFonts w:ascii="Times New Roman" w:cs="Times New Roman" w:eastAsia="Times New Roman" w:hAnsi="Times New Roman"/>
          <w:sz w:val="20"/>
          <w:szCs w:val="20"/>
          <w:color w:val="231F20"/>
        </w:rPr>
        <w:t>to a larger portfolio. Other general and administrative fees decreased from $5.5 million for the year ended December 31, 2022 to $5.3</w:t>
      </w:r>
    </w:p>
    <w:p>
      <w:pPr>
        <w:spacing w:after="0" w:line="230" w:lineRule="auto"/>
        <w:rPr>
          <w:sz w:val="20"/>
          <w:szCs w:val="20"/>
          <w:color w:val="auto"/>
        </w:rPr>
      </w:pPr>
      <w:r>
        <w:rPr>
          <w:rFonts w:ascii="Times New Roman" w:cs="Times New Roman" w:eastAsia="Times New Roman" w:hAnsi="Times New Roman"/>
          <w:sz w:val="20"/>
          <w:szCs w:val="20"/>
          <w:color w:val="231F20"/>
        </w:rPr>
        <w:t>million for the year ended December 31, 2023 primarily driven by a decrease in administrative services incurred under the</w:t>
      </w:r>
    </w:p>
    <w:p>
      <w:pPr>
        <w:spacing w:after="0"/>
        <w:rPr>
          <w:sz w:val="20"/>
          <w:szCs w:val="20"/>
          <w:color w:val="auto"/>
        </w:rPr>
      </w:pPr>
      <w:r>
        <w:rPr>
          <w:rFonts w:ascii="Times New Roman" w:cs="Times New Roman" w:eastAsia="Times New Roman" w:hAnsi="Times New Roman"/>
          <w:sz w:val="20"/>
          <w:szCs w:val="20"/>
          <w:color w:val="231F20"/>
        </w:rPr>
        <w:t>Administration Agreement.</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Professional fees increased from $6.6 million for the year ended December 31, 2021 to $7.2 million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2022 due to higher legal fees and higher independent third-party valuation firm and sub-agent administration costs due</w:t>
      </w:r>
    </w:p>
    <w:p>
      <w:pPr>
        <w:spacing w:after="0" w:line="230" w:lineRule="auto"/>
        <w:rPr>
          <w:sz w:val="20"/>
          <w:szCs w:val="20"/>
          <w:color w:val="auto"/>
        </w:rPr>
      </w:pPr>
      <w:r>
        <w:rPr>
          <w:rFonts w:ascii="Times New Roman" w:cs="Times New Roman" w:eastAsia="Times New Roman" w:hAnsi="Times New Roman"/>
          <w:sz w:val="20"/>
          <w:szCs w:val="20"/>
          <w:color w:val="231F20"/>
        </w:rPr>
        <w:t>to a larger portfolio. Other general and administrative fees decreased from $6.2 million for the year ended December 31, 2021 to $5.5</w:t>
      </w:r>
    </w:p>
    <w:p>
      <w:pPr>
        <w:spacing w:after="0" w:line="230" w:lineRule="auto"/>
        <w:rPr>
          <w:sz w:val="20"/>
          <w:szCs w:val="20"/>
          <w:color w:val="auto"/>
        </w:rPr>
      </w:pPr>
      <w:r>
        <w:rPr>
          <w:rFonts w:ascii="Times New Roman" w:cs="Times New Roman" w:eastAsia="Times New Roman" w:hAnsi="Times New Roman"/>
          <w:sz w:val="20"/>
          <w:szCs w:val="20"/>
          <w:color w:val="231F20"/>
        </w:rPr>
        <w:t>million for the year ended December 31, 2022 primarily driven by a decrease in administrative services incurred under the</w:t>
      </w:r>
    </w:p>
    <w:p>
      <w:pPr>
        <w:spacing w:after="0"/>
        <w:rPr>
          <w:sz w:val="20"/>
          <w:szCs w:val="20"/>
          <w:color w:val="auto"/>
        </w:rPr>
      </w:pPr>
      <w:r>
        <w:rPr>
          <w:rFonts w:ascii="Times New Roman" w:cs="Times New Roman" w:eastAsia="Times New Roman" w:hAnsi="Times New Roman"/>
          <w:sz w:val="20"/>
          <w:szCs w:val="20"/>
          <w:color w:val="231F20"/>
        </w:rPr>
        <w:t>Administration Agreement.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 Including Excise Taxes</w:t>
      </w:r>
    </w:p>
    <w:p>
      <w:pPr>
        <w:spacing w:after="0" w:line="120" w:lineRule="exact"/>
        <w:rPr>
          <w:sz w:val="20"/>
          <w:szCs w:val="20"/>
          <w:color w:val="auto"/>
        </w:rPr>
      </w:pPr>
    </w:p>
    <w:p>
      <w:pPr>
        <w:ind w:right="120" w:firstLine="245"/>
        <w:spacing w:after="0" w:line="249" w:lineRule="auto"/>
        <w:rPr>
          <w:sz w:val="20"/>
          <w:szCs w:val="20"/>
          <w:color w:val="auto"/>
        </w:rPr>
      </w:pPr>
      <w:r>
        <w:rPr>
          <w:rFonts w:ascii="Times New Roman" w:cs="Times New Roman" w:eastAsia="Times New Roman" w:hAnsi="Times New Roman"/>
          <w:sz w:val="20"/>
          <w:szCs w:val="20"/>
          <w:color w:val="231F20"/>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97" w:lineRule="exact"/>
        <w:rPr>
          <w:sz w:val="20"/>
          <w:szCs w:val="20"/>
          <w:color w:val="auto"/>
        </w:rPr>
      </w:pPr>
    </w:p>
    <w:p>
      <w:pPr>
        <w:ind w:right="140" w:firstLine="245"/>
        <w:spacing w:after="0" w:line="249" w:lineRule="auto"/>
        <w:rPr>
          <w:sz w:val="20"/>
          <w:szCs w:val="20"/>
          <w:color w:val="auto"/>
        </w:rPr>
      </w:pPr>
      <w:r>
        <w:rPr>
          <w:rFonts w:ascii="Times New Roman" w:cs="Times New Roman" w:eastAsia="Times New Roman" w:hAnsi="Times New Roman"/>
          <w:sz w:val="20"/>
          <w:szCs w:val="20"/>
          <w:color w:val="231F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97" w:lineRule="exact"/>
        <w:rPr>
          <w:sz w:val="20"/>
          <w:szCs w:val="20"/>
          <w:color w:val="auto"/>
        </w:rPr>
      </w:pPr>
    </w:p>
    <w:p>
      <w:pPr>
        <w:ind w:right="100" w:firstLine="245"/>
        <w:spacing w:after="0" w:line="277" w:lineRule="auto"/>
        <w:rPr>
          <w:sz w:val="20"/>
          <w:szCs w:val="20"/>
          <w:color w:val="auto"/>
        </w:rPr>
      </w:pPr>
      <w:r>
        <w:rPr>
          <w:rFonts w:ascii="Times New Roman" w:cs="Times New Roman" w:eastAsia="Times New Roman" w:hAnsi="Times New Roman"/>
          <w:sz w:val="20"/>
          <w:szCs w:val="20"/>
          <w:color w:val="231F20"/>
        </w:rPr>
        <w:t>For the calendar years ended December 31, 2023, 2022 and 2021 we recorded a net expense of $2.4 million, $2.6 million and $0.4 million, respectively, for U.S. federal excise tax and other taxes.</w:t>
      </w:r>
    </w:p>
    <w:p>
      <w:pPr>
        <w:sectPr>
          <w:pgSz w:w="12240" w:h="15840" w:orient="portrait"/>
          <w:cols w:equalWidth="0" w:num="1">
            <w:col w:w="10780"/>
          </w:cols>
          <w:pgMar w:left="720" w:top="924"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70</w:t>
      </w:r>
    </w:p>
    <w:p>
      <w:pPr>
        <w:sectPr>
          <w:pgSz w:w="12240" w:h="15840" w:orient="portrait"/>
          <w:cols w:equalWidth="0" w:num="1">
            <w:col w:w="10780"/>
          </w:cols>
          <w:pgMar w:left="720" w:top="924" w:right="740" w:bottom="175"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231F20"/>
        </w:rPr>
        <w:t>Net Realized and Unrealized Gains and Losses</w:t>
      </w:r>
    </w:p>
    <w:p>
      <w:pPr>
        <w:spacing w:after="0" w:line="120" w:lineRule="exact"/>
        <w:rPr>
          <w:sz w:val="20"/>
          <w:szCs w:val="20"/>
          <w:color w:val="auto"/>
        </w:rPr>
      </w:pPr>
    </w:p>
    <w:p>
      <w:pPr>
        <w:ind w:right="240" w:firstLine="245"/>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our net realized and unrealized gains (losses) for the years ended December 31, 2023, 2022 and 2021:</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2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2900" w:type="dxa"/>
            <w:vAlign w:val="bottom"/>
            <w:tcBorders>
              <w:bottom w:val="single" w:sz="8" w:color="231F20"/>
            </w:tcBorders>
            <w:gridSpan w:val="8"/>
          </w:tcPr>
          <w:p>
            <w:pPr>
              <w:jc w:val="center"/>
              <w:ind w:left="402"/>
              <w:spacing w:after="0"/>
              <w:rPr>
                <w:sz w:val="20"/>
                <w:szCs w:val="20"/>
                <w:color w:val="auto"/>
              </w:rPr>
            </w:pPr>
            <w:r>
              <w:rPr>
                <w:rFonts w:ascii="Times New Roman" w:cs="Times New Roman" w:eastAsia="Times New Roman" w:hAnsi="Times New Roman"/>
                <w:sz w:val="16"/>
                <w:szCs w:val="16"/>
                <w:b w:val="1"/>
                <w:bCs w:val="1"/>
                <w:color w:val="231F20"/>
                <w:w w:val="99"/>
              </w:rPr>
              <w:t>For the Years Ended December 31,</w:t>
            </w:r>
          </w:p>
        </w:tc>
        <w:tc>
          <w:tcPr>
            <w:tcW w:w="74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720" w:type="dxa"/>
            <w:vAlign w:val="bottom"/>
            <w:tcBorders>
              <w:bottom w:val="single" w:sz="8" w:color="CFEDF9"/>
            </w:tcBorders>
            <w:vMerge w:val="continue"/>
          </w:tcPr>
          <w:p>
            <w:pPr>
              <w:spacing w:after="0"/>
              <w:rPr>
                <w:sz w:val="15"/>
                <w:szCs w:val="15"/>
                <w:color w:val="auto"/>
              </w:rPr>
            </w:pPr>
          </w:p>
        </w:tc>
        <w:tc>
          <w:tcPr>
            <w:tcW w:w="20" w:type="dxa"/>
            <w:vAlign w:val="bottom"/>
            <w:tcBorders>
              <w:bottom w:val="single" w:sz="8" w:color="CFEDF9"/>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ind w:right="322"/>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Borders>
              <w:bottom w:val="single" w:sz="8" w:color="CFEDF9"/>
            </w:tcBorders>
          </w:tcPr>
          <w:p>
            <w:pPr>
              <w:spacing w:after="0"/>
              <w:rPr>
                <w:sz w:val="15"/>
                <w:szCs w:val="15"/>
                <w:color w:val="auto"/>
              </w:rPr>
            </w:pPr>
          </w:p>
        </w:tc>
        <w:tc>
          <w:tcPr>
            <w:tcW w:w="80" w:type="dxa"/>
            <w:vAlign w:val="bottom"/>
            <w:tcBorders>
              <w:bottom w:val="single" w:sz="8" w:color="CFEDF9"/>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right"/>
              <w:ind w:right="301"/>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CFEDF9"/>
            </w:tcBorders>
          </w:tcPr>
          <w:p>
            <w:pPr>
              <w:spacing w:after="0"/>
              <w:rPr>
                <w:sz w:val="15"/>
                <w:szCs w:val="15"/>
                <w:color w:val="auto"/>
              </w:rPr>
            </w:pPr>
          </w:p>
        </w:tc>
        <w:tc>
          <w:tcPr>
            <w:tcW w:w="80" w:type="dxa"/>
            <w:vAlign w:val="bottom"/>
            <w:tcBorders>
              <w:bottom w:val="single" w:sz="8" w:color="CFEDF9"/>
            </w:tcBorders>
          </w:tcPr>
          <w:p>
            <w:pPr>
              <w:spacing w:after="0"/>
              <w:rPr>
                <w:sz w:val="15"/>
                <w:szCs w:val="15"/>
                <w:color w:val="auto"/>
              </w:rPr>
            </w:pPr>
          </w:p>
        </w:tc>
        <w:tc>
          <w:tcPr>
            <w:tcW w:w="40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ind w:right="321"/>
              <w:spacing w:after="0" w:line="174" w:lineRule="exact"/>
              <w:rPr>
                <w:sz w:val="20"/>
                <w:szCs w:val="20"/>
                <w:color w:val="auto"/>
              </w:rPr>
            </w:pPr>
            <w:r>
              <w:rPr>
                <w:rFonts w:ascii="Times New Roman" w:cs="Times New Roman" w:eastAsia="Times New Roman" w:hAnsi="Times New Roman"/>
                <w:sz w:val="16"/>
                <w:szCs w:val="16"/>
                <w:b w:val="1"/>
                <w:bCs w:val="1"/>
                <w:color w:val="231F20"/>
                <w:w w:val="93"/>
              </w:rPr>
              <w:t>2021</w:t>
            </w:r>
          </w:p>
        </w:tc>
        <w:tc>
          <w:tcPr>
            <w:tcW w:w="100" w:type="dxa"/>
            <w:vAlign w:val="bottom"/>
            <w:tcBorders>
              <w:bottom w:val="single" w:sz="8" w:color="CFEDF9"/>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72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Net realized gains (losses) on investments</w:t>
            </w: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12.2</w:t>
            </w:r>
          </w:p>
        </w:tc>
        <w:tc>
          <w:tcPr>
            <w:tcW w:w="14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60" w:type="dxa"/>
            <w:vAlign w:val="bottom"/>
            <w:shd w:val="clear" w:color="auto" w:fill="CFEDF9"/>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CFEDF9"/>
          </w:tcPr>
          <w:p>
            <w:pPr>
              <w:jc w:val="center"/>
              <w:ind w:left="441"/>
              <w:spacing w:after="0" w:line="220" w:lineRule="exact"/>
              <w:rPr>
                <w:sz w:val="20"/>
                <w:szCs w:val="20"/>
                <w:color w:val="auto"/>
              </w:rPr>
            </w:pPr>
            <w:r>
              <w:rPr>
                <w:rFonts w:ascii="Times New Roman" w:cs="Times New Roman" w:eastAsia="Times New Roman" w:hAnsi="Times New Roman"/>
                <w:sz w:val="20"/>
                <w:szCs w:val="20"/>
                <w:color w:val="231F20"/>
                <w:w w:val="97"/>
              </w:rPr>
              <w:t>14.7</w:t>
            </w:r>
          </w:p>
        </w:tc>
        <w:tc>
          <w:tcPr>
            <w:tcW w:w="1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400" w:type="dxa"/>
            <w:vAlign w:val="bottom"/>
            <w:shd w:val="clear" w:color="auto" w:fill="CFEDF9"/>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28.8</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231F20"/>
              </w:rPr>
              <w:t>Net realized gains (losses) on foreign currency transactions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center"/>
              <w:ind w:left="401"/>
              <w:spacing w:after="0"/>
              <w:rPr>
                <w:sz w:val="20"/>
                <w:szCs w:val="20"/>
                <w:color w:val="auto"/>
              </w:rPr>
            </w:pPr>
            <w:r>
              <w:rPr>
                <w:rFonts w:ascii="Times New Roman" w:cs="Times New Roman" w:eastAsia="Times New Roman" w:hAnsi="Times New Roman"/>
                <w:sz w:val="20"/>
                <w:szCs w:val="20"/>
                <w:color w:val="231F20"/>
                <w:w w:val="99"/>
              </w:rPr>
              <w:t>(0.1)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realized gains (losses) on foreign currency investments</w:t>
            </w: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4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(0.5)</w:t>
            </w:r>
          </w:p>
        </w:tc>
        <w:tc>
          <w:tcPr>
            <w:tcW w:w="8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040" w:type="dxa"/>
            <w:vAlign w:val="bottom"/>
            <w:gridSpan w:val="2"/>
            <w:shd w:val="clear" w:color="auto" w:fill="CFEDF9"/>
          </w:tcPr>
          <w:p>
            <w:pPr>
              <w:jc w:val="center"/>
              <w:ind w:left="401"/>
              <w:spacing w:after="0"/>
              <w:rPr>
                <w:sz w:val="20"/>
                <w:szCs w:val="20"/>
                <w:color w:val="auto"/>
              </w:rPr>
            </w:pPr>
            <w:r>
              <w:rPr>
                <w:rFonts w:ascii="Times New Roman" w:cs="Times New Roman" w:eastAsia="Times New Roman" w:hAnsi="Times New Roman"/>
                <w:sz w:val="20"/>
                <w:szCs w:val="20"/>
                <w:color w:val="231F20"/>
                <w:w w:val="99"/>
              </w:rPr>
              <w:t>(0.7)</w:t>
            </w:r>
          </w:p>
        </w:tc>
        <w:tc>
          <w:tcPr>
            <w:tcW w:w="8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84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(3.4)</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231F20"/>
              </w:rPr>
              <w:t>Net realized gains (losses) on foreign currency borrowings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231F20"/>
                <w:w w:val="95"/>
              </w:rPr>
              <w:t>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realized gains (losses) on interest rate swaps</w:t>
            </w: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4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880" w:type="dxa"/>
            <w:vAlign w:val="bottom"/>
            <w:shd w:val="clear" w:color="auto" w:fill="CFEDF9"/>
          </w:tcPr>
          <w:p>
            <w:pPr>
              <w:jc w:val="center"/>
              <w:ind w:left="541"/>
              <w:spacing w:after="0"/>
              <w:rPr>
                <w:sz w:val="20"/>
                <w:szCs w:val="20"/>
                <w:color w:val="auto"/>
              </w:rPr>
            </w:pPr>
            <w:r>
              <w:rPr>
                <w:rFonts w:ascii="Times New Roman" w:cs="Times New Roman" w:eastAsia="Times New Roman" w:hAnsi="Times New Roman"/>
                <w:sz w:val="20"/>
                <w:szCs w:val="20"/>
                <w:color w:val="231F20"/>
                <w:w w:val="95"/>
              </w:rPr>
              <w:t>2.3</w:t>
            </w:r>
          </w:p>
        </w:tc>
        <w:tc>
          <w:tcPr>
            <w:tcW w:w="1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8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FEDF9"/>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Net Realized Gains (Losses)</w:t>
            </w:r>
          </w:p>
        </w:tc>
        <w:tc>
          <w:tcPr>
            <w:tcW w:w="20" w:type="dxa"/>
            <w:vAlign w:val="bottom"/>
            <w:tcBorders>
              <w:bottom w:val="single" w:sz="8" w:color="CFEDF9"/>
            </w:tcBorders>
          </w:tcPr>
          <w:p>
            <w:pPr>
              <w:spacing w:after="0"/>
              <w:rPr>
                <w:sz w:val="22"/>
                <w:szCs w:val="22"/>
                <w:color w:val="auto"/>
              </w:rPr>
            </w:pPr>
          </w:p>
        </w:tc>
        <w:tc>
          <w:tcPr>
            <w:tcW w:w="240" w:type="dxa"/>
            <w:vAlign w:val="bottom"/>
            <w:tcBorders>
              <w:top w:val="single" w:sz="8" w:color="231F20"/>
              <w:bottom w:val="single" w:sz="8" w:color="231F20"/>
            </w:tcBorders>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12.4</w:t>
            </w:r>
          </w:p>
        </w:tc>
        <w:tc>
          <w:tcPr>
            <w:tcW w:w="140" w:type="dxa"/>
            <w:vAlign w:val="bottom"/>
            <w:tcBorders>
              <w:bottom w:val="single" w:sz="8" w:color="CFEDF9"/>
            </w:tcBorders>
          </w:tcPr>
          <w:p>
            <w:pPr>
              <w:spacing w:after="0"/>
              <w:rPr>
                <w:sz w:val="22"/>
                <w:szCs w:val="22"/>
                <w:color w:val="auto"/>
              </w:rPr>
            </w:pPr>
          </w:p>
        </w:tc>
        <w:tc>
          <w:tcPr>
            <w:tcW w:w="80" w:type="dxa"/>
            <w:vAlign w:val="bottom"/>
            <w:tcBorders>
              <w:bottom w:val="single" w:sz="8" w:color="CFEDF9"/>
            </w:tcBorders>
          </w:tcPr>
          <w:p>
            <w:pPr>
              <w:spacing w:after="0"/>
              <w:rPr>
                <w:sz w:val="22"/>
                <w:szCs w:val="22"/>
                <w:color w:val="auto"/>
              </w:rPr>
            </w:pPr>
          </w:p>
        </w:tc>
        <w:tc>
          <w:tcPr>
            <w:tcW w:w="260" w:type="dxa"/>
            <w:vAlign w:val="bottom"/>
            <w:tcBorders>
              <w:top w:val="single" w:sz="8" w:color="231F20"/>
              <w:bottom w:val="single" w:sz="8" w:color="231F20"/>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tcPr>
          <w:p>
            <w:pPr>
              <w:jc w:val="center"/>
              <w:ind w:left="441"/>
              <w:spacing w:after="0" w:line="220" w:lineRule="exact"/>
              <w:rPr>
                <w:sz w:val="20"/>
                <w:szCs w:val="20"/>
                <w:color w:val="auto"/>
              </w:rPr>
            </w:pPr>
            <w:r>
              <w:rPr>
                <w:rFonts w:ascii="Times New Roman" w:cs="Times New Roman" w:eastAsia="Times New Roman" w:hAnsi="Times New Roman"/>
                <w:sz w:val="20"/>
                <w:szCs w:val="20"/>
                <w:color w:val="231F20"/>
                <w:w w:val="97"/>
              </w:rPr>
              <w:t>16.7</w:t>
            </w:r>
          </w:p>
        </w:tc>
        <w:tc>
          <w:tcPr>
            <w:tcW w:w="160" w:type="dxa"/>
            <w:vAlign w:val="bottom"/>
            <w:tcBorders>
              <w:bottom w:val="single" w:sz="8" w:color="CFEDF9"/>
            </w:tcBorders>
          </w:tcPr>
          <w:p>
            <w:pPr>
              <w:spacing w:after="0"/>
              <w:rPr>
                <w:sz w:val="22"/>
                <w:szCs w:val="22"/>
                <w:color w:val="auto"/>
              </w:rPr>
            </w:pPr>
          </w:p>
        </w:tc>
        <w:tc>
          <w:tcPr>
            <w:tcW w:w="80" w:type="dxa"/>
            <w:vAlign w:val="bottom"/>
            <w:tcBorders>
              <w:bottom w:val="single" w:sz="8" w:color="CFEDF9"/>
            </w:tcBorders>
          </w:tcPr>
          <w:p>
            <w:pPr>
              <w:spacing w:after="0"/>
              <w:rPr>
                <w:sz w:val="22"/>
                <w:szCs w:val="22"/>
                <w:color w:val="auto"/>
              </w:rPr>
            </w:pPr>
          </w:p>
        </w:tc>
        <w:tc>
          <w:tcPr>
            <w:tcW w:w="400" w:type="dxa"/>
            <w:vAlign w:val="bottom"/>
            <w:tcBorders>
              <w:top w:val="single" w:sz="8" w:color="231F20"/>
              <w:bottom w:val="single" w:sz="8" w:color="231F20"/>
            </w:tcBorders>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28.9</w:t>
            </w:r>
          </w:p>
        </w:tc>
        <w:tc>
          <w:tcPr>
            <w:tcW w:w="100" w:type="dxa"/>
            <w:vAlign w:val="bottom"/>
            <w:tcBorders>
              <w:bottom w:val="single" w:sz="8" w:color="CFEDF9"/>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90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60" w:type="dxa"/>
            <w:vAlign w:val="bottom"/>
            <w:shd w:val="clear" w:color="auto" w:fill="CFEDF9"/>
          </w:tcPr>
          <w:p>
            <w:pPr>
              <w:spacing w:after="0"/>
              <w:rPr>
                <w:sz w:val="18"/>
                <w:szCs w:val="18"/>
                <w:color w:val="auto"/>
              </w:rPr>
            </w:pPr>
          </w:p>
        </w:tc>
        <w:tc>
          <w:tcPr>
            <w:tcW w:w="880" w:type="dxa"/>
            <w:vAlign w:val="bottom"/>
            <w:shd w:val="clear" w:color="auto" w:fill="CFEDF9"/>
          </w:tcPr>
          <w:p>
            <w:pPr>
              <w:spacing w:after="0"/>
              <w:rPr>
                <w:sz w:val="18"/>
                <w:szCs w:val="18"/>
                <w:color w:val="auto"/>
              </w:rPr>
            </w:pPr>
          </w:p>
        </w:tc>
        <w:tc>
          <w:tcPr>
            <w:tcW w:w="16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400" w:type="dxa"/>
            <w:vAlign w:val="bottom"/>
            <w:shd w:val="clear" w:color="auto" w:fill="CFEDF9"/>
          </w:tcPr>
          <w:p>
            <w:pPr>
              <w:spacing w:after="0"/>
              <w:rPr>
                <w:sz w:val="18"/>
                <w:szCs w:val="18"/>
                <w:color w:val="auto"/>
              </w:rPr>
            </w:pPr>
          </w:p>
        </w:tc>
        <w:tc>
          <w:tcPr>
            <w:tcW w:w="74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231F20"/>
              </w:rPr>
              <w:t>Change in unrealized gains on investments</w:t>
            </w:r>
          </w:p>
        </w:tc>
        <w:tc>
          <w:tcPr>
            <w:tcW w:w="2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center"/>
              <w:ind w:left="441"/>
              <w:spacing w:after="0"/>
              <w:rPr>
                <w:sz w:val="20"/>
                <w:szCs w:val="20"/>
                <w:color w:val="auto"/>
              </w:rPr>
            </w:pPr>
            <w:r>
              <w:rPr>
                <w:rFonts w:ascii="Times New Roman" w:cs="Times New Roman" w:eastAsia="Times New Roman" w:hAnsi="Times New Roman"/>
                <w:sz w:val="20"/>
                <w:szCs w:val="20"/>
                <w:color w:val="231F20"/>
                <w:w w:val="97"/>
              </w:rPr>
              <w:t>22.3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Change in unrealized (losses) on investments</w:t>
            </w: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4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(56.4)</w:t>
            </w:r>
          </w:p>
        </w:tc>
        <w:tc>
          <w:tcPr>
            <w:tcW w:w="8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040" w:type="dxa"/>
            <w:vAlign w:val="bottom"/>
            <w:gridSpan w:val="2"/>
            <w:shd w:val="clear" w:color="auto" w:fill="CFEDF9"/>
          </w:tcPr>
          <w:p>
            <w:pPr>
              <w:jc w:val="center"/>
              <w:ind w:left="301"/>
              <w:spacing w:after="0"/>
              <w:rPr>
                <w:sz w:val="20"/>
                <w:szCs w:val="20"/>
                <w:color w:val="auto"/>
              </w:rPr>
            </w:pPr>
            <w:r>
              <w:rPr>
                <w:rFonts w:ascii="Times New Roman" w:cs="Times New Roman" w:eastAsia="Times New Roman" w:hAnsi="Times New Roman"/>
                <w:sz w:val="20"/>
                <w:szCs w:val="20"/>
                <w:color w:val="231F20"/>
                <w:w w:val="99"/>
              </w:rPr>
              <w:t>(98.7)</w:t>
            </w:r>
          </w:p>
        </w:tc>
        <w:tc>
          <w:tcPr>
            <w:tcW w:w="8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84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(48.0)</w:t>
            </w:r>
          </w:p>
        </w:tc>
        <w:tc>
          <w:tcPr>
            <w:tcW w:w="0" w:type="dxa"/>
            <w:vAlign w:val="bottom"/>
          </w:tcPr>
          <w:p>
            <w:pPr>
              <w:spacing w:after="0"/>
              <w:rPr>
                <w:sz w:val="1"/>
                <w:szCs w:val="1"/>
                <w:color w:val="auto"/>
              </w:rPr>
            </w:pPr>
          </w:p>
        </w:tc>
      </w:tr>
      <w:tr>
        <w:trPr>
          <w:trHeight w:val="197"/>
        </w:trPr>
        <w:tc>
          <w:tcPr>
            <w:tcW w:w="5720" w:type="dxa"/>
            <w:vAlign w:val="bottom"/>
          </w:tcPr>
          <w:p>
            <w:pPr>
              <w:spacing w:after="0" w:line="197" w:lineRule="exact"/>
              <w:rPr>
                <w:sz w:val="20"/>
                <w:szCs w:val="20"/>
                <w:color w:val="auto"/>
              </w:rPr>
            </w:pPr>
            <w:r>
              <w:rPr>
                <w:rFonts w:ascii="Times New Roman" w:cs="Times New Roman" w:eastAsia="Times New Roman" w:hAnsi="Times New Roman"/>
                <w:sz w:val="20"/>
                <w:szCs w:val="20"/>
                <w:b w:val="1"/>
                <w:bCs w:val="1"/>
                <w:color w:val="231F20"/>
              </w:rPr>
              <w:t>Net Change in Unrealized Gains (Losses) on</w:t>
            </w:r>
          </w:p>
        </w:tc>
        <w:tc>
          <w:tcPr>
            <w:tcW w:w="20" w:type="dxa"/>
            <w:vAlign w:val="bottom"/>
          </w:tcPr>
          <w:p>
            <w:pPr>
              <w:spacing w:after="0"/>
              <w:rPr>
                <w:sz w:val="17"/>
                <w:szCs w:val="17"/>
                <w:color w:val="auto"/>
              </w:rPr>
            </w:pPr>
          </w:p>
        </w:tc>
        <w:tc>
          <w:tcPr>
            <w:tcW w:w="240" w:type="dxa"/>
            <w:vAlign w:val="bottom"/>
            <w:tcBorders>
              <w:top w:val="single" w:sz="8" w:color="231F20"/>
            </w:tcBorders>
          </w:tcPr>
          <w:p>
            <w:pPr>
              <w:spacing w:after="0"/>
              <w:rPr>
                <w:sz w:val="17"/>
                <w:szCs w:val="17"/>
                <w:color w:val="auto"/>
              </w:rPr>
            </w:pPr>
          </w:p>
        </w:tc>
        <w:tc>
          <w:tcPr>
            <w:tcW w:w="900" w:type="dxa"/>
            <w:vAlign w:val="bottom"/>
            <w:tcBorders>
              <w:top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231F20"/>
            </w:tcBorders>
          </w:tcPr>
          <w:p>
            <w:pPr>
              <w:spacing w:after="0"/>
              <w:rPr>
                <w:sz w:val="17"/>
                <w:szCs w:val="17"/>
                <w:color w:val="auto"/>
              </w:rPr>
            </w:pPr>
          </w:p>
        </w:tc>
        <w:tc>
          <w:tcPr>
            <w:tcW w:w="880" w:type="dxa"/>
            <w:vAlign w:val="bottom"/>
            <w:tcBorders>
              <w:top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231F20"/>
            </w:tcBorders>
          </w:tcPr>
          <w:p>
            <w:pPr>
              <w:spacing w:after="0"/>
              <w:rPr>
                <w:sz w:val="17"/>
                <w:szCs w:val="17"/>
                <w:color w:val="auto"/>
              </w:rPr>
            </w:pPr>
          </w:p>
        </w:tc>
        <w:tc>
          <w:tcPr>
            <w:tcW w:w="740" w:type="dxa"/>
            <w:vAlign w:val="bottom"/>
            <w:tcBorders>
              <w:top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231F20"/>
              </w:rPr>
              <w:t>Investments</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w:t>
            </w:r>
          </w:p>
        </w:tc>
        <w:tc>
          <w:tcPr>
            <w:tcW w:w="140" w:type="dxa"/>
            <w:vAlign w:val="bottom"/>
          </w:tcPr>
          <w:p>
            <w:pPr>
              <w:spacing w:after="0"/>
              <w:rPr>
                <w:sz w:val="22"/>
                <w:szCs w:val="22"/>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gridSpan w:val="2"/>
          </w:tcPr>
          <w:p>
            <w:pPr>
              <w:jc w:val="center"/>
              <w:ind w:left="301"/>
              <w:spacing w:after="0"/>
              <w:rPr>
                <w:sz w:val="20"/>
                <w:szCs w:val="20"/>
                <w:color w:val="auto"/>
              </w:rPr>
            </w:pPr>
            <w:r>
              <w:rPr>
                <w:rFonts w:ascii="Times New Roman" w:cs="Times New Roman" w:eastAsia="Times New Roman" w:hAnsi="Times New Roman"/>
                <w:sz w:val="20"/>
                <w:szCs w:val="20"/>
                <w:color w:val="231F20"/>
                <w:w w:val="99"/>
              </w:rPr>
              <w:t>(76.4)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40" w:type="dxa"/>
            <w:vAlign w:val="bottom"/>
            <w:gridSpan w:val="2"/>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88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840" w:type="dxa"/>
            <w:vAlign w:val="bottom"/>
            <w:gridSpan w:val="2"/>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231F20"/>
              </w:rPr>
              <w:t>Unrealized gains (losses) on foreign currency borrowings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231F20"/>
                <w:w w:val="95"/>
              </w:rPr>
              <w:t>8.4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(0.6)</w:t>
            </w:r>
          </w:p>
        </w:tc>
        <w:tc>
          <w:tcPr>
            <w:tcW w:w="0" w:type="dxa"/>
            <w:vAlign w:val="bottom"/>
          </w:tcPr>
          <w:p>
            <w:pPr>
              <w:spacing w:after="0"/>
              <w:rPr>
                <w:sz w:val="1"/>
                <w:szCs w:val="1"/>
                <w:color w:val="auto"/>
              </w:rPr>
            </w:pPr>
          </w:p>
        </w:tc>
      </w:tr>
      <w:tr>
        <w:trPr>
          <w:trHeight w:val="230"/>
        </w:trPr>
        <w:tc>
          <w:tcPr>
            <w:tcW w:w="5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Unrealized gains (losses) on foreign currency cash</w:t>
            </w:r>
          </w:p>
        </w:tc>
        <w:tc>
          <w:tcPr>
            <w:tcW w:w="2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4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(0.3)</w:t>
            </w:r>
          </w:p>
        </w:tc>
        <w:tc>
          <w:tcPr>
            <w:tcW w:w="8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880" w:type="dxa"/>
            <w:vAlign w:val="bottom"/>
            <w:shd w:val="clear" w:color="auto" w:fill="CFEDF9"/>
          </w:tcPr>
          <w:p>
            <w:pPr>
              <w:jc w:val="center"/>
              <w:ind w:left="541"/>
              <w:spacing w:after="0"/>
              <w:rPr>
                <w:sz w:val="20"/>
                <w:szCs w:val="20"/>
                <w:color w:val="auto"/>
              </w:rPr>
            </w:pPr>
            <w:r>
              <w:rPr>
                <w:rFonts w:ascii="Times New Roman" w:cs="Times New Roman" w:eastAsia="Times New Roman" w:hAnsi="Times New Roman"/>
                <w:sz w:val="20"/>
                <w:szCs w:val="20"/>
                <w:color w:val="231F20"/>
                <w:w w:val="95"/>
              </w:rPr>
              <w:t>0.3</w:t>
            </w:r>
          </w:p>
        </w:tc>
        <w:tc>
          <w:tcPr>
            <w:tcW w:w="1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231F20"/>
              </w:rPr>
              <w:t>Unrealized gains (losses) on interest rate swaps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center"/>
              <w:ind w:left="401"/>
              <w:spacing w:after="0"/>
              <w:rPr>
                <w:sz w:val="20"/>
                <w:szCs w:val="20"/>
                <w:color w:val="auto"/>
              </w:rPr>
            </w:pPr>
            <w:r>
              <w:rPr>
                <w:rFonts w:ascii="Times New Roman" w:cs="Times New Roman" w:eastAsia="Times New Roman" w:hAnsi="Times New Roman"/>
                <w:sz w:val="20"/>
                <w:szCs w:val="20"/>
                <w:color w:val="231F20"/>
                <w:w w:val="99"/>
              </w:rPr>
              <w:t>(6.6)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(6.7)</w:t>
            </w:r>
          </w:p>
        </w:tc>
        <w:tc>
          <w:tcPr>
            <w:tcW w:w="0" w:type="dxa"/>
            <w:vAlign w:val="bottom"/>
          </w:tcPr>
          <w:p>
            <w:pPr>
              <w:spacing w:after="0"/>
              <w:rPr>
                <w:sz w:val="1"/>
                <w:szCs w:val="1"/>
                <w:color w:val="auto"/>
              </w:rPr>
            </w:pPr>
          </w:p>
        </w:tc>
      </w:tr>
      <w:tr>
        <w:trPr>
          <w:trHeight w:val="250"/>
        </w:trPr>
        <w:tc>
          <w:tcPr>
            <w:tcW w:w="5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Income tax provision on unrealized gains (losses)</w:t>
            </w:r>
          </w:p>
        </w:tc>
        <w:tc>
          <w:tcPr>
            <w:tcW w:w="20" w:type="dxa"/>
            <w:vAlign w:val="bottom"/>
            <w:shd w:val="clear" w:color="auto" w:fill="CFEDF9"/>
          </w:tcPr>
          <w:p>
            <w:pPr>
              <w:spacing w:after="0"/>
              <w:rPr>
                <w:sz w:val="21"/>
                <w:szCs w:val="21"/>
                <w:color w:val="auto"/>
              </w:rPr>
            </w:pPr>
          </w:p>
        </w:tc>
        <w:tc>
          <w:tcPr>
            <w:tcW w:w="240" w:type="dxa"/>
            <w:vAlign w:val="bottom"/>
            <w:shd w:val="clear" w:color="auto" w:fill="CFEDF9"/>
          </w:tcPr>
          <w:p>
            <w:pPr>
              <w:spacing w:after="0"/>
              <w:rPr>
                <w:sz w:val="21"/>
                <w:szCs w:val="21"/>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260" w:type="dxa"/>
            <w:vAlign w:val="bottom"/>
            <w:shd w:val="clear" w:color="auto" w:fill="CFEDF9"/>
          </w:tcPr>
          <w:p>
            <w:pPr>
              <w:spacing w:after="0"/>
              <w:rPr>
                <w:sz w:val="21"/>
                <w:szCs w:val="21"/>
                <w:color w:val="auto"/>
              </w:rPr>
            </w:pPr>
          </w:p>
        </w:tc>
        <w:tc>
          <w:tcPr>
            <w:tcW w:w="1040" w:type="dxa"/>
            <w:vAlign w:val="bottom"/>
            <w:gridSpan w:val="2"/>
            <w:shd w:val="clear" w:color="auto" w:fill="CFEDF9"/>
          </w:tcPr>
          <w:p>
            <w:pPr>
              <w:jc w:val="center"/>
              <w:ind w:left="401"/>
              <w:spacing w:after="0"/>
              <w:rPr>
                <w:sz w:val="20"/>
                <w:szCs w:val="20"/>
                <w:color w:val="auto"/>
              </w:rPr>
            </w:pPr>
            <w:r>
              <w:rPr>
                <w:rFonts w:ascii="Times New Roman" w:cs="Times New Roman" w:eastAsia="Times New Roman" w:hAnsi="Times New Roman"/>
                <w:sz w:val="20"/>
                <w:szCs w:val="20"/>
                <w:color w:val="231F20"/>
                <w:w w:val="99"/>
              </w:rPr>
              <w:t>(0.6)</w:t>
            </w:r>
          </w:p>
        </w:tc>
        <w:tc>
          <w:tcPr>
            <w:tcW w:w="80" w:type="dxa"/>
            <w:vAlign w:val="bottom"/>
            <w:shd w:val="clear" w:color="auto" w:fill="CFEDF9"/>
          </w:tcPr>
          <w:p>
            <w:pPr>
              <w:spacing w:after="0"/>
              <w:rPr>
                <w:sz w:val="21"/>
                <w:szCs w:val="21"/>
                <w:color w:val="auto"/>
              </w:rPr>
            </w:pPr>
          </w:p>
        </w:tc>
        <w:tc>
          <w:tcPr>
            <w:tcW w:w="400" w:type="dxa"/>
            <w:vAlign w:val="bottom"/>
            <w:shd w:val="clear" w:color="auto" w:fill="CFEDF9"/>
          </w:tcPr>
          <w:p>
            <w:pPr>
              <w:spacing w:after="0"/>
              <w:rPr>
                <w:sz w:val="21"/>
                <w:szCs w:val="21"/>
                <w:color w:val="auto"/>
              </w:rPr>
            </w:pPr>
          </w:p>
        </w:tc>
        <w:tc>
          <w:tcPr>
            <w:tcW w:w="84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(1.9)</w:t>
            </w:r>
          </w:p>
        </w:tc>
        <w:tc>
          <w:tcPr>
            <w:tcW w:w="0" w:type="dxa"/>
            <w:vAlign w:val="bottom"/>
          </w:tcPr>
          <w:p>
            <w:pPr>
              <w:spacing w:after="0"/>
              <w:rPr>
                <w:sz w:val="1"/>
                <w:szCs w:val="1"/>
                <w:color w:val="auto"/>
              </w:rPr>
            </w:pPr>
          </w:p>
        </w:tc>
      </w:tr>
      <w:tr>
        <w:trPr>
          <w:trHeight w:val="177"/>
        </w:trPr>
        <w:tc>
          <w:tcPr>
            <w:tcW w:w="5720" w:type="dxa"/>
            <w:vAlign w:val="bottom"/>
            <w:tcBorders>
              <w:top w:val="single" w:sz="8" w:color="CFEDF9"/>
            </w:tcBorders>
          </w:tcPr>
          <w:p>
            <w:pPr>
              <w:spacing w:after="0" w:line="177" w:lineRule="exact"/>
              <w:rPr>
                <w:sz w:val="20"/>
                <w:szCs w:val="20"/>
                <w:color w:val="auto"/>
              </w:rPr>
            </w:pPr>
            <w:r>
              <w:rPr>
                <w:rFonts w:ascii="Times New Roman" w:cs="Times New Roman" w:eastAsia="Times New Roman" w:hAnsi="Times New Roman"/>
                <w:sz w:val="20"/>
                <w:szCs w:val="20"/>
                <w:b w:val="1"/>
                <w:bCs w:val="1"/>
                <w:color w:val="231F20"/>
              </w:rPr>
              <w:t>Net Change in Unrealized Gains (Losses) on Foreign</w:t>
            </w:r>
          </w:p>
        </w:tc>
        <w:tc>
          <w:tcPr>
            <w:tcW w:w="20" w:type="dxa"/>
            <w:vAlign w:val="bottom"/>
            <w:tcBorders>
              <w:top w:val="single" w:sz="8" w:color="CFEDF9"/>
            </w:tcBorders>
          </w:tcPr>
          <w:p>
            <w:pPr>
              <w:spacing w:after="0"/>
              <w:rPr>
                <w:sz w:val="15"/>
                <w:szCs w:val="15"/>
                <w:color w:val="auto"/>
              </w:rPr>
            </w:pPr>
          </w:p>
        </w:tc>
        <w:tc>
          <w:tcPr>
            <w:tcW w:w="240" w:type="dxa"/>
            <w:vAlign w:val="bottom"/>
            <w:tcBorders>
              <w:top w:val="single" w:sz="8" w:color="231F20"/>
            </w:tcBorders>
          </w:tcPr>
          <w:p>
            <w:pPr>
              <w:spacing w:after="0"/>
              <w:rPr>
                <w:sz w:val="15"/>
                <w:szCs w:val="15"/>
                <w:color w:val="auto"/>
              </w:rPr>
            </w:pPr>
          </w:p>
        </w:tc>
        <w:tc>
          <w:tcPr>
            <w:tcW w:w="900" w:type="dxa"/>
            <w:vAlign w:val="bottom"/>
            <w:tcBorders>
              <w:top w:val="single" w:sz="8" w:color="231F20"/>
            </w:tcBorders>
          </w:tcPr>
          <w:p>
            <w:pPr>
              <w:spacing w:after="0"/>
              <w:rPr>
                <w:sz w:val="15"/>
                <w:szCs w:val="15"/>
                <w:color w:val="auto"/>
              </w:rPr>
            </w:pPr>
          </w:p>
        </w:tc>
        <w:tc>
          <w:tcPr>
            <w:tcW w:w="140" w:type="dxa"/>
            <w:vAlign w:val="bottom"/>
            <w:tcBorders>
              <w:top w:val="single" w:sz="8" w:color="CFEDF9"/>
            </w:tcBorders>
          </w:tcPr>
          <w:p>
            <w:pPr>
              <w:spacing w:after="0"/>
              <w:rPr>
                <w:sz w:val="15"/>
                <w:szCs w:val="15"/>
                <w:color w:val="auto"/>
              </w:rPr>
            </w:pPr>
          </w:p>
        </w:tc>
        <w:tc>
          <w:tcPr>
            <w:tcW w:w="80" w:type="dxa"/>
            <w:vAlign w:val="bottom"/>
            <w:tcBorders>
              <w:top w:val="single" w:sz="8" w:color="CFEDF9"/>
            </w:tcBorders>
          </w:tcPr>
          <w:p>
            <w:pPr>
              <w:spacing w:after="0"/>
              <w:rPr>
                <w:sz w:val="15"/>
                <w:szCs w:val="15"/>
                <w:color w:val="auto"/>
              </w:rPr>
            </w:pPr>
          </w:p>
        </w:tc>
        <w:tc>
          <w:tcPr>
            <w:tcW w:w="260" w:type="dxa"/>
            <w:vAlign w:val="bottom"/>
            <w:tcBorders>
              <w:top w:val="single" w:sz="8" w:color="231F20"/>
            </w:tcBorders>
          </w:tcPr>
          <w:p>
            <w:pPr>
              <w:spacing w:after="0"/>
              <w:rPr>
                <w:sz w:val="15"/>
                <w:szCs w:val="15"/>
                <w:color w:val="auto"/>
              </w:rPr>
            </w:pPr>
          </w:p>
        </w:tc>
        <w:tc>
          <w:tcPr>
            <w:tcW w:w="880" w:type="dxa"/>
            <w:vAlign w:val="bottom"/>
            <w:tcBorders>
              <w:top w:val="single" w:sz="8" w:color="231F20"/>
            </w:tcBorders>
          </w:tcPr>
          <w:p>
            <w:pPr>
              <w:spacing w:after="0"/>
              <w:rPr>
                <w:sz w:val="15"/>
                <w:szCs w:val="15"/>
                <w:color w:val="auto"/>
              </w:rPr>
            </w:pPr>
          </w:p>
        </w:tc>
        <w:tc>
          <w:tcPr>
            <w:tcW w:w="160" w:type="dxa"/>
            <w:vAlign w:val="bottom"/>
            <w:tcBorders>
              <w:top w:val="single" w:sz="8" w:color="CFEDF9"/>
            </w:tcBorders>
          </w:tcPr>
          <w:p>
            <w:pPr>
              <w:spacing w:after="0"/>
              <w:rPr>
                <w:sz w:val="15"/>
                <w:szCs w:val="15"/>
                <w:color w:val="auto"/>
              </w:rPr>
            </w:pPr>
          </w:p>
        </w:tc>
        <w:tc>
          <w:tcPr>
            <w:tcW w:w="80" w:type="dxa"/>
            <w:vAlign w:val="bottom"/>
            <w:tcBorders>
              <w:top w:val="single" w:sz="8" w:color="CFEDF9"/>
            </w:tcBorders>
          </w:tcPr>
          <w:p>
            <w:pPr>
              <w:spacing w:after="0"/>
              <w:rPr>
                <w:sz w:val="15"/>
                <w:szCs w:val="15"/>
                <w:color w:val="auto"/>
              </w:rPr>
            </w:pPr>
          </w:p>
        </w:tc>
        <w:tc>
          <w:tcPr>
            <w:tcW w:w="400" w:type="dxa"/>
            <w:vAlign w:val="bottom"/>
            <w:tcBorders>
              <w:top w:val="single" w:sz="8" w:color="231F20"/>
            </w:tcBorders>
          </w:tcPr>
          <w:p>
            <w:pPr>
              <w:spacing w:after="0"/>
              <w:rPr>
                <w:sz w:val="15"/>
                <w:szCs w:val="15"/>
                <w:color w:val="auto"/>
              </w:rPr>
            </w:pPr>
          </w:p>
        </w:tc>
        <w:tc>
          <w:tcPr>
            <w:tcW w:w="740" w:type="dxa"/>
            <w:vAlign w:val="bottom"/>
            <w:tcBorders>
              <w:top w:val="single" w:sz="8" w:color="231F20"/>
            </w:tcBorders>
          </w:tcPr>
          <w:p>
            <w:pPr>
              <w:spacing w:after="0"/>
              <w:rPr>
                <w:sz w:val="15"/>
                <w:szCs w:val="15"/>
                <w:color w:val="auto"/>
              </w:rPr>
            </w:pPr>
          </w:p>
        </w:tc>
        <w:tc>
          <w:tcPr>
            <w:tcW w:w="100" w:type="dxa"/>
            <w:vAlign w:val="bottom"/>
            <w:tcBorders>
              <w:top w:val="single" w:sz="8" w:color="CFEDF9"/>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231F20"/>
              </w:rPr>
              <w:t>Currency Transactions and Interest Rate Swaps</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(5.7)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231F20"/>
                <w:w w:val="95"/>
              </w:rPr>
              <w:t>1.5</w:t>
            </w:r>
          </w:p>
        </w:tc>
        <w:tc>
          <w:tcPr>
            <w:tcW w:w="16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(9.2)</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FEDF9"/>
            </w:tcBorders>
            <w:shd w:val="clear" w:color="auto" w:fill="CFEDF9"/>
          </w:tcPr>
          <w:p>
            <w:pPr>
              <w:spacing w:after="0"/>
              <w:rPr>
                <w:sz w:val="21"/>
                <w:szCs w:val="21"/>
                <w:color w:val="auto"/>
              </w:rPr>
            </w:pPr>
          </w:p>
        </w:tc>
        <w:tc>
          <w:tcPr>
            <w:tcW w:w="20" w:type="dxa"/>
            <w:vAlign w:val="bottom"/>
            <w:tcBorders>
              <w:bottom w:val="single" w:sz="8" w:color="CFEDF9"/>
            </w:tcBorders>
            <w:shd w:val="clear" w:color="auto" w:fill="CFEDF9"/>
          </w:tcPr>
          <w:p>
            <w:pPr>
              <w:spacing w:after="0"/>
              <w:rPr>
                <w:sz w:val="21"/>
                <w:szCs w:val="21"/>
                <w:color w:val="auto"/>
              </w:rPr>
            </w:pPr>
          </w:p>
        </w:tc>
        <w:tc>
          <w:tcPr>
            <w:tcW w:w="240" w:type="dxa"/>
            <w:vAlign w:val="bottom"/>
            <w:tcBorders>
              <w:bottom w:val="single" w:sz="8" w:color="231F20"/>
            </w:tcBorders>
            <w:shd w:val="clear" w:color="auto" w:fill="CFEDF9"/>
          </w:tcPr>
          <w:p>
            <w:pPr>
              <w:spacing w:after="0"/>
              <w:rPr>
                <w:sz w:val="21"/>
                <w:szCs w:val="21"/>
                <w:color w:val="auto"/>
              </w:rPr>
            </w:pPr>
          </w:p>
        </w:tc>
        <w:tc>
          <w:tcPr>
            <w:tcW w:w="900" w:type="dxa"/>
            <w:vAlign w:val="bottom"/>
            <w:tcBorders>
              <w:bottom w:val="single" w:sz="8" w:color="231F20"/>
            </w:tcBorders>
            <w:shd w:val="clear" w:color="auto" w:fill="CFEDF9"/>
          </w:tcPr>
          <w:p>
            <w:pPr>
              <w:spacing w:after="0"/>
              <w:rPr>
                <w:sz w:val="21"/>
                <w:szCs w:val="21"/>
                <w:color w:val="auto"/>
              </w:rPr>
            </w:pPr>
          </w:p>
        </w:tc>
        <w:tc>
          <w:tcPr>
            <w:tcW w:w="140" w:type="dxa"/>
            <w:vAlign w:val="bottom"/>
            <w:tcBorders>
              <w:bottom w:val="single" w:sz="8" w:color="CFEDF9"/>
            </w:tcBorders>
            <w:shd w:val="clear" w:color="auto" w:fill="CFEDF9"/>
          </w:tcPr>
          <w:p>
            <w:pPr>
              <w:spacing w:after="0"/>
              <w:rPr>
                <w:sz w:val="21"/>
                <w:szCs w:val="21"/>
                <w:color w:val="auto"/>
              </w:rPr>
            </w:pPr>
          </w:p>
        </w:tc>
        <w:tc>
          <w:tcPr>
            <w:tcW w:w="80" w:type="dxa"/>
            <w:vAlign w:val="bottom"/>
            <w:tcBorders>
              <w:bottom w:val="single" w:sz="8" w:color="CFEDF9"/>
            </w:tcBorders>
            <w:shd w:val="clear" w:color="auto" w:fill="CFEDF9"/>
          </w:tcPr>
          <w:p>
            <w:pPr>
              <w:spacing w:after="0"/>
              <w:rPr>
                <w:sz w:val="21"/>
                <w:szCs w:val="21"/>
                <w:color w:val="auto"/>
              </w:rPr>
            </w:pPr>
          </w:p>
        </w:tc>
        <w:tc>
          <w:tcPr>
            <w:tcW w:w="260" w:type="dxa"/>
            <w:vAlign w:val="bottom"/>
            <w:tcBorders>
              <w:bottom w:val="single" w:sz="8" w:color="231F20"/>
            </w:tcBorders>
            <w:shd w:val="clear" w:color="auto" w:fill="CFEDF9"/>
          </w:tcPr>
          <w:p>
            <w:pPr>
              <w:spacing w:after="0"/>
              <w:rPr>
                <w:sz w:val="21"/>
                <w:szCs w:val="21"/>
                <w:color w:val="auto"/>
              </w:rPr>
            </w:pPr>
          </w:p>
        </w:tc>
        <w:tc>
          <w:tcPr>
            <w:tcW w:w="880" w:type="dxa"/>
            <w:vAlign w:val="bottom"/>
            <w:tcBorders>
              <w:bottom w:val="single" w:sz="8" w:color="231F20"/>
            </w:tcBorders>
            <w:shd w:val="clear" w:color="auto" w:fill="CFEDF9"/>
          </w:tcPr>
          <w:p>
            <w:pPr>
              <w:spacing w:after="0"/>
              <w:rPr>
                <w:sz w:val="21"/>
                <w:szCs w:val="21"/>
                <w:color w:val="auto"/>
              </w:rPr>
            </w:pPr>
          </w:p>
        </w:tc>
        <w:tc>
          <w:tcPr>
            <w:tcW w:w="160" w:type="dxa"/>
            <w:vAlign w:val="bottom"/>
            <w:tcBorders>
              <w:bottom w:val="single" w:sz="8" w:color="CFEDF9"/>
            </w:tcBorders>
            <w:shd w:val="clear" w:color="auto" w:fill="CFEDF9"/>
          </w:tcPr>
          <w:p>
            <w:pPr>
              <w:spacing w:after="0"/>
              <w:rPr>
                <w:sz w:val="21"/>
                <w:szCs w:val="21"/>
                <w:color w:val="auto"/>
              </w:rPr>
            </w:pPr>
          </w:p>
        </w:tc>
        <w:tc>
          <w:tcPr>
            <w:tcW w:w="80" w:type="dxa"/>
            <w:vAlign w:val="bottom"/>
            <w:tcBorders>
              <w:bottom w:val="single" w:sz="8" w:color="CFEDF9"/>
            </w:tcBorders>
            <w:shd w:val="clear" w:color="auto" w:fill="CFEDF9"/>
          </w:tcPr>
          <w:p>
            <w:pPr>
              <w:spacing w:after="0"/>
              <w:rPr>
                <w:sz w:val="21"/>
                <w:szCs w:val="21"/>
                <w:color w:val="auto"/>
              </w:rPr>
            </w:pPr>
          </w:p>
        </w:tc>
        <w:tc>
          <w:tcPr>
            <w:tcW w:w="400" w:type="dxa"/>
            <w:vAlign w:val="bottom"/>
            <w:tcBorders>
              <w:bottom w:val="single" w:sz="8" w:color="231F20"/>
            </w:tcBorders>
            <w:shd w:val="clear" w:color="auto" w:fill="CFEDF9"/>
          </w:tcPr>
          <w:p>
            <w:pPr>
              <w:spacing w:after="0"/>
              <w:rPr>
                <w:sz w:val="21"/>
                <w:szCs w:val="21"/>
                <w:color w:val="auto"/>
              </w:rPr>
            </w:pPr>
          </w:p>
        </w:tc>
        <w:tc>
          <w:tcPr>
            <w:tcW w:w="740" w:type="dxa"/>
            <w:vAlign w:val="bottom"/>
            <w:tcBorders>
              <w:bottom w:val="single" w:sz="8" w:color="231F20"/>
            </w:tcBorders>
            <w:shd w:val="clear" w:color="auto" w:fill="CFEDF9"/>
          </w:tcPr>
          <w:p>
            <w:pPr>
              <w:spacing w:after="0"/>
              <w:rPr>
                <w:sz w:val="21"/>
                <w:szCs w:val="21"/>
                <w:color w:val="auto"/>
              </w:rPr>
            </w:pPr>
          </w:p>
        </w:tc>
        <w:tc>
          <w:tcPr>
            <w:tcW w:w="100" w:type="dxa"/>
            <w:vAlign w:val="bottom"/>
            <w:tcBorders>
              <w:bottom w:val="single" w:sz="8" w:color="CFEDF9"/>
            </w:tcBorders>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7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231F20"/>
              </w:rPr>
              <w:t>Net Change in Unrealized Gains (Losses)</w:t>
            </w:r>
          </w:p>
        </w:tc>
        <w:tc>
          <w:tcPr>
            <w:tcW w:w="2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231F20"/>
              </w:rPr>
              <w:t>13.2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60"/>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gridSpan w:val="2"/>
          </w:tcPr>
          <w:p>
            <w:pPr>
              <w:jc w:val="center"/>
              <w:ind w:left="301"/>
              <w:spacing w:after="0" w:line="200" w:lineRule="exact"/>
              <w:rPr>
                <w:sz w:val="20"/>
                <w:szCs w:val="20"/>
                <w:color w:val="auto"/>
              </w:rPr>
            </w:pPr>
            <w:r>
              <w:rPr>
                <w:rFonts w:ascii="Times New Roman" w:cs="Times New Roman" w:eastAsia="Times New Roman" w:hAnsi="Times New Roman"/>
                <w:sz w:val="20"/>
                <w:szCs w:val="20"/>
                <w:color w:val="231F20"/>
                <w:w w:val="99"/>
              </w:rPr>
              <w:t>(74.9)</w:t>
            </w:r>
          </w:p>
        </w:tc>
        <w:tc>
          <w:tcPr>
            <w:tcW w:w="80" w:type="dxa"/>
            <w:vAlign w:val="bottom"/>
          </w:tcPr>
          <w:p>
            <w:pPr>
              <w:spacing w:after="0"/>
              <w:rPr>
                <w:sz w:val="17"/>
                <w:szCs w:val="17"/>
                <w:color w:val="auto"/>
              </w:rPr>
            </w:pPr>
          </w:p>
        </w:tc>
        <w:tc>
          <w:tcPr>
            <w:tcW w:w="40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231F20"/>
              </w:rPr>
              <w:t>40.5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231F20"/>
        </w:rPr>
        <w:t>For the years ended December 31, 2023, 2022, and 2021, we had net realized gains on investments of $12.2 million, net realized gains on investments of $14.7 million and net realized gains on investments of $28.8 million, respectively. For the year ended December 31, 2023, we had net realized gains of $0.2 million, and for the years ended December 31, 2022 and 2021, we had net realized losses of $0.1 million and net realized gains of $0.1 million, respectively, on foreign currency transactions, primarily as a result of translating foreign currency related to our non-USD denominated investments. For the years ended December 31, 2023, 2022 and 2021, we had net realized losses on foreign currency investments of $0.5 million, $0.7 million and $3.4 million, respectively. For the years ended December 31, 2023, 2022, and 2021, we had net realized gains on foreign currency borrowings of $0.5 million, $0.5 million and $3.4 million, respectively. The net realized gains on foreign currency borrowings were a result of payments on our revolving credit facility. For the years ended December 31, 2023, 2022 and 2021, there was no net realized gain or loss, a net realized gain of $2.3 million and no net realized gain or loss, respectively, on interest rate swaps.</w:t>
      </w:r>
    </w:p>
    <w:p>
      <w:pPr>
        <w:spacing w:after="0" w:line="202"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2023, we had $75.3 million in unrealized gains on 130 portfolio company investments, which was offset by $56.4 million in unrealized losses on 21 portfolio company investments. Unrealized gains for the year ended December 31, 2023 resulted from an increase in fair value, primarily due to positive valuation adjustments, unwind of prior period unrealized losses, and changes in credit spreads. Unrealized losses for the year ended December 31, 2023 resulted from the reversal of prior period unrealized gains due to realizations and negative credit-related adjustments.</w:t>
      </w:r>
    </w:p>
    <w:p>
      <w:pPr>
        <w:spacing w:after="0" w:line="197"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2022, we had $22.3 million in unrealized gains on 26 portfolio company investments, which was offset by $98.7 million in unrealized losses on 106 portfolio company investments. Unrealized gains for the year ended December 31, 2022 resulted from an increase in fair value, primarily due to positive valuation adjustments, unwind of prior period unrealized losses, and changes in credit spreads. Unrealized losses for the year ended December 31, 2022 resulted from the reversal of prior period unrealized gains due to realizations, negative credit-related adjustments and changes in credit spreads.</w:t>
      </w:r>
    </w:p>
    <w:p>
      <w:pPr>
        <w:spacing w:after="0" w:line="197"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2021, we had $97.7 million in unrealized gains on 47 portfolio company investments, which was offset by $48.0 million in unrealized losses on 44 portfolio company investments. Unrealized gains for the year ended December 31, 2021 resulted from an increase in fair value, primarily due to positive valuation adjustments, unwind of prior period unrealized losses, and changes in credit spreads. Unrealized losses for the year ended December 31, 2021 resulted from the reversal of prior period unrealized gains due to realizations and negative credit-related adjustments.</w:t>
      </w:r>
    </w:p>
    <w:p>
      <w:pPr>
        <w:spacing w:after="0" w:line="197" w:lineRule="exact"/>
        <w:rPr>
          <w:sz w:val="20"/>
          <w:szCs w:val="20"/>
          <w:color w:val="auto"/>
        </w:rPr>
      </w:pPr>
    </w:p>
    <w:p>
      <w:pPr>
        <w:ind w:firstLine="245"/>
        <w:spacing w:after="0" w:line="278" w:lineRule="auto"/>
        <w:rPr>
          <w:sz w:val="20"/>
          <w:szCs w:val="20"/>
          <w:color w:val="auto"/>
        </w:rPr>
      </w:pPr>
      <w:r>
        <w:rPr>
          <w:rFonts w:ascii="Times New Roman" w:cs="Times New Roman" w:eastAsia="Times New Roman" w:hAnsi="Times New Roman"/>
          <w:sz w:val="19"/>
          <w:szCs w:val="19"/>
          <w:color w:val="231F20"/>
        </w:rPr>
        <w:t>For the year ended December 31, 2023, we had unrealized losses on foreign currency borrowings of $6.0 million, primarily as a result of fluctuations in the AUD, CAD, GBP and EUR exchange rates. For the years ended December 31, 2022 and 2021, we had an unrealized gain on foreign currency borrowings of $8.4 million and an unrealized loss on foreign currency borrowings of $0.6 million,</w:t>
      </w:r>
    </w:p>
    <w:p>
      <w:pPr>
        <w:sectPr>
          <w:pgSz w:w="12240" w:h="15840" w:orient="portrait"/>
          <w:cols w:equalWidth="0" w:num="1">
            <w:col w:w="10760"/>
          </w:cols>
          <w:pgMar w:left="720" w:top="930" w:right="760" w:bottom="175" w:gutter="0" w:footer="0" w:header="0"/>
        </w:sectPr>
      </w:pP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71</w:t>
      </w:r>
    </w:p>
    <w:p>
      <w:pPr>
        <w:sectPr>
          <w:pgSz w:w="12240" w:h="15840" w:orient="portrait"/>
          <w:cols w:equalWidth="0" w:num="1">
            <w:col w:w="10760"/>
          </w:cols>
          <w:pgMar w:left="720" w:top="930" w:right="760" w:bottom="175" w:gutter="0" w:footer="0" w:header="0"/>
          <w:type w:val="continuous"/>
        </w:sectPr>
      </w:pPr>
    </w:p>
    <w:bookmarkStart w:id="71" w:name="page72"/>
    <w:bookmarkEnd w:id="71"/>
    <w:p>
      <w:pPr>
        <w:jc w:val="both"/>
        <w:ind w:right="40"/>
        <w:spacing w:after="0" w:line="249" w:lineRule="auto"/>
        <w:rPr>
          <w:sz w:val="20"/>
          <w:szCs w:val="20"/>
          <w:color w:val="auto"/>
        </w:rPr>
      </w:pPr>
      <w:r>
        <w:rPr>
          <w:rFonts w:ascii="Times New Roman" w:cs="Times New Roman" w:eastAsia="Times New Roman" w:hAnsi="Times New Roman"/>
          <w:sz w:val="20"/>
          <w:szCs w:val="20"/>
          <w:color w:val="231F20"/>
        </w:rPr>
        <w:t>respectively, primarily as a result of fluctuations in the AUD, CAD, GBP and EUR exchange rates. For the years ended December 31, 2023, 2022 and 2021, we had unrealized losses of $0.3 million, an unrealized gain of $0.3 million, and an unrealized gain of less than $0.1 million, respectively, on foreign currency cash. For the year ended December 31, 2023, 2022 and 2021, we had unrealized gains on interest rate swaps of $0.1 million, an unrealized loss on interest swaps of $6.7 million and an unrealized loss on interest swaps of $6.7 million, respectively, due to fluctuations in interest rates.</w:t>
      </w:r>
    </w:p>
    <w:p>
      <w:pPr>
        <w:spacing w:after="0" w:line="197" w:lineRule="exact"/>
        <w:rPr>
          <w:sz w:val="20"/>
          <w:szCs w:val="20"/>
          <w:color w:val="auto"/>
        </w:rPr>
      </w:pPr>
    </w:p>
    <w:p>
      <w:pPr>
        <w:ind w:right="220" w:firstLine="245"/>
        <w:spacing w:after="0" w:line="252" w:lineRule="auto"/>
        <w:rPr>
          <w:sz w:val="20"/>
          <w:szCs w:val="20"/>
          <w:color w:val="auto"/>
        </w:rPr>
      </w:pPr>
      <w:r>
        <w:rPr>
          <w:rFonts w:ascii="Times New Roman" w:cs="Times New Roman" w:eastAsia="Times New Roman" w:hAnsi="Times New Roman"/>
          <w:sz w:val="20"/>
          <w:szCs w:val="20"/>
          <w:color w:val="231F20"/>
        </w:rPr>
        <w:t>As of December 31, 2023, we had a deferred tax liability of $2.8 million pertaining to net unrealized gains, related to seven of its investments. Given the unrealized gains generated by this entity, the deferred tax liability has been offset by a deferred tax asset of $0.9 million pertaining to operating losses. We recorded a current tax expense of $0.1 million and a deferred tax benefit of $0.6 million for the year ended December 31, 2023.</w:t>
      </w:r>
    </w:p>
    <w:p>
      <w:pPr>
        <w:spacing w:after="0" w:line="174" w:lineRule="exact"/>
        <w:rPr>
          <w:sz w:val="20"/>
          <w:szCs w:val="20"/>
          <w:color w:val="auto"/>
        </w:rPr>
      </w:pPr>
    </w:p>
    <w:p>
      <w:pPr>
        <w:jc w:val="both"/>
        <w:ind w:right="260" w:firstLine="245"/>
        <w:spacing w:after="0" w:line="235" w:lineRule="auto"/>
        <w:rPr>
          <w:sz w:val="20"/>
          <w:szCs w:val="20"/>
          <w:color w:val="auto"/>
        </w:rPr>
      </w:pPr>
      <w:r>
        <w:rPr>
          <w:rFonts w:ascii="Times New Roman" w:cs="Times New Roman" w:eastAsia="Times New Roman" w:hAnsi="Times New Roman"/>
          <w:sz w:val="20"/>
          <w:szCs w:val="20"/>
          <w:color w:val="231F20"/>
        </w:rPr>
        <w:t>As of December 31, 2022, we had a deferred tax liability of $3.3 million pertaining to net unrealized gains, related to eight of its investments. Given the unrealized gains generated by this entity, the deferred tax liability has been offset by a deferred tax asset of $0.8 million pertaining to operating losses.</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As of December 31, 2021, we had a deferred tax liability of $2.8 million pertaining to net unrealized gains, related to six of its</w:t>
      </w:r>
    </w:p>
    <w:p>
      <w:pPr>
        <w:spacing w:after="0" w:line="217" w:lineRule="auto"/>
        <w:rPr>
          <w:sz w:val="20"/>
          <w:szCs w:val="20"/>
          <w:color w:val="auto"/>
        </w:rPr>
      </w:pPr>
      <w:r>
        <w:rPr>
          <w:rFonts w:ascii="Times New Roman" w:cs="Times New Roman" w:eastAsia="Times New Roman" w:hAnsi="Times New Roman"/>
          <w:sz w:val="20"/>
          <w:szCs w:val="20"/>
          <w:color w:val="231F20"/>
        </w:rPr>
        <w:t>investments. Given the unrealized gains generated by the entity, the deferred tax liability has been offset by a deferred tax asset of</w:t>
      </w:r>
    </w:p>
    <w:p>
      <w:pPr>
        <w:spacing w:after="0" w:line="225" w:lineRule="auto"/>
        <w:rPr>
          <w:sz w:val="20"/>
          <w:szCs w:val="20"/>
          <w:color w:val="auto"/>
        </w:rPr>
      </w:pPr>
      <w:r>
        <w:rPr>
          <w:rFonts w:ascii="Times New Roman" w:cs="Times New Roman" w:eastAsia="Times New Roman" w:hAnsi="Times New Roman"/>
          <w:sz w:val="19"/>
          <w:szCs w:val="19"/>
          <w:color w:val="231F20"/>
        </w:rPr>
        <w:t>$0.9 million pertaining to operating losses. We carried back a portion of its operating losses to the previous tax years generating a $0.3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million tax refund.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Realized Gross Internal Rate of Return</w:t>
      </w:r>
    </w:p>
    <w:p>
      <w:pPr>
        <w:spacing w:after="0" w:line="120"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Since we began investing in 2011 through December 31, 2023, weighted by capital invested, our exited investments have generated an average realized gross internal rate of return to us of 17.4% (based on total capital invested of $7.0 billion and total proceeds from these exited investments of $8.9 billion). Ninety percent of these exited investments resulted in a realized gross internal rate of return to us of 10% or greater.</w:t>
      </w:r>
    </w:p>
    <w:p>
      <w:pPr>
        <w:spacing w:after="0" w:line="194"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231F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8" w:lineRule="exact"/>
        <w:rPr>
          <w:sz w:val="20"/>
          <w:szCs w:val="20"/>
          <w:color w:val="auto"/>
        </w:rPr>
      </w:pPr>
    </w:p>
    <w:p>
      <w:pPr>
        <w:ind w:right="180" w:firstLine="245"/>
        <w:spacing w:after="0" w:line="258" w:lineRule="auto"/>
        <w:rPr>
          <w:sz w:val="20"/>
          <w:szCs w:val="20"/>
          <w:color w:val="auto"/>
        </w:rPr>
      </w:pPr>
      <w:r>
        <w:rPr>
          <w:rFonts w:ascii="Times New Roman" w:cs="Times New Roman" w:eastAsia="Times New Roman" w:hAnsi="Times New Roman"/>
          <w:sz w:val="20"/>
          <w:szCs w:val="20"/>
          <w:color w:val="231F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88" w:lineRule="exact"/>
        <w:rPr>
          <w:sz w:val="20"/>
          <w:szCs w:val="20"/>
          <w:color w:val="auto"/>
        </w:rPr>
      </w:pPr>
    </w:p>
    <w:p>
      <w:pPr>
        <w:ind w:right="680" w:firstLine="245"/>
        <w:spacing w:after="0" w:line="277" w:lineRule="auto"/>
        <w:rPr>
          <w:sz w:val="20"/>
          <w:szCs w:val="20"/>
          <w:color w:val="auto"/>
        </w:rPr>
      </w:pPr>
      <w:r>
        <w:rPr>
          <w:rFonts w:ascii="Times New Roman" w:cs="Times New Roman" w:eastAsia="Times New Roman" w:hAnsi="Times New Roman"/>
          <w:sz w:val="20"/>
          <w:szCs w:val="20"/>
          <w:color w:val="231F20"/>
        </w:rPr>
        <w:t>Average gross IRR is the average of the gross IRR for each of our exited investments (each calculated as described above), weighted by the total capital invested for each of those investments.</w:t>
      </w:r>
    </w:p>
    <w:p>
      <w:pPr>
        <w:spacing w:after="0" w:line="169" w:lineRule="exact"/>
        <w:rPr>
          <w:sz w:val="20"/>
          <w:szCs w:val="20"/>
          <w:color w:val="auto"/>
        </w:rPr>
      </w:pPr>
    </w:p>
    <w:p>
      <w:pPr>
        <w:ind w:right="300" w:firstLine="245"/>
        <w:spacing w:after="0" w:line="277" w:lineRule="auto"/>
        <w:rPr>
          <w:sz w:val="20"/>
          <w:szCs w:val="20"/>
          <w:color w:val="auto"/>
        </w:rPr>
      </w:pPr>
      <w:r>
        <w:rPr>
          <w:rFonts w:ascii="Times New Roman" w:cs="Times New Roman" w:eastAsia="Times New Roman" w:hAnsi="Times New Roman"/>
          <w:sz w:val="20"/>
          <w:szCs w:val="20"/>
          <w:color w:val="231F20"/>
        </w:rPr>
        <w:t>Average gross IRR on our exited investments reflects only invested and realized cash amounts as described above, and does not reflect any unrealized gains or losses in our portfolio.</w:t>
      </w:r>
    </w:p>
    <w:p>
      <w:pPr>
        <w:spacing w:after="0" w:line="169"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231F20"/>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94"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231F20"/>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94" w:lineRule="exact"/>
        <w:rPr>
          <w:sz w:val="20"/>
          <w:szCs w:val="20"/>
          <w:color w:val="auto"/>
        </w:rPr>
      </w:pPr>
    </w:p>
    <w:p>
      <w:pPr>
        <w:ind w:right="220" w:firstLine="245"/>
        <w:spacing w:after="0" w:line="270" w:lineRule="auto"/>
        <w:rPr>
          <w:sz w:val="20"/>
          <w:szCs w:val="20"/>
          <w:color w:val="auto"/>
        </w:rPr>
      </w:pPr>
      <w:r>
        <w:rPr>
          <w:rFonts w:ascii="Times New Roman" w:cs="Times New Roman" w:eastAsia="Times New Roman" w:hAnsi="Times New Roman"/>
          <w:sz w:val="19"/>
          <w:szCs w:val="19"/>
          <w:color w:val="231F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and Foreign Currency Hedging</w:t>
      </w:r>
    </w:p>
    <w:p>
      <w:pPr>
        <w:spacing w:after="0" w:line="120" w:lineRule="exact"/>
        <w:rPr>
          <w:sz w:val="20"/>
          <w:szCs w:val="20"/>
          <w:color w:val="auto"/>
        </w:rPr>
      </w:pPr>
    </w:p>
    <w:p>
      <w:pPr>
        <w:ind w:right="120" w:firstLine="245"/>
        <w:spacing w:after="0" w:line="277" w:lineRule="auto"/>
        <w:rPr>
          <w:sz w:val="20"/>
          <w:szCs w:val="20"/>
          <w:color w:val="auto"/>
        </w:rPr>
      </w:pPr>
      <w:r>
        <w:rPr>
          <w:rFonts w:ascii="Times New Roman" w:cs="Times New Roman" w:eastAsia="Times New Roman" w:hAnsi="Times New Roman"/>
          <w:sz w:val="20"/>
          <w:szCs w:val="20"/>
          <w:color w:val="231F20"/>
        </w:rPr>
        <w:t>We use interest rate swaps to hedge our fixed rate debt and certain fixed rate investments. We have designated certain interest rate swaps to be in a hedge accounting relationship. See Note 2 for additional disclosure regarding our accounting for derivative</w:t>
      </w:r>
    </w:p>
    <w:p>
      <w:pPr>
        <w:sectPr>
          <w:pgSz w:w="12240" w:h="15840" w:orient="portrait"/>
          <w:cols w:equalWidth="0" w:num="1">
            <w:col w:w="10780"/>
          </w:cols>
          <w:pgMar w:left="720" w:top="930" w:right="740" w:bottom="175" w:gutter="0" w:footer="0" w:header="0"/>
        </w:sectPr>
      </w:pP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72</w:t>
      </w:r>
    </w:p>
    <w:p>
      <w:pPr>
        <w:sectPr>
          <w:pgSz w:w="12240" w:h="15840" w:orient="portrait"/>
          <w:cols w:equalWidth="0" w:num="1">
            <w:col w:w="10780"/>
          </w:cols>
          <w:pgMar w:left="720" w:top="930" w:right="740" w:bottom="175" w:gutter="0" w:footer="0" w:header="0"/>
          <w:type w:val="continuous"/>
        </w:sectPr>
      </w:pPr>
    </w:p>
    <w:bookmarkStart w:id="72" w:name="page73"/>
    <w:bookmarkEnd w:id="72"/>
    <w:p>
      <w:pPr>
        <w:ind w:right="60"/>
        <w:spacing w:after="0" w:line="277" w:lineRule="auto"/>
        <w:rPr>
          <w:sz w:val="20"/>
          <w:szCs w:val="20"/>
          <w:color w:val="auto"/>
        </w:rPr>
      </w:pPr>
      <w:r>
        <w:rPr>
          <w:rFonts w:ascii="Times New Roman" w:cs="Times New Roman" w:eastAsia="Times New Roman" w:hAnsi="Times New Roman"/>
          <w:sz w:val="20"/>
          <w:szCs w:val="20"/>
          <w:color w:val="231F20"/>
        </w:rPr>
        <w:t>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49"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231F20"/>
        </w:rPr>
        <w:t>Our current approach to hedging the foreign currency exposure in our non-U.S. dollar denominated investments is primarily to borrow the par amount in local currency under our Revolving Credit Facility to fund these investments. For the years ended December 31, 2023, 2022 and 2021, we had $6.0 million of unrealized losses, $8.4 million of unrealized gains and $0.6 million of unrealized losses, respectively, on the translation of our non-U.S. dollar denominated debt into U.S. dollars; such amounts approximate the corresponding unrealized gains and losses on the translation of our non-U.S. dollar denominated investments into U.S. dollars for the years ended December 31, 2023, 2022 and 2021. See Note 2 for additional disclosure regarding our accounting for foreign currency. See Note 7 for additional disclosure regarding the amounts of outstanding debt denominated in each foreign currency at December 31, 2023. See our Consolidated Schedule of Investments for additional disclosure regarding the foreign currency amounts (in both par and fair value) of our non-U.S. dollar denominated investments.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Financial Condition, Liquidity and Capital Resources</w:t>
      </w:r>
    </w:p>
    <w:p>
      <w:pPr>
        <w:spacing w:after="0" w:line="124" w:lineRule="exact"/>
        <w:rPr>
          <w:sz w:val="20"/>
          <w:szCs w:val="20"/>
          <w:color w:val="auto"/>
        </w:rPr>
      </w:pPr>
    </w:p>
    <w:p>
      <w:pPr>
        <w:ind w:right="160" w:firstLine="245"/>
        <w:spacing w:after="0" w:line="277" w:lineRule="auto"/>
        <w:rPr>
          <w:sz w:val="20"/>
          <w:szCs w:val="20"/>
          <w:color w:val="auto"/>
        </w:rPr>
      </w:pPr>
      <w:r>
        <w:rPr>
          <w:rFonts w:ascii="Times New Roman" w:cs="Times New Roman" w:eastAsia="Times New Roman" w:hAnsi="Times New Roman"/>
          <w:sz w:val="20"/>
          <w:szCs w:val="20"/>
          <w:color w:val="231F20"/>
        </w:rPr>
        <w:t>Our liquidity and capital resources are derived primarily from proceeds from equity issuances, advances from our credit facilities, and cash flows from operations. The primary uses of our cash and cash equivalents are:</w:t>
      </w:r>
    </w:p>
    <w:p>
      <w:pPr>
        <w:spacing w:after="0" w:line="63" w:lineRule="exact"/>
        <w:rPr>
          <w:sz w:val="20"/>
          <w:szCs w:val="20"/>
          <w:color w:val="auto"/>
        </w:rPr>
      </w:pPr>
    </w:p>
    <w:p>
      <w:pPr>
        <w:ind w:left="500" w:hanging="255"/>
        <w:spacing w:after="0"/>
        <w:tabs>
          <w:tab w:leader="none" w:pos="50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investments in portfolio companies and other investments and to comply with certain portfolio diversification requirements;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operations (including paying our Adviser);</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debt service, repayment, and other financing costs; and</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cash dividends to the holders of our shares.</w:t>
      </w:r>
    </w:p>
    <w:p>
      <w:pPr>
        <w:spacing w:after="0" w:line="239" w:lineRule="exact"/>
        <w:rPr>
          <w:sz w:val="20"/>
          <w:szCs w:val="20"/>
          <w:color w:val="auto"/>
        </w:rPr>
      </w:pPr>
    </w:p>
    <w:p>
      <w:pPr>
        <w:ind w:right="40" w:firstLine="245"/>
        <w:spacing w:after="0" w:line="243" w:lineRule="auto"/>
        <w:rPr>
          <w:sz w:val="20"/>
          <w:szCs w:val="20"/>
          <w:color w:val="auto"/>
        </w:rPr>
      </w:pPr>
      <w:r>
        <w:rPr>
          <w:rFonts w:ascii="Times New Roman" w:cs="Times New Roman" w:eastAsia="Times New Roman" w:hAnsi="Times New Roman"/>
          <w:sz w:val="20"/>
          <w:szCs w:val="20"/>
          <w:color w:val="231F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cs="Times New Roman" w:eastAsia="Times New Roman" w:hAnsi="Times New Roman"/>
          <w:sz w:val="20"/>
          <w:szCs w:val="20"/>
          <w:i w:val="1"/>
          <w:iCs w:val="1"/>
          <w:color w:val="231F20"/>
        </w:rPr>
        <w:t>Key Components of Our Results of Operations — Leverage</w:t>
      </w:r>
      <w:r>
        <w:rPr>
          <w:rFonts w:ascii="Times New Roman" w:cs="Times New Roman" w:eastAsia="Times New Roman" w:hAnsi="Times New Roman"/>
          <w:sz w:val="20"/>
          <w:szCs w:val="20"/>
          <w:color w:val="231F20"/>
        </w:rPr>
        <w:t>” above. As of December 31, 2023, 2022 and 2021, our asset coverage ratio was 181.6%, 188.6%, and 205.4%,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208" w:lineRule="exact"/>
        <w:rPr>
          <w:sz w:val="20"/>
          <w:szCs w:val="20"/>
          <w:color w:val="auto"/>
        </w:rPr>
      </w:pPr>
    </w:p>
    <w:p>
      <w:pPr>
        <w:jc w:val="both"/>
        <w:ind w:right="40" w:firstLine="245"/>
        <w:spacing w:after="0" w:line="258" w:lineRule="auto"/>
        <w:rPr>
          <w:sz w:val="20"/>
          <w:szCs w:val="20"/>
          <w:color w:val="auto"/>
        </w:rPr>
      </w:pPr>
      <w:r>
        <w:rPr>
          <w:rFonts w:ascii="Times New Roman" w:cs="Times New Roman" w:eastAsia="Times New Roman" w:hAnsi="Times New Roman"/>
          <w:sz w:val="20"/>
          <w:szCs w:val="20"/>
          <w:color w:val="231F20"/>
        </w:rPr>
        <w:t>Cash and cash equivalents as of December 31, 2023, taken together with cash available under our credit facilities, is expected to be sufficient for our investing activities and to conduct our operations in the near term. As of December 31, 2023, we had approximately $0.8 billion of availability on our Revolving Credit Facility, subject to asset coverage limitations.</w:t>
      </w:r>
    </w:p>
    <w:p>
      <w:pPr>
        <w:spacing w:after="0" w:line="188"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As of December 31, 2023, we had $25.2 million in cash and cash equivalents, including $24.0 million of restricted cash. During the year ended December 31, 2023, cash used in operating activities was $236.8 million, primarily attributable to funding portfolio investments of $943.5 million and other operating activity of $30.0 million, which was partially offset by repayments and proceeds from investments of $514.7 million and an increase in net assets resulting from operations of $222.0 million. Cash provided by financing activities was $236.3 million during the period due to borrowings of $1,546.2 million and proceeds from issuance of common stock, net of offering and underwriting costs of $89.2 million, which was partially offset by paydowns on our Revolving Credit Facility of $1,233.3 million, dividends paid of $156.4 million and deferred financing costs of $9.4 million.</w:t>
      </w:r>
    </w:p>
    <w:p>
      <w:pPr>
        <w:spacing w:after="0" w:line="200"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231F20"/>
        </w:rPr>
        <w:t>As of December 31, 2022, we had $25.6 million in cash and cash equivalents, including $15.4 million of restricted cash. During the year ended December 31, 2022, cash used in operating activities was $224.5 million, primarily attributable to funding portfolio investments of $995.6 million, and other operating activity of $36.2 million which was partially offset by repayments and proceeds from investments of $699.3 million and an increase in net assets resulting from operations of $108.0 million. Cash provided by financing activities was $234.2 million during the period due to borrowings of $1,329.8 million and proceeds from the issuance of common stock as settlement of a portion of the 2022 Convertible Notes at maturity of $77.6 million, which was partially offset by paydowns on our Revolving Credit Facility of $918.1 million, dividends paid of $144.3 million, settlement of $100.0 million of principal on the 2022 Convertible Notes, repurchases of common stock of $6.2 million, and deferred financing costs of $4.3 million.</w:t>
      </w:r>
    </w:p>
    <w:p>
      <w:pPr>
        <w:spacing w:after="0" w:line="202" w:lineRule="exact"/>
        <w:rPr>
          <w:sz w:val="20"/>
          <w:szCs w:val="20"/>
          <w:color w:val="auto"/>
        </w:rPr>
      </w:pPr>
    </w:p>
    <w:p>
      <w:pPr>
        <w:ind w:firstLine="245"/>
        <w:spacing w:after="0" w:line="277" w:lineRule="auto"/>
        <w:rPr>
          <w:sz w:val="20"/>
          <w:szCs w:val="20"/>
          <w:color w:val="auto"/>
        </w:rPr>
      </w:pPr>
      <w:r>
        <w:rPr>
          <w:rFonts w:ascii="Times New Roman" w:cs="Times New Roman" w:eastAsia="Times New Roman" w:hAnsi="Times New Roman"/>
          <w:sz w:val="20"/>
          <w:szCs w:val="20"/>
          <w:color w:val="231F20"/>
        </w:rPr>
        <w:t>As of December 31, 2021, we had $16.0 million in cash and cash equivalents, including $14.4 million of restricted cash. During the year ended December 31, 2021, we provided $2.5 million in cash from operating activities as a result of repayments and proceeds</w:t>
      </w:r>
    </w:p>
    <w:p>
      <w:pPr>
        <w:sectPr>
          <w:pgSz w:w="12240" w:h="15840" w:orient="portrait"/>
          <w:cols w:equalWidth="0" w:num="1">
            <w:col w:w="10780"/>
          </w:cols>
          <w:pgMar w:left="720" w:top="930" w:right="740" w:bottom="175"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73</w:t>
      </w:r>
    </w:p>
    <w:p>
      <w:pPr>
        <w:sectPr>
          <w:pgSz w:w="12240" w:h="15840" w:orient="portrait"/>
          <w:cols w:equalWidth="0" w:num="1">
            <w:col w:w="10780"/>
          </w:cols>
          <w:pgMar w:left="720" w:top="930" w:right="740" w:bottom="175" w:gutter="0" w:footer="0" w:header="0"/>
          <w:type w:val="continuous"/>
        </w:sectPr>
      </w:pPr>
    </w:p>
    <w:bookmarkStart w:id="73" w:name="page74"/>
    <w:bookmarkEnd w:id="73"/>
    <w:p>
      <w:pPr>
        <w:spacing w:after="0" w:line="246" w:lineRule="auto"/>
        <w:rPr>
          <w:sz w:val="20"/>
          <w:szCs w:val="20"/>
          <w:color w:val="auto"/>
        </w:rPr>
      </w:pPr>
      <w:r>
        <w:rPr>
          <w:rFonts w:ascii="Times New Roman" w:cs="Times New Roman" w:eastAsia="Times New Roman" w:hAnsi="Times New Roman"/>
          <w:sz w:val="20"/>
          <w:szCs w:val="20"/>
          <w:color w:val="231F20"/>
        </w:rPr>
        <w:t>from investments of $1,088.8 million and an increase in net assets resulting from operations of $211.8 million, which was partially offset by funding portfolio investments of $1,198.9 million, and other operating activity of $99.2 million. Lastly, cash provided by financing activities was $0.2 million during the period, consisting of borrowings of $1,616.7 million (including net proceeds of $293.7 million from the issuance of our 2026 Notes), proceeds from the issuance of common stock, net of offering and underwriting costs, of $85.9 million, and proceeds from the issuance of common stock for the settlement of a portion of the 2022 Convertible Notes of $42.3 million, which was partially offset by paydowns on our Revolving Credit Facility of $1,472.0 million, dividends paid of $221.9 million, settlement of $42.8 million of principal on the 2022 Convertible Notes, and deferred financing costs of $8.0 million.</w:t>
      </w:r>
    </w:p>
    <w:p>
      <w:pPr>
        <w:spacing w:after="0" w:line="200" w:lineRule="exact"/>
        <w:rPr>
          <w:sz w:val="20"/>
          <w:szCs w:val="20"/>
          <w:color w:val="auto"/>
        </w:rPr>
      </w:pPr>
    </w:p>
    <w:p>
      <w:pPr>
        <w:ind w:right="500" w:firstLine="245"/>
        <w:spacing w:after="0" w:line="277" w:lineRule="auto"/>
        <w:rPr>
          <w:sz w:val="20"/>
          <w:szCs w:val="20"/>
          <w:color w:val="auto"/>
        </w:rPr>
      </w:pPr>
      <w:r>
        <w:rPr>
          <w:rFonts w:ascii="Times New Roman" w:cs="Times New Roman" w:eastAsia="Times New Roman" w:hAnsi="Times New Roman"/>
          <w:sz w:val="20"/>
          <w:szCs w:val="20"/>
          <w:color w:val="231F20"/>
        </w:rPr>
        <w:t>As of December 31, 2023, we had $24.0 million restricted cash pledged as collateral under our interest rate swap agreements, compared to $15.4 million for the year ended December 31,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Equity</w:t>
      </w:r>
    </w:p>
    <w:p>
      <w:pPr>
        <w:spacing w:after="0" w:line="240"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In February 2021, we issued a total of 4,000,000 shares of common stock at $21.30 per share. Net of underwriting fees and offering costs, we received total cash proceeds of $84.9 million. Subsequent to the offering we issued an additional 49,689 shares on March 24, 2021 pursuant to the overallotment option granted to underwriters and received, net of underwriting fees, total cash proceeds of $1.0 million.</w:t>
      </w:r>
    </w:p>
    <w:p>
      <w:pPr>
        <w:spacing w:after="0" w:line="194" w:lineRule="exact"/>
        <w:rPr>
          <w:sz w:val="20"/>
          <w:szCs w:val="20"/>
          <w:color w:val="auto"/>
        </w:rPr>
      </w:pPr>
    </w:p>
    <w:p>
      <w:pPr>
        <w:ind w:right="300" w:firstLine="245"/>
        <w:spacing w:after="0" w:line="277" w:lineRule="auto"/>
        <w:rPr>
          <w:sz w:val="20"/>
          <w:szCs w:val="20"/>
          <w:color w:val="auto"/>
        </w:rPr>
      </w:pPr>
      <w:r>
        <w:rPr>
          <w:rFonts w:ascii="Times New Roman" w:cs="Times New Roman" w:eastAsia="Times New Roman" w:hAnsi="Times New Roman"/>
          <w:sz w:val="20"/>
          <w:szCs w:val="20"/>
          <w:color w:val="231F20"/>
        </w:rPr>
        <w:t>In December 2021, we issued a total of 2,324,820 shares of common stock, or $42.3 million, as settlement for the conversion of $42.8 million principal amount of the 2022 Convertible Notes.</w:t>
      </w:r>
    </w:p>
    <w:p>
      <w:pPr>
        <w:spacing w:after="0" w:line="169" w:lineRule="exact"/>
        <w:rPr>
          <w:sz w:val="20"/>
          <w:szCs w:val="20"/>
          <w:color w:val="auto"/>
        </w:rPr>
      </w:pPr>
    </w:p>
    <w:p>
      <w:pPr>
        <w:ind w:right="140" w:firstLine="245"/>
        <w:spacing w:after="0" w:line="277" w:lineRule="auto"/>
        <w:rPr>
          <w:sz w:val="20"/>
          <w:szCs w:val="20"/>
          <w:color w:val="auto"/>
        </w:rPr>
      </w:pPr>
      <w:r>
        <w:rPr>
          <w:rFonts w:ascii="Times New Roman" w:cs="Times New Roman" w:eastAsia="Times New Roman" w:hAnsi="Times New Roman"/>
          <w:sz w:val="20"/>
          <w:szCs w:val="20"/>
          <w:color w:val="231F20"/>
        </w:rPr>
        <w:t>In August 2022, we issued a total of 4,360,125 share of common stock, or $77.6 million, as settlement for the conversion of $79.2 million principal amount of the 2022 Convertible Notes.</w:t>
      </w:r>
    </w:p>
    <w:p>
      <w:pPr>
        <w:spacing w:after="0" w:line="169"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231F20"/>
        </w:rPr>
        <w:t>In May 2023, we issued a total of 4,500,000 shares of common stock at $17.33 per share. Net of underwriting fees and offering costs, we received total cash proceeds of $77.6 million. Subsequent to the offering we issued an additional 675,000 shares on June 12, 2023 pursuant to the overallotment option granted to underwriters and received, net of underwriting fees, total cash proceeds of $11.7 million.</w:t>
      </w:r>
    </w:p>
    <w:p>
      <w:pPr>
        <w:spacing w:after="0" w:line="194" w:lineRule="exact"/>
        <w:rPr>
          <w:sz w:val="20"/>
          <w:szCs w:val="20"/>
          <w:color w:val="auto"/>
        </w:rPr>
      </w:pPr>
    </w:p>
    <w:p>
      <w:pPr>
        <w:ind w:right="200" w:firstLine="245"/>
        <w:spacing w:after="0" w:line="258" w:lineRule="auto"/>
        <w:rPr>
          <w:sz w:val="20"/>
          <w:szCs w:val="20"/>
          <w:color w:val="auto"/>
        </w:rPr>
      </w:pPr>
      <w:r>
        <w:rPr>
          <w:rFonts w:ascii="Times New Roman" w:cs="Times New Roman" w:eastAsia="Times New Roman" w:hAnsi="Times New Roman"/>
          <w:sz w:val="20"/>
          <w:szCs w:val="20"/>
          <w:color w:val="231F20"/>
        </w:rPr>
        <w:t>During the years ended December 31, 2023 and 2022, we issued 1,265,212 and 1,625,826 shares of our common stock, respectively, to investors who have not opted out of our dividend reinvestment plan for proceeds of $23.5 million and $30.5 million, respectively.</w:t>
      </w:r>
    </w:p>
    <w:p>
      <w:pPr>
        <w:spacing w:after="0" w:line="188"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231F20"/>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8, 2023. The amount and timing of stock repurchases under the program may vary depending on market conditions, and no assurance can be given that any particular amount of common stock will be repurchased.</w:t>
      </w:r>
    </w:p>
    <w:p>
      <w:pPr>
        <w:spacing w:after="0" w:line="197" w:lineRule="exact"/>
        <w:rPr>
          <w:sz w:val="20"/>
          <w:szCs w:val="20"/>
          <w:color w:val="auto"/>
        </w:rPr>
      </w:pPr>
    </w:p>
    <w:p>
      <w:pPr>
        <w:ind w:right="540" w:firstLine="245"/>
        <w:spacing w:after="0" w:line="277" w:lineRule="auto"/>
        <w:rPr>
          <w:sz w:val="20"/>
          <w:szCs w:val="20"/>
          <w:color w:val="auto"/>
        </w:rPr>
      </w:pPr>
      <w:r>
        <w:rPr>
          <w:rFonts w:ascii="Times New Roman" w:cs="Times New Roman" w:eastAsia="Times New Roman" w:hAnsi="Times New Roman"/>
          <w:sz w:val="20"/>
          <w:szCs w:val="20"/>
          <w:color w:val="231F20"/>
        </w:rPr>
        <w:t>For the year ended December 31, 2023, no shares were repurchased. For the year ended December 31, 2022, we repurchased 368,206 shares at a weighted average share price of $16.75 inclusive of commissions, for a total cost of $6.2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Debt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Revolving Credit Facility</w:t>
      </w:r>
    </w:p>
    <w:p>
      <w:pPr>
        <w:spacing w:after="0" w:line="118" w:lineRule="exact"/>
        <w:rPr>
          <w:sz w:val="20"/>
          <w:szCs w:val="20"/>
          <w:color w:val="auto"/>
        </w:rPr>
      </w:pPr>
    </w:p>
    <w:p>
      <w:pPr>
        <w:ind w:right="320" w:firstLine="245"/>
        <w:spacing w:after="0" w:line="258" w:lineRule="auto"/>
        <w:rPr>
          <w:sz w:val="20"/>
          <w:szCs w:val="20"/>
          <w:color w:val="auto"/>
        </w:rPr>
      </w:pPr>
      <w:r>
        <w:rPr>
          <w:rFonts w:ascii="Times New Roman" w:cs="Times New Roman" w:eastAsia="Times New Roman" w:hAnsi="Times New Roman"/>
          <w:sz w:val="20"/>
          <w:szCs w:val="20"/>
          <w:color w:val="231F20"/>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8"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As of April 25, 2022, aggregate commitments under the facility were $1.585 billion. Pursuant to an amendment to the Revolving Credit Facility dated as of June 12, 2023 (the “Fourteenth Amendment”), the aggregate commitments under the facility were increased to $1.710 billion. The facility includes an uncommitted accordion feature that allows us, under certain circumstances, to increase the size of the facility to up to $2.0 billion.</w:t>
      </w:r>
    </w:p>
    <w:p>
      <w:pPr>
        <w:spacing w:after="0" w:line="194" w:lineRule="exact"/>
        <w:rPr>
          <w:sz w:val="20"/>
          <w:szCs w:val="20"/>
          <w:color w:val="auto"/>
        </w:rPr>
      </w:pPr>
    </w:p>
    <w:p>
      <w:pPr>
        <w:ind w:right="140" w:firstLine="245"/>
        <w:spacing w:after="0" w:line="258" w:lineRule="auto"/>
        <w:rPr>
          <w:sz w:val="20"/>
          <w:szCs w:val="20"/>
          <w:color w:val="auto"/>
        </w:rPr>
      </w:pPr>
      <w:r>
        <w:rPr>
          <w:rFonts w:ascii="Times New Roman" w:cs="Times New Roman" w:eastAsia="Times New Roman" w:hAnsi="Times New Roman"/>
          <w:sz w:val="20"/>
          <w:szCs w:val="20"/>
          <w:color w:val="231F20"/>
        </w:rPr>
        <w:t>Pursuant to the Fourteenth Amendment, with respect to $1.465 billion in commitments, the revolving period, during which period the Company, subject to certain conditions, may make borrowings under the facility, was extended to June 11, 2027 and the stated maturity date was extended to June 12, 2028. For the remaining $245.0 million of commitments, (A) with respect to $25.0 million of</w:t>
      </w:r>
    </w:p>
    <w:p>
      <w:pPr>
        <w:sectPr>
          <w:pgSz w:w="12240" w:h="15840" w:orient="portrait"/>
          <w:cols w:equalWidth="0" w:num="1">
            <w:col w:w="10780"/>
          </w:cols>
          <w:pgMar w:left="720" w:top="930" w:right="740" w:bottom="175"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74</w:t>
      </w:r>
    </w:p>
    <w:p>
      <w:pPr>
        <w:sectPr>
          <w:pgSz w:w="12240" w:h="15840" w:orient="portrait"/>
          <w:cols w:equalWidth="0" w:num="1">
            <w:col w:w="10780"/>
          </w:cols>
          <w:pgMar w:left="720" w:top="930" w:right="740" w:bottom="175" w:gutter="0" w:footer="0" w:header="0"/>
          <w:type w:val="continuous"/>
        </w:sectPr>
      </w:pPr>
    </w:p>
    <w:bookmarkStart w:id="74" w:name="page75"/>
    <w:bookmarkEnd w:id="74"/>
    <w:p>
      <w:pPr>
        <w:ind w:right="240"/>
        <w:spacing w:after="0" w:line="258" w:lineRule="auto"/>
        <w:rPr>
          <w:sz w:val="20"/>
          <w:szCs w:val="20"/>
          <w:color w:val="auto"/>
        </w:rPr>
      </w:pPr>
      <w:r>
        <w:rPr>
          <w:rFonts w:ascii="Times New Roman" w:cs="Times New Roman" w:eastAsia="Times New Roman" w:hAnsi="Times New Roman"/>
          <w:sz w:val="20"/>
          <w:szCs w:val="20"/>
          <w:color w:val="231F20"/>
        </w:rPr>
        <w:t>commitments, the revolving period ends January 31, 2024 and the stated maturity is January 31, 2025, and (B) with respect to $50.0 million of commitments, the revolving period ends on February 4, 2025 and the stated maturity is February 4, 2026 and (C) with respect to $170.0 million of commitments, the revolving period ends April 24, 2026 and the stated maturity is April 23, 2027.</w:t>
      </w:r>
    </w:p>
    <w:p>
      <w:pPr>
        <w:spacing w:after="0" w:line="188" w:lineRule="exact"/>
        <w:rPr>
          <w:sz w:val="20"/>
          <w:szCs w:val="20"/>
          <w:color w:val="auto"/>
        </w:rPr>
      </w:pPr>
    </w:p>
    <w:p>
      <w:pPr>
        <w:ind w:right="160" w:firstLine="245"/>
        <w:spacing w:after="0" w:line="247" w:lineRule="auto"/>
        <w:rPr>
          <w:sz w:val="20"/>
          <w:szCs w:val="20"/>
          <w:color w:val="auto"/>
        </w:rPr>
      </w:pPr>
      <w:r>
        <w:rPr>
          <w:rFonts w:ascii="Times New Roman" w:cs="Times New Roman" w:eastAsia="Times New Roman" w:hAnsi="Times New Roman"/>
          <w:sz w:val="20"/>
          <w:szCs w:val="20"/>
          <w:color w:val="231F20"/>
        </w:rPr>
        <w:t>We may borrow amounts in U.S. dollars or certain other permitted currencies. As of December 31, 2023, we had outstanding debt denominated in Australian dollars (AUD) of 66.4 million, British pounds (GBP) of 32.3 million, Canadian dollars (CAD) of 96.8 million, and Euro (EUR) of 57.2 million on our Revolving Credit Facility, included in the Outstanding Principal amount in the table above. As of December 31, 2022, we had outstanding debt denominated in Australian dollars (AUD) of 69.0 million, British pounds (GBP) of 12.9 million, Canadian dollars (CAD) of 96.6 million, and Euro (EUR) of 23.4 million on its Revolving Credit Facility, included in the Outstanding Principal amount in the table above.</w:t>
      </w:r>
    </w:p>
    <w:p>
      <w:pPr>
        <w:spacing w:after="0" w:line="200" w:lineRule="exact"/>
        <w:rPr>
          <w:sz w:val="20"/>
          <w:szCs w:val="20"/>
          <w:color w:val="auto"/>
        </w:rPr>
      </w:pPr>
    </w:p>
    <w:p>
      <w:pPr>
        <w:ind w:right="360" w:firstLine="245"/>
        <w:spacing w:after="0" w:line="252" w:lineRule="auto"/>
        <w:rPr>
          <w:sz w:val="20"/>
          <w:szCs w:val="20"/>
          <w:color w:val="auto"/>
        </w:rPr>
      </w:pPr>
      <w:r>
        <w:rPr>
          <w:rFonts w:ascii="Times New Roman" w:cs="Times New Roman" w:eastAsia="Times New Roman" w:hAnsi="Times New Roman"/>
          <w:sz w:val="20"/>
          <w:szCs w:val="20"/>
          <w:color w:val="231F20"/>
        </w:rPr>
        <w:t>The Revolving Credit Facility also provides for the issuance of letters of credit up to an aggregate amount of $75 million. As of December 31, 2023 and December 31, 2022, we had $0.2 million and less than $0.1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194"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20"/>
          <w:szCs w:val="20"/>
          <w:color w:val="231F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200" w:lineRule="exact"/>
        <w:rPr>
          <w:sz w:val="20"/>
          <w:szCs w:val="20"/>
          <w:color w:val="auto"/>
        </w:rPr>
      </w:pPr>
    </w:p>
    <w:p>
      <w:pPr>
        <w:ind w:right="40" w:firstLine="245"/>
        <w:spacing w:after="0" w:line="252" w:lineRule="auto"/>
        <w:rPr>
          <w:sz w:val="20"/>
          <w:szCs w:val="20"/>
          <w:color w:val="auto"/>
        </w:rPr>
      </w:pPr>
      <w:r>
        <w:rPr>
          <w:rFonts w:ascii="Times New Roman" w:cs="Times New Roman" w:eastAsia="Times New Roman" w:hAnsi="Times New Roman"/>
          <w:sz w:val="20"/>
          <w:szCs w:val="20"/>
          <w:color w:val="231F20"/>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94" w:lineRule="exact"/>
        <w:rPr>
          <w:sz w:val="20"/>
          <w:szCs w:val="20"/>
          <w:color w:val="auto"/>
        </w:rPr>
      </w:pPr>
    </w:p>
    <w:p>
      <w:pPr>
        <w:jc w:val="both"/>
        <w:ind w:right="440" w:firstLine="245"/>
        <w:spacing w:after="0" w:line="258" w:lineRule="auto"/>
        <w:rPr>
          <w:sz w:val="20"/>
          <w:szCs w:val="20"/>
          <w:color w:val="auto"/>
        </w:rPr>
      </w:pPr>
      <w:r>
        <w:rPr>
          <w:rFonts w:ascii="Times New Roman" w:cs="Times New Roman" w:eastAsia="Times New Roman" w:hAnsi="Times New Roman"/>
          <w:sz w:val="20"/>
          <w:szCs w:val="20"/>
          <w:color w:val="231F20"/>
        </w:rPr>
        <w:t>The Revolving Credit Facility includes customary events of default, as well as customary covenants, including restrictions on certain distributions and financial covenants. In accordance with the terms of the Fourteenth Amendment, the financial covenants require:</w:t>
      </w:r>
    </w:p>
    <w:p>
      <w:pPr>
        <w:spacing w:after="0" w:line="83" w:lineRule="exact"/>
        <w:rPr>
          <w:sz w:val="20"/>
          <w:szCs w:val="20"/>
          <w:color w:val="auto"/>
        </w:rPr>
      </w:pPr>
    </w:p>
    <w:p>
      <w:pPr>
        <w:ind w:left="500" w:hanging="255"/>
        <w:spacing w:after="0"/>
        <w:tabs>
          <w:tab w:leader="none" w:pos="50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an asset coverage ratio of no less than 1.5 to 1 on the last day of any fiscal quarter;</w:t>
      </w:r>
    </w:p>
    <w:p>
      <w:pPr>
        <w:spacing w:after="0" w:line="133" w:lineRule="exact"/>
        <w:rPr>
          <w:rFonts w:ascii="Arial" w:cs="Arial" w:eastAsia="Arial" w:hAnsi="Arial"/>
          <w:sz w:val="20"/>
          <w:szCs w:val="20"/>
          <w:color w:val="231F20"/>
        </w:rPr>
      </w:pPr>
    </w:p>
    <w:p>
      <w:pPr>
        <w:ind w:left="500" w:right="160" w:hanging="255"/>
        <w:spacing w:after="0" w:line="276" w:lineRule="auto"/>
        <w:tabs>
          <w:tab w:leader="none" w:pos="50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stockholders’ equity of at least $500 million plus 25% of the net proceeds of the sale of equity interests after January 31, 2020; and</w:t>
      </w:r>
    </w:p>
    <w:p>
      <w:pPr>
        <w:spacing w:after="0" w:line="64" w:lineRule="exact"/>
        <w:rPr>
          <w:rFonts w:ascii="Arial" w:cs="Arial" w:eastAsia="Arial" w:hAnsi="Arial"/>
          <w:sz w:val="20"/>
          <w:szCs w:val="20"/>
          <w:color w:val="231F20"/>
        </w:rPr>
      </w:pPr>
    </w:p>
    <w:p>
      <w:pPr>
        <w:ind w:left="500" w:hanging="255"/>
        <w:spacing w:after="0" w:line="258" w:lineRule="auto"/>
        <w:tabs>
          <w:tab w:leader="none" w:pos="50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(the “Obligor Asset Coverage Ratio”).</w:t>
      </w:r>
    </w:p>
    <w:p>
      <w:pPr>
        <w:spacing w:after="0" w:line="187" w:lineRule="exact"/>
        <w:rPr>
          <w:sz w:val="20"/>
          <w:szCs w:val="20"/>
          <w:color w:val="auto"/>
        </w:rPr>
      </w:pPr>
    </w:p>
    <w:p>
      <w:pPr>
        <w:ind w:right="700" w:firstLine="245"/>
        <w:spacing w:after="0" w:line="277" w:lineRule="auto"/>
        <w:rPr>
          <w:sz w:val="20"/>
          <w:szCs w:val="20"/>
          <w:color w:val="auto"/>
        </w:rPr>
      </w:pPr>
      <w:r>
        <w:rPr>
          <w:rFonts w:ascii="Times New Roman" w:cs="Times New Roman" w:eastAsia="Times New Roman" w:hAnsi="Times New Roman"/>
          <w:sz w:val="20"/>
          <w:szCs w:val="20"/>
          <w:color w:val="231F20"/>
        </w:rPr>
        <w:t>The Revolving Credit Facility also contains certain additional concentration limits in connection with the calculation of the borrowing base, based on the Obligor Asset Coverage Ratio.</w:t>
      </w:r>
    </w:p>
    <w:p>
      <w:pPr>
        <w:spacing w:after="0" w:line="169" w:lineRule="exact"/>
        <w:rPr>
          <w:sz w:val="20"/>
          <w:szCs w:val="20"/>
          <w:color w:val="auto"/>
        </w:rPr>
      </w:pPr>
    </w:p>
    <w:p>
      <w:pPr>
        <w:ind w:right="120" w:firstLine="245"/>
        <w:spacing w:after="0" w:line="277" w:lineRule="auto"/>
        <w:rPr>
          <w:sz w:val="20"/>
          <w:szCs w:val="20"/>
          <w:color w:val="auto"/>
        </w:rPr>
      </w:pPr>
      <w:r>
        <w:rPr>
          <w:rFonts w:ascii="Times New Roman" w:cs="Times New Roman" w:eastAsia="Times New Roman" w:hAnsi="Times New Roman"/>
          <w:sz w:val="20"/>
          <w:szCs w:val="20"/>
          <w:color w:val="231F20"/>
        </w:rPr>
        <w:t>Net proceeds received from the Company’s common stock issuance in February 2023 and net proceeds received from the issuance of the 2028 Notes and 2029 Notes were used to pay down borrowings on the Revolving Credit Facility.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2022 Convertible Notes</w:t>
      </w:r>
    </w:p>
    <w:p>
      <w:pPr>
        <w:spacing w:after="0" w:line="108" w:lineRule="exact"/>
        <w:rPr>
          <w:sz w:val="20"/>
          <w:szCs w:val="20"/>
          <w:color w:val="auto"/>
        </w:rPr>
      </w:pPr>
    </w:p>
    <w:p>
      <w:pPr>
        <w:ind w:firstLine="245"/>
        <w:spacing w:after="0" w:line="234" w:lineRule="auto"/>
        <w:rPr>
          <w:sz w:val="20"/>
          <w:szCs w:val="20"/>
          <w:color w:val="auto"/>
        </w:rPr>
      </w:pPr>
      <w:r>
        <w:rPr>
          <w:rFonts w:ascii="Times New Roman" w:cs="Times New Roman" w:eastAsia="Times New Roman" w:hAnsi="Times New Roman"/>
          <w:sz w:val="20"/>
          <w:szCs w:val="20"/>
          <w:color w:val="231F20"/>
        </w:rPr>
        <w:t>In February 2017, we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we issued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our 2022 Convertible Notes issued in February 2017.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matched the amount of principal outstanding, and matured on August 1, 2022, matching the maturity date of the 2022 Convertible Notes.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2240" w:h="15840" w:orient="portrait"/>
          <w:cols w:equalWidth="0" w:num="1">
            <w:col w:w="10800"/>
          </w:cols>
          <w:pgMar w:left="720" w:top="930" w:right="720" w:bottom="175" w:gutter="0" w:footer="0" w:header="0"/>
          <w:type w:val="continuous"/>
        </w:sectPr>
      </w:pPr>
    </w:p>
    <w:bookmarkStart w:id="75" w:name="page76"/>
    <w:bookmarkEnd w:id="75"/>
    <w:p>
      <w:pPr>
        <w:ind w:right="40" w:firstLine="245"/>
        <w:spacing w:after="0" w:line="235" w:lineRule="auto"/>
        <w:rPr>
          <w:sz w:val="20"/>
          <w:szCs w:val="20"/>
          <w:color w:val="auto"/>
        </w:rPr>
      </w:pPr>
      <w:r>
        <w:rPr>
          <w:rFonts w:ascii="Times New Roman" w:cs="Times New Roman" w:eastAsia="Times New Roman" w:hAnsi="Times New Roman"/>
          <w:sz w:val="20"/>
          <w:szCs w:val="20"/>
          <w:color w:val="231F20"/>
        </w:rPr>
        <w:t>On August 1, 2022, the 2022 Convertible Notes matured in accordance with the governing indenture. Holders of $79.2 million aggregate principal amount of notes provided valid notice of conversion and were subject to the combination settlement method previously elected by us,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we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2023 Notes</w:t>
      </w:r>
    </w:p>
    <w:p>
      <w:pPr>
        <w:spacing w:after="0" w:line="118" w:lineRule="exact"/>
        <w:rPr>
          <w:sz w:val="20"/>
          <w:szCs w:val="20"/>
          <w:color w:val="auto"/>
        </w:rPr>
      </w:pPr>
    </w:p>
    <w:p>
      <w:pPr>
        <w:ind w:right="120" w:firstLine="245"/>
        <w:spacing w:after="0" w:line="246" w:lineRule="auto"/>
        <w:rPr>
          <w:sz w:val="20"/>
          <w:szCs w:val="20"/>
          <w:color w:val="auto"/>
        </w:rPr>
      </w:pPr>
      <w:r>
        <w:rPr>
          <w:rFonts w:ascii="Times New Roman" w:cs="Times New Roman" w:eastAsia="Times New Roman" w:hAnsi="Times New Roman"/>
          <w:sz w:val="20"/>
          <w:szCs w:val="20"/>
          <w:color w:val="231F20"/>
        </w:rPr>
        <w:t>In January 2018, we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2024 Notes</w:t>
      </w:r>
    </w:p>
    <w:p>
      <w:pPr>
        <w:spacing w:after="0" w:line="118"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200" w:lineRule="exact"/>
        <w:rPr>
          <w:sz w:val="20"/>
          <w:szCs w:val="20"/>
          <w:color w:val="auto"/>
        </w:rPr>
      </w:pPr>
    </w:p>
    <w:p>
      <w:pPr>
        <w:ind w:right="40" w:firstLine="245"/>
        <w:spacing w:after="0" w:line="249" w:lineRule="auto"/>
        <w:rPr>
          <w:sz w:val="20"/>
          <w:szCs w:val="20"/>
          <w:color w:val="auto"/>
        </w:rPr>
      </w:pPr>
      <w:r>
        <w:rPr>
          <w:rFonts w:ascii="Times New Roman" w:cs="Times New Roman" w:eastAsia="Times New Roman" w:hAnsi="Times New Roman"/>
          <w:sz w:val="20"/>
          <w:szCs w:val="20"/>
          <w:color w:val="231F20"/>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97"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231F20"/>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SOFR plus 2.54% (on a weighted average basis).</w:t>
      </w:r>
    </w:p>
    <w:p>
      <w:pPr>
        <w:spacing w:after="0" w:line="197" w:lineRule="exact"/>
        <w:rPr>
          <w:sz w:val="20"/>
          <w:szCs w:val="20"/>
          <w:color w:val="auto"/>
        </w:rPr>
      </w:pPr>
    </w:p>
    <w:p>
      <w:pPr>
        <w:ind w:right="120" w:firstLine="245"/>
        <w:spacing w:after="0" w:line="245" w:lineRule="auto"/>
        <w:rPr>
          <w:sz w:val="20"/>
          <w:szCs w:val="20"/>
          <w:color w:val="auto"/>
        </w:rPr>
      </w:pPr>
      <w:r>
        <w:rPr>
          <w:rFonts w:ascii="Times New Roman" w:cs="Times New Roman" w:eastAsia="Times New Roman" w:hAnsi="Times New Roman"/>
          <w:sz w:val="20"/>
          <w:szCs w:val="20"/>
          <w:color w:val="231F20"/>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SOFR plus 2.54% (on a weighted average basis).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2026 Notes</w:t>
      </w:r>
    </w:p>
    <w:p>
      <w:pPr>
        <w:spacing w:after="0" w:line="118"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231F20"/>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ectPr>
          <w:pgSz w:w="12240" w:h="15840" w:orient="portrait"/>
          <w:cols w:equalWidth="0" w:num="1">
            <w:col w:w="10760"/>
          </w:cols>
          <w:pgMar w:left="720" w:top="922" w:right="760" w:bottom="175"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76</w:t>
      </w:r>
    </w:p>
    <w:p>
      <w:pPr>
        <w:sectPr>
          <w:pgSz w:w="12240" w:h="15840" w:orient="portrait"/>
          <w:cols w:equalWidth="0" w:num="1">
            <w:col w:w="10760"/>
          </w:cols>
          <w:pgMar w:left="720" w:top="922" w:right="760" w:bottom="175" w:gutter="0" w:footer="0" w:header="0"/>
          <w:type w:val="continuous"/>
        </w:sectPr>
      </w:pPr>
    </w:p>
    <w:bookmarkStart w:id="76" w:name="page77"/>
    <w:bookmarkEnd w:id="76"/>
    <w:p>
      <w:pPr>
        <w:ind w:left="240"/>
        <w:spacing w:after="0"/>
        <w:rPr>
          <w:sz w:val="20"/>
          <w:szCs w:val="20"/>
          <w:color w:val="auto"/>
        </w:rPr>
      </w:pPr>
      <w:r>
        <w:rPr>
          <w:rFonts w:ascii="Times New Roman" w:cs="Times New Roman" w:eastAsia="Times New Roman" w:hAnsi="Times New Roman"/>
          <w:sz w:val="20"/>
          <w:szCs w:val="20"/>
          <w:color w:val="231F20"/>
        </w:rPr>
        <w:t>In connection with the issuance of the 2026 Notes, we entered into an interest rate swap to align the interest rates of our liabilities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with our investment portfolio, which consists of predominately floating rate loans. The notional amount of the interest rate swap is</w:t>
      </w:r>
    </w:p>
    <w:p>
      <w:pPr>
        <w:spacing w:after="0"/>
        <w:rPr>
          <w:sz w:val="20"/>
          <w:szCs w:val="20"/>
          <w:color w:val="auto"/>
        </w:rPr>
      </w:pPr>
      <w:r>
        <w:rPr>
          <w:rFonts w:ascii="Times New Roman" w:cs="Times New Roman" w:eastAsia="Times New Roman" w:hAnsi="Times New Roman"/>
          <w:sz w:val="20"/>
          <w:szCs w:val="20"/>
          <w:color w:val="231F20"/>
        </w:rPr>
        <w:t>$300.0 million, which matures on August 1, 2026, matching the maturity date of the 2026 Notes. As a result of the swap, our effective</w:t>
      </w:r>
    </w:p>
    <w:p>
      <w:pPr>
        <w:spacing w:after="0"/>
        <w:rPr>
          <w:sz w:val="20"/>
          <w:szCs w:val="20"/>
          <w:color w:val="auto"/>
        </w:rPr>
      </w:pPr>
      <w:r>
        <w:rPr>
          <w:rFonts w:ascii="Times New Roman" w:cs="Times New Roman" w:eastAsia="Times New Roman" w:hAnsi="Times New Roman"/>
          <w:sz w:val="20"/>
          <w:szCs w:val="20"/>
          <w:color w:val="231F20"/>
        </w:rPr>
        <w:t>interest rate on the 2026 Notes is SOFR plus 2.17%.</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2028 Notes</w:t>
      </w:r>
    </w:p>
    <w:p>
      <w:pPr>
        <w:spacing w:after="0" w:line="118"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231F20"/>
        </w:rPr>
        <w:t>On August 14,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spacing w:after="0" w:line="200" w:lineRule="exact"/>
        <w:rPr>
          <w:sz w:val="20"/>
          <w:szCs w:val="20"/>
          <w:color w:val="auto"/>
        </w:rPr>
      </w:pPr>
    </w:p>
    <w:p>
      <w:pPr>
        <w:ind w:right="160" w:firstLine="245"/>
        <w:spacing w:after="0" w:line="252" w:lineRule="auto"/>
        <w:rPr>
          <w:sz w:val="20"/>
          <w:szCs w:val="20"/>
          <w:color w:val="auto"/>
        </w:rPr>
      </w:pPr>
      <w:r>
        <w:rPr>
          <w:rFonts w:ascii="Times New Roman" w:cs="Times New Roman" w:eastAsia="Times New Roman" w:hAnsi="Times New Roman"/>
          <w:sz w:val="20"/>
          <w:szCs w:val="20"/>
          <w:color w:val="231F20"/>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2029 Notes</w:t>
      </w:r>
    </w:p>
    <w:p>
      <w:pPr>
        <w:spacing w:after="0" w:line="118"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Subsequent to year end December 31, 2023, on January 8, 2024, the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$341.8 million. We used the net proceeds of the 2029 Notes to repay outstanding indebtedness under the Revolving Credit Facility.</w:t>
      </w:r>
    </w:p>
    <w:p>
      <w:pPr>
        <w:spacing w:after="0" w:line="200"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Subsequent to year end December 31, 2023, in connection with the issuance of the 2029 Notes, we entered into an interest rate swap to align the interest rates of our liabilities with our investment portfolio, which consists of predominately floating rate loans. The notional amount of the interest rate swap is $350.0 million, which matures on March 1, 2029, matching the maturity date of the 2029 Notes. As a result of the swap, our effective interest rate on the 2029 Notes is SOFR plus 2.44%.</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Debt obligations consisted of the following as of December 31, 2023 and 2022:</w:t>
      </w:r>
    </w:p>
    <w:p>
      <w:pPr>
        <w:spacing w:after="0" w:line="230" w:lineRule="exact"/>
        <w:rPr>
          <w:sz w:val="20"/>
          <w:szCs w:val="20"/>
          <w:color w:val="auto"/>
        </w:rPr>
      </w:pPr>
    </w:p>
    <w:tbl>
      <w:tblPr>
        <w:tblLayout w:type="fixed"/>
        <w:tblInd w:w="48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2620" w:type="dxa"/>
            <w:vAlign w:val="bottom"/>
            <w:tcBorders>
              <w:bottom w:val="single" w:sz="8" w:color="231F20"/>
            </w:tcBorders>
            <w:gridSpan w:val="4"/>
          </w:tcPr>
          <w:p>
            <w:pPr>
              <w:jc w:val="right"/>
              <w:ind w:right="846"/>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22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r>
      <w:tr>
        <w:trPr>
          <w:trHeight w:val="155"/>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ind w:right="26"/>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Aggregate Principal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6"/>
                <w:szCs w:val="16"/>
                <w:b w:val="1"/>
                <w:bCs w:val="1"/>
                <w:color w:val="231F20"/>
              </w:rPr>
              <w:t>Outstanding</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266"/>
              <w:spacing w:after="0" w:line="155"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120" w:type="dxa"/>
            <w:vAlign w:val="bottom"/>
          </w:tcPr>
          <w:p>
            <w:pPr>
              <w:spacing w:after="0"/>
              <w:rPr>
                <w:sz w:val="13"/>
                <w:szCs w:val="13"/>
                <w:color w:val="auto"/>
              </w:rPr>
            </w:pPr>
          </w:p>
        </w:tc>
      </w:tr>
      <w:tr>
        <w:trPr>
          <w:trHeight w:val="203"/>
        </w:trPr>
        <w:tc>
          <w:tcPr>
            <w:tcW w:w="36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12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right"/>
              <w:ind w:right="26"/>
              <w:spacing w:after="0"/>
              <w:rPr>
                <w:sz w:val="20"/>
                <w:szCs w:val="20"/>
                <w:color w:val="auto"/>
              </w:rPr>
            </w:pPr>
            <w:r>
              <w:rPr>
                <w:rFonts w:ascii="Times New Roman" w:cs="Times New Roman" w:eastAsia="Times New Roman" w:hAnsi="Times New Roman"/>
                <w:sz w:val="16"/>
                <w:szCs w:val="16"/>
                <w:b w:val="1"/>
                <w:bCs w:val="1"/>
                <w:color w:val="231F20"/>
                <w:w w:val="99"/>
              </w:rPr>
              <w:t>Amount Committed</w:t>
            </w:r>
          </w:p>
        </w:tc>
        <w:tc>
          <w:tcPr>
            <w:tcW w:w="220" w:type="dxa"/>
            <w:vAlign w:val="bottom"/>
            <w:tcBorders>
              <w:bottom w:val="single" w:sz="8" w:color="CFEDF9"/>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220" w:type="dxa"/>
            <w:vAlign w:val="bottom"/>
            <w:tcBorders>
              <w:bottom w:val="single" w:sz="8" w:color="CFEDF9"/>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231F20"/>
              </w:rPr>
              <w:t xml:space="preserve">Available </w:t>
            </w:r>
            <w:r>
              <w:rPr>
                <w:rFonts w:ascii="Times New Roman" w:cs="Times New Roman" w:eastAsia="Times New Roman" w:hAnsi="Times New Roman"/>
                <w:sz w:val="10"/>
                <w:szCs w:val="10"/>
                <w:b w:val="1"/>
                <w:bCs w:val="1"/>
                <w:color w:val="231F20"/>
              </w:rPr>
              <w:t>(1)</w:t>
            </w:r>
          </w:p>
        </w:tc>
        <w:tc>
          <w:tcPr>
            <w:tcW w:w="220" w:type="dxa"/>
            <w:vAlign w:val="bottom"/>
            <w:tcBorders>
              <w:bottom w:val="single" w:sz="8" w:color="CFEDF9"/>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171"/>
              <w:spacing w:after="0" w:line="203" w:lineRule="exact"/>
              <w:rPr>
                <w:sz w:val="20"/>
                <w:szCs w:val="20"/>
                <w:color w:val="auto"/>
              </w:rPr>
            </w:pPr>
            <w:r>
              <w:rPr>
                <w:rFonts w:ascii="Times New Roman" w:cs="Times New Roman" w:eastAsia="Times New Roman" w:hAnsi="Times New Roman"/>
                <w:sz w:val="23"/>
                <w:szCs w:val="23"/>
                <w:b w:val="1"/>
                <w:bCs w:val="1"/>
                <w:color w:val="231F20"/>
                <w:vertAlign w:val="subscript"/>
              </w:rPr>
              <w:t>Value</w:t>
            </w:r>
            <w:r>
              <w:rPr>
                <w:rFonts w:ascii="Times New Roman" w:cs="Times New Roman" w:eastAsia="Times New Roman" w:hAnsi="Times New Roman"/>
                <w:sz w:val="9"/>
                <w:szCs w:val="9"/>
                <w:b w:val="1"/>
                <w:bCs w:val="1"/>
                <w:color w:val="231F20"/>
              </w:rPr>
              <w:t xml:space="preserve"> (2)(3)</w:t>
            </w:r>
          </w:p>
        </w:tc>
        <w:tc>
          <w:tcPr>
            <w:tcW w:w="120" w:type="dxa"/>
            <w:vAlign w:val="bottom"/>
            <w:tcBorders>
              <w:bottom w:val="single" w:sz="8" w:color="CFEDF9"/>
            </w:tcBorders>
          </w:tcPr>
          <w:p>
            <w:pPr>
              <w:spacing w:after="0"/>
              <w:rPr>
                <w:sz w:val="17"/>
                <w:szCs w:val="17"/>
                <w:color w:val="auto"/>
              </w:rPr>
            </w:pPr>
          </w:p>
        </w:tc>
      </w:tr>
      <w:tr>
        <w:trPr>
          <w:trHeight w:val="220"/>
        </w:trPr>
        <w:tc>
          <w:tcPr>
            <w:tcW w:w="366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Revolving Credit Facility</w:t>
            </w:r>
          </w:p>
        </w:tc>
        <w:tc>
          <w:tcPr>
            <w:tcW w:w="1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1,710.0</w:t>
            </w:r>
          </w:p>
        </w:tc>
        <w:tc>
          <w:tcPr>
            <w:tcW w:w="220" w:type="dxa"/>
            <w:vAlign w:val="bottom"/>
            <w:shd w:val="clear" w:color="auto" w:fill="CFEDF9"/>
          </w:tcPr>
          <w:p>
            <w:pPr>
              <w:spacing w:after="0"/>
              <w:rPr>
                <w:sz w:val="19"/>
                <w:szCs w:val="19"/>
                <w:color w:val="auto"/>
              </w:rPr>
            </w:pPr>
          </w:p>
        </w:tc>
        <w:tc>
          <w:tcPr>
            <w:tcW w:w="1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889.7</w:t>
            </w:r>
          </w:p>
        </w:tc>
        <w:tc>
          <w:tcPr>
            <w:tcW w:w="220" w:type="dxa"/>
            <w:vAlign w:val="bottom"/>
            <w:shd w:val="clear" w:color="auto" w:fill="CFEDF9"/>
          </w:tcPr>
          <w:p>
            <w:pPr>
              <w:spacing w:after="0"/>
              <w:rPr>
                <w:sz w:val="19"/>
                <w:szCs w:val="19"/>
                <w:color w:val="auto"/>
              </w:rPr>
            </w:pPr>
          </w:p>
        </w:tc>
        <w:tc>
          <w:tcPr>
            <w:tcW w:w="1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820.2</w:t>
            </w:r>
          </w:p>
        </w:tc>
        <w:tc>
          <w:tcPr>
            <w:tcW w:w="220" w:type="dxa"/>
            <w:vAlign w:val="bottom"/>
            <w:shd w:val="clear" w:color="auto" w:fill="CFEDF9"/>
          </w:tcPr>
          <w:p>
            <w:pPr>
              <w:spacing w:after="0"/>
              <w:rPr>
                <w:sz w:val="19"/>
                <w:szCs w:val="19"/>
                <w:color w:val="auto"/>
              </w:rPr>
            </w:pPr>
          </w:p>
        </w:tc>
        <w:tc>
          <w:tcPr>
            <w:tcW w:w="2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874.5</w:t>
            </w:r>
          </w:p>
        </w:tc>
        <w:tc>
          <w:tcPr>
            <w:tcW w:w="120" w:type="dxa"/>
            <w:vAlign w:val="bottom"/>
            <w:shd w:val="clear" w:color="auto" w:fill="CFEDF9"/>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231F20"/>
              </w:rPr>
              <w:t>2024 Notes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335.9</w:t>
            </w:r>
          </w:p>
        </w:tc>
        <w:tc>
          <w:tcPr>
            <w:tcW w:w="120" w:type="dxa"/>
            <w:vAlign w:val="bottom"/>
          </w:tcPr>
          <w:p>
            <w:pPr>
              <w:spacing w:after="0"/>
              <w:rPr>
                <w:sz w:val="19"/>
                <w:szCs w:val="19"/>
                <w:color w:val="auto"/>
              </w:rPr>
            </w:pPr>
          </w:p>
        </w:tc>
      </w:tr>
      <w:tr>
        <w:trPr>
          <w:trHeight w:val="230"/>
        </w:trPr>
        <w:tc>
          <w:tcPr>
            <w:tcW w:w="36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2026 Notes</w:t>
            </w:r>
          </w:p>
        </w:tc>
        <w:tc>
          <w:tcPr>
            <w:tcW w:w="120" w:type="dxa"/>
            <w:vAlign w:val="bottom"/>
            <w:shd w:val="clear" w:color="auto" w:fill="CFEDF9"/>
          </w:tcPr>
          <w:p>
            <w:pPr>
              <w:spacing w:after="0"/>
              <w:rPr>
                <w:sz w:val="19"/>
                <w:szCs w:val="19"/>
                <w:color w:val="auto"/>
              </w:rPr>
            </w:pPr>
          </w:p>
        </w:tc>
        <w:tc>
          <w:tcPr>
            <w:tcW w:w="15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10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270.9</w:t>
            </w:r>
          </w:p>
        </w:tc>
        <w:tc>
          <w:tcPr>
            <w:tcW w:w="120" w:type="dxa"/>
            <w:vAlign w:val="bottom"/>
            <w:shd w:val="clear" w:color="auto" w:fill="CFEDF9"/>
          </w:tcPr>
          <w:p>
            <w:pPr>
              <w:spacing w:after="0"/>
              <w:rPr>
                <w:sz w:val="19"/>
                <w:szCs w:val="19"/>
                <w:color w:val="auto"/>
              </w:rPr>
            </w:pPr>
          </w:p>
        </w:tc>
      </w:tr>
      <w:tr>
        <w:trPr>
          <w:trHeight w:val="230"/>
        </w:trPr>
        <w:tc>
          <w:tcPr>
            <w:tcW w:w="36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2028 Notes</w:t>
            </w:r>
          </w:p>
        </w:tc>
        <w:tc>
          <w:tcPr>
            <w:tcW w:w="12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bottom w:val="single" w:sz="8" w:color="CFEDF9"/>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299.0</w:t>
            </w:r>
          </w:p>
        </w:tc>
        <w:tc>
          <w:tcPr>
            <w:tcW w:w="120" w:type="dxa"/>
            <w:vAlign w:val="bottom"/>
            <w:tcBorders>
              <w:bottom w:val="single" w:sz="8" w:color="CFEDF9"/>
            </w:tcBorders>
          </w:tcPr>
          <w:p>
            <w:pPr>
              <w:spacing w:after="0"/>
              <w:rPr>
                <w:sz w:val="19"/>
                <w:szCs w:val="19"/>
                <w:color w:val="auto"/>
              </w:rPr>
            </w:pPr>
          </w:p>
        </w:tc>
      </w:tr>
      <w:tr>
        <w:trPr>
          <w:trHeight w:val="220"/>
        </w:trPr>
        <w:tc>
          <w:tcPr>
            <w:tcW w:w="366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Debt</w:t>
            </w:r>
          </w:p>
        </w:tc>
        <w:tc>
          <w:tcPr>
            <w:tcW w:w="1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2,657.5</w:t>
            </w:r>
          </w:p>
        </w:tc>
        <w:tc>
          <w:tcPr>
            <w:tcW w:w="220" w:type="dxa"/>
            <w:vAlign w:val="bottom"/>
            <w:shd w:val="clear" w:color="auto" w:fill="CFEDF9"/>
          </w:tcPr>
          <w:p>
            <w:pPr>
              <w:spacing w:after="0"/>
              <w:rPr>
                <w:sz w:val="19"/>
                <w:szCs w:val="19"/>
                <w:color w:val="auto"/>
              </w:rPr>
            </w:pPr>
          </w:p>
        </w:tc>
        <w:tc>
          <w:tcPr>
            <w:tcW w:w="1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1,837.2</w:t>
            </w:r>
          </w:p>
        </w:tc>
        <w:tc>
          <w:tcPr>
            <w:tcW w:w="220" w:type="dxa"/>
            <w:vAlign w:val="bottom"/>
            <w:shd w:val="clear" w:color="auto" w:fill="CFEDF9"/>
          </w:tcPr>
          <w:p>
            <w:pPr>
              <w:spacing w:after="0"/>
              <w:rPr>
                <w:sz w:val="19"/>
                <w:szCs w:val="19"/>
                <w:color w:val="auto"/>
              </w:rPr>
            </w:pPr>
          </w:p>
        </w:tc>
        <w:tc>
          <w:tcPr>
            <w:tcW w:w="1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820.2</w:t>
            </w:r>
          </w:p>
        </w:tc>
        <w:tc>
          <w:tcPr>
            <w:tcW w:w="220" w:type="dxa"/>
            <w:vAlign w:val="bottom"/>
            <w:shd w:val="clear" w:color="auto" w:fill="CFEDF9"/>
          </w:tcPr>
          <w:p>
            <w:pPr>
              <w:spacing w:after="0"/>
              <w:rPr>
                <w:sz w:val="19"/>
                <w:szCs w:val="19"/>
                <w:color w:val="auto"/>
              </w:rPr>
            </w:pPr>
          </w:p>
        </w:tc>
        <w:tc>
          <w:tcPr>
            <w:tcW w:w="2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1,780.3</w:t>
            </w:r>
          </w:p>
        </w:tc>
        <w:tc>
          <w:tcPr>
            <w:tcW w:w="120" w:type="dxa"/>
            <w:vAlign w:val="bottom"/>
            <w:shd w:val="clear" w:color="auto" w:fill="CFEDF9"/>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right="840" w:hanging="500"/>
        <w:spacing w:after="0" w:line="254" w:lineRule="auto"/>
        <w:tabs>
          <w:tab w:leader="none" w:pos="500" w:val="left"/>
        </w:tabs>
        <w:numPr>
          <w:ilvl w:val="0"/>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available may be subject to limitations related to the borrowing base under the Revolving Credit Facility, outstanding letters of credit issued and asset coverage requirements.</w:t>
      </w:r>
    </w:p>
    <w:p>
      <w:pPr>
        <w:spacing w:after="0" w:line="1" w:lineRule="exact"/>
        <w:rPr>
          <w:rFonts w:ascii="Times New Roman" w:cs="Times New Roman" w:eastAsia="Times New Roman" w:hAnsi="Times New Roman"/>
          <w:sz w:val="20"/>
          <w:szCs w:val="20"/>
          <w:color w:val="231F20"/>
        </w:rPr>
      </w:pPr>
    </w:p>
    <w:p>
      <w:pPr>
        <w:ind w:left="500" w:right="140" w:hanging="500"/>
        <w:spacing w:after="0"/>
        <w:tabs>
          <w:tab w:leader="none" w:pos="500" w:val="left"/>
        </w:tabs>
        <w:numPr>
          <w:ilvl w:val="0"/>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values of the Revolving Credit Facility, 2024 Notes, 2026 Notes and 2028 Notes are presented net of the combination of deferred financing costs and original issue discounts totaling $15.2 million, $1.2 million, $3.0 million and $5.7 million, respectively.</w:t>
      </w:r>
    </w:p>
    <w:p>
      <w:pPr>
        <w:ind w:left="500" w:hanging="500"/>
        <w:spacing w:after="0"/>
        <w:tabs>
          <w:tab w:leader="none" w:pos="500" w:val="left"/>
        </w:tabs>
        <w:numPr>
          <w:ilvl w:val="0"/>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values of the 2024 Notes, 2026 Notes and 2028 Notes are presented inclusive of an incremental $(10.4) million,</w:t>
      </w:r>
    </w:p>
    <w:p>
      <w:pPr>
        <w:ind w:left="500" w:right="20"/>
        <w:spacing w:after="0" w:line="248"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$(26.1) million and $4.7 million, which represents an adjustment in the carrying values of the 2024 Notes, 2026 Notes and 2028 Notes, each resulting from a hedge accounting relationship.</w:t>
      </w: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77</w:t>
      </w:r>
    </w:p>
    <w:p>
      <w:pPr>
        <w:sectPr>
          <w:pgSz w:w="12240" w:h="15840" w:orient="portrait"/>
          <w:cols w:equalWidth="0" w:num="1">
            <w:col w:w="10760"/>
          </w:cols>
          <w:pgMar w:left="720" w:top="930" w:right="760" w:bottom="175" w:gutter="0" w:footer="0" w:header="0"/>
          <w:type w:val="continuous"/>
        </w:sectPr>
      </w:pPr>
    </w:p>
    <w:bookmarkStart w:id="77" w:name="page78"/>
    <w:bookmarkEnd w:id="77"/>
    <w:tbl>
      <w:tblPr>
        <w:tblLayout w:type="fixed"/>
        <w:tblInd w:w="54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2600" w:type="dxa"/>
            <w:vAlign w:val="bottom"/>
            <w:tcBorders>
              <w:bottom w:val="single" w:sz="8" w:color="231F20"/>
            </w:tcBorders>
            <w:gridSpan w:val="4"/>
          </w:tcPr>
          <w:p>
            <w:pPr>
              <w:jc w:val="right"/>
              <w:ind w:right="746"/>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22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3760" w:type="dxa"/>
            <w:vAlign w:val="bottom"/>
          </w:tcPr>
          <w:p>
            <w:pPr>
              <w:spacing w:after="0"/>
              <w:rPr>
                <w:sz w:val="13"/>
                <w:szCs w:val="13"/>
                <w:color w:val="auto"/>
              </w:rPr>
            </w:pPr>
          </w:p>
        </w:tc>
        <w:tc>
          <w:tcPr>
            <w:tcW w:w="14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231F20"/>
              </w:rPr>
              <w:t>Aggregate Principal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6"/>
                <w:szCs w:val="16"/>
                <w:b w:val="1"/>
                <w:bCs w:val="1"/>
                <w:color w:val="231F20"/>
              </w:rPr>
              <w:t>Outstanding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266"/>
              <w:spacing w:after="0" w:line="155"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211"/>
              <w:spacing w:after="0" w:line="155"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100" w:type="dxa"/>
            <w:vAlign w:val="bottom"/>
          </w:tcPr>
          <w:p>
            <w:pPr>
              <w:spacing w:after="0"/>
              <w:rPr>
                <w:sz w:val="13"/>
                <w:szCs w:val="13"/>
                <w:color w:val="auto"/>
              </w:rPr>
            </w:pPr>
          </w:p>
        </w:tc>
      </w:tr>
      <w:tr>
        <w:trPr>
          <w:trHeight w:val="203"/>
        </w:trPr>
        <w:tc>
          <w:tcPr>
            <w:tcW w:w="37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14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Amount Committed</w:t>
            </w:r>
          </w:p>
        </w:tc>
        <w:tc>
          <w:tcPr>
            <w:tcW w:w="220" w:type="dxa"/>
            <w:vAlign w:val="bottom"/>
            <w:tcBorders>
              <w:bottom w:val="single" w:sz="8" w:color="CFEDF9"/>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220" w:type="dxa"/>
            <w:vAlign w:val="bottom"/>
            <w:tcBorders>
              <w:bottom w:val="single" w:sz="8" w:color="CFEDF9"/>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231F20"/>
              </w:rPr>
              <w:t xml:space="preserve">Available </w:t>
            </w:r>
            <w:r>
              <w:rPr>
                <w:rFonts w:ascii="Times New Roman" w:cs="Times New Roman" w:eastAsia="Times New Roman" w:hAnsi="Times New Roman"/>
                <w:sz w:val="10"/>
                <w:szCs w:val="10"/>
                <w:b w:val="1"/>
                <w:bCs w:val="1"/>
                <w:color w:val="231F20"/>
              </w:rPr>
              <w:t>(1)</w:t>
            </w:r>
          </w:p>
        </w:tc>
        <w:tc>
          <w:tcPr>
            <w:tcW w:w="220" w:type="dxa"/>
            <w:vAlign w:val="bottom"/>
            <w:tcBorders>
              <w:bottom w:val="single" w:sz="8" w:color="CFEDF9"/>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ind w:right="191"/>
              <w:spacing w:after="0" w:line="203" w:lineRule="exact"/>
              <w:rPr>
                <w:sz w:val="20"/>
                <w:szCs w:val="20"/>
                <w:color w:val="auto"/>
              </w:rPr>
            </w:pPr>
            <w:r>
              <w:rPr>
                <w:rFonts w:ascii="Times New Roman" w:cs="Times New Roman" w:eastAsia="Times New Roman" w:hAnsi="Times New Roman"/>
                <w:sz w:val="23"/>
                <w:szCs w:val="23"/>
                <w:b w:val="1"/>
                <w:bCs w:val="1"/>
                <w:color w:val="231F20"/>
                <w:vertAlign w:val="subscript"/>
              </w:rPr>
              <w:t>Value</w:t>
            </w:r>
            <w:r>
              <w:rPr>
                <w:rFonts w:ascii="Times New Roman" w:cs="Times New Roman" w:eastAsia="Times New Roman" w:hAnsi="Times New Roman"/>
                <w:sz w:val="9"/>
                <w:szCs w:val="9"/>
                <w:b w:val="1"/>
                <w:bCs w:val="1"/>
                <w:color w:val="231F20"/>
              </w:rPr>
              <w:t xml:space="preserve"> (2)(3)</w:t>
            </w:r>
          </w:p>
        </w:tc>
        <w:tc>
          <w:tcPr>
            <w:tcW w:w="100" w:type="dxa"/>
            <w:vAlign w:val="bottom"/>
            <w:tcBorders>
              <w:bottom w:val="single" w:sz="8" w:color="CFEDF9"/>
            </w:tcBorders>
          </w:tcPr>
          <w:p>
            <w:pPr>
              <w:spacing w:after="0"/>
              <w:rPr>
                <w:sz w:val="17"/>
                <w:szCs w:val="17"/>
                <w:color w:val="auto"/>
              </w:rPr>
            </w:pPr>
          </w:p>
        </w:tc>
      </w:tr>
      <w:tr>
        <w:trPr>
          <w:trHeight w:val="220"/>
        </w:trPr>
        <w:tc>
          <w:tcPr>
            <w:tcW w:w="376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Revolving Credit Facility</w:t>
            </w:r>
          </w:p>
        </w:tc>
        <w:tc>
          <w:tcPr>
            <w:tcW w:w="480" w:type="dxa"/>
            <w:vAlign w:val="bottom"/>
            <w:shd w:val="clear" w:color="auto" w:fill="CFEDF9"/>
          </w:tcPr>
          <w:p>
            <w:pPr>
              <w:jc w:val="right"/>
              <w:ind w:right="29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1,585.0</w:t>
            </w:r>
          </w:p>
        </w:tc>
        <w:tc>
          <w:tcPr>
            <w:tcW w:w="220" w:type="dxa"/>
            <w:vAlign w:val="bottom"/>
            <w:shd w:val="clear" w:color="auto" w:fill="CFEDF9"/>
          </w:tcPr>
          <w:p>
            <w:pPr>
              <w:spacing w:after="0"/>
              <w:rPr>
                <w:sz w:val="19"/>
                <w:szCs w:val="19"/>
                <w:color w:val="auto"/>
              </w:rPr>
            </w:pPr>
          </w:p>
        </w:tc>
        <w:tc>
          <w:tcPr>
            <w:tcW w:w="1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719.3</w:t>
            </w:r>
          </w:p>
        </w:tc>
        <w:tc>
          <w:tcPr>
            <w:tcW w:w="220" w:type="dxa"/>
            <w:vAlign w:val="bottom"/>
            <w:shd w:val="clear" w:color="auto" w:fill="CFEDF9"/>
          </w:tcPr>
          <w:p>
            <w:pPr>
              <w:spacing w:after="0"/>
              <w:rPr>
                <w:sz w:val="19"/>
                <w:szCs w:val="19"/>
                <w:color w:val="auto"/>
              </w:rPr>
            </w:pPr>
          </w:p>
        </w:tc>
        <w:tc>
          <w:tcPr>
            <w:tcW w:w="1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865.7</w:t>
            </w:r>
          </w:p>
        </w:tc>
        <w:tc>
          <w:tcPr>
            <w:tcW w:w="220" w:type="dxa"/>
            <w:vAlign w:val="bottom"/>
            <w:shd w:val="clear" w:color="auto" w:fill="CFEDF9"/>
          </w:tcPr>
          <w:p>
            <w:pPr>
              <w:spacing w:after="0"/>
              <w:rPr>
                <w:sz w:val="19"/>
                <w:szCs w:val="19"/>
                <w:color w:val="auto"/>
              </w:rPr>
            </w:pPr>
          </w:p>
        </w:tc>
        <w:tc>
          <w:tcPr>
            <w:tcW w:w="1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706.2</w:t>
            </w:r>
          </w:p>
        </w:tc>
        <w:tc>
          <w:tcPr>
            <w:tcW w:w="100" w:type="dxa"/>
            <w:vAlign w:val="bottom"/>
            <w:shd w:val="clear" w:color="auto" w:fill="CFEDF9"/>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231F20"/>
              </w:rPr>
              <w:t>2023 Notes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149.9</w:t>
            </w:r>
          </w:p>
        </w:tc>
        <w:tc>
          <w:tcPr>
            <w:tcW w:w="100" w:type="dxa"/>
            <w:vAlign w:val="bottom"/>
          </w:tcPr>
          <w:p>
            <w:pPr>
              <w:spacing w:after="0"/>
              <w:rPr>
                <w:sz w:val="19"/>
                <w:szCs w:val="19"/>
                <w:color w:val="auto"/>
              </w:rPr>
            </w:pPr>
          </w:p>
        </w:tc>
      </w:tr>
      <w:tr>
        <w:trPr>
          <w:trHeight w:val="230"/>
        </w:trPr>
        <w:tc>
          <w:tcPr>
            <w:tcW w:w="37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2024 Notes</w:t>
            </w:r>
          </w:p>
        </w:tc>
        <w:tc>
          <w:tcPr>
            <w:tcW w:w="480" w:type="dxa"/>
            <w:vAlign w:val="bottom"/>
            <w:shd w:val="clear" w:color="auto" w:fill="CFEDF9"/>
          </w:tcPr>
          <w:p>
            <w:pPr>
              <w:spacing w:after="0"/>
              <w:rPr>
                <w:sz w:val="19"/>
                <w:szCs w:val="19"/>
                <w:color w:val="auto"/>
              </w:rPr>
            </w:pPr>
          </w:p>
        </w:tc>
        <w:tc>
          <w:tcPr>
            <w:tcW w:w="9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0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325.5</w:t>
            </w:r>
          </w:p>
        </w:tc>
        <w:tc>
          <w:tcPr>
            <w:tcW w:w="100" w:type="dxa"/>
            <w:vAlign w:val="bottom"/>
            <w:shd w:val="clear" w:color="auto" w:fill="CFEDF9"/>
          </w:tcPr>
          <w:p>
            <w:pPr>
              <w:spacing w:after="0"/>
              <w:rPr>
                <w:sz w:val="19"/>
                <w:szCs w:val="19"/>
                <w:color w:val="auto"/>
              </w:rPr>
            </w:pPr>
          </w:p>
        </w:tc>
      </w:tr>
      <w:tr>
        <w:trPr>
          <w:trHeight w:val="230"/>
        </w:trPr>
        <w:tc>
          <w:tcPr>
            <w:tcW w:w="37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2026 Notes</w:t>
            </w:r>
          </w:p>
        </w:tc>
        <w:tc>
          <w:tcPr>
            <w:tcW w:w="48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bottom w:val="single" w:sz="8" w:color="CFEDF9"/>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260.2</w:t>
            </w:r>
          </w:p>
        </w:tc>
        <w:tc>
          <w:tcPr>
            <w:tcW w:w="100" w:type="dxa"/>
            <w:vAlign w:val="bottom"/>
            <w:tcBorders>
              <w:bottom w:val="single" w:sz="8" w:color="CFEDF9"/>
            </w:tcBorders>
          </w:tcPr>
          <w:p>
            <w:pPr>
              <w:spacing w:after="0"/>
              <w:rPr>
                <w:sz w:val="19"/>
                <w:szCs w:val="19"/>
                <w:color w:val="auto"/>
              </w:rPr>
            </w:pPr>
          </w:p>
        </w:tc>
      </w:tr>
      <w:tr>
        <w:trPr>
          <w:trHeight w:val="220"/>
        </w:trPr>
        <w:tc>
          <w:tcPr>
            <w:tcW w:w="376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Debt</w:t>
            </w:r>
          </w:p>
        </w:tc>
        <w:tc>
          <w:tcPr>
            <w:tcW w:w="480" w:type="dxa"/>
            <w:vAlign w:val="bottom"/>
            <w:tcBorders>
              <w:bottom w:val="single" w:sz="8" w:color="231F20"/>
            </w:tcBorders>
            <w:shd w:val="clear" w:color="auto" w:fill="CFEDF9"/>
          </w:tcPr>
          <w:p>
            <w:pPr>
              <w:jc w:val="right"/>
              <w:ind w:right="29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2,382.5</w:t>
            </w:r>
          </w:p>
        </w:tc>
        <w:tc>
          <w:tcPr>
            <w:tcW w:w="220" w:type="dxa"/>
            <w:vAlign w:val="bottom"/>
            <w:shd w:val="clear" w:color="auto" w:fill="CFEDF9"/>
          </w:tcPr>
          <w:p>
            <w:pPr>
              <w:spacing w:after="0"/>
              <w:rPr>
                <w:sz w:val="19"/>
                <w:szCs w:val="19"/>
                <w:color w:val="auto"/>
              </w:rPr>
            </w:pPr>
          </w:p>
        </w:tc>
        <w:tc>
          <w:tcPr>
            <w:tcW w:w="1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1,516.8</w:t>
            </w:r>
          </w:p>
        </w:tc>
        <w:tc>
          <w:tcPr>
            <w:tcW w:w="220" w:type="dxa"/>
            <w:vAlign w:val="bottom"/>
            <w:shd w:val="clear" w:color="auto" w:fill="CFEDF9"/>
          </w:tcPr>
          <w:p>
            <w:pPr>
              <w:spacing w:after="0"/>
              <w:rPr>
                <w:sz w:val="19"/>
                <w:szCs w:val="19"/>
                <w:color w:val="auto"/>
              </w:rPr>
            </w:pPr>
          </w:p>
        </w:tc>
        <w:tc>
          <w:tcPr>
            <w:tcW w:w="1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865.7</w:t>
            </w:r>
          </w:p>
        </w:tc>
        <w:tc>
          <w:tcPr>
            <w:tcW w:w="220" w:type="dxa"/>
            <w:vAlign w:val="bottom"/>
            <w:shd w:val="clear" w:color="auto" w:fill="CFEDF9"/>
          </w:tcPr>
          <w:p>
            <w:pPr>
              <w:spacing w:after="0"/>
              <w:rPr>
                <w:sz w:val="19"/>
                <w:szCs w:val="19"/>
                <w:color w:val="auto"/>
              </w:rPr>
            </w:pPr>
          </w:p>
        </w:tc>
        <w:tc>
          <w:tcPr>
            <w:tcW w:w="1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1,441.8</w:t>
            </w:r>
          </w:p>
        </w:tc>
        <w:tc>
          <w:tcPr>
            <w:tcW w:w="100" w:type="dxa"/>
            <w:vAlign w:val="bottom"/>
            <w:shd w:val="clear" w:color="auto" w:fill="CFEDF9"/>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right="140" w:hanging="500"/>
        <w:spacing w:after="0" w:line="254" w:lineRule="auto"/>
        <w:tabs>
          <w:tab w:leader="none" w:pos="50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available may be subject to limitations related to the borrowing base under the Revolving Credit Facility and asset coverage requirements.</w:t>
      </w:r>
    </w:p>
    <w:p>
      <w:pPr>
        <w:spacing w:after="0" w:line="1" w:lineRule="exact"/>
        <w:rPr>
          <w:rFonts w:ascii="Times New Roman" w:cs="Times New Roman" w:eastAsia="Times New Roman" w:hAnsi="Times New Roman"/>
          <w:sz w:val="20"/>
          <w:szCs w:val="20"/>
          <w:color w:val="231F20"/>
        </w:rPr>
      </w:pPr>
    </w:p>
    <w:p>
      <w:pPr>
        <w:ind w:left="500" w:right="140" w:hanging="500"/>
        <w:spacing w:after="0"/>
        <w:tabs>
          <w:tab w:leader="none" w:pos="50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values of the Revolving Credit Facility, 2023 Notes, 2024 Notes and 2026 Notes are presented net of the combination of deferred financing costs and original issue discounts totaling $13.2 million, less than $0.1 million, $2.6 million and $4.1 million, respectively.</w:t>
      </w:r>
    </w:p>
    <w:p>
      <w:pPr>
        <w:ind w:left="500" w:right="220" w:hanging="500"/>
        <w:spacing w:after="0" w:line="244" w:lineRule="auto"/>
        <w:tabs>
          <w:tab w:leader="none" w:pos="500"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values of the 2024 Notes and 2026 Notes are presented inclusive of an incremental $(19.4) million and $(35.7) million, which represents an adjustment in the carrying values of the 2024 Notes and 2026 Notes, each resulting from a hedge accounting relationship.</w:t>
      </w:r>
    </w:p>
    <w:p>
      <w:pPr>
        <w:spacing w:after="0" w:line="201" w:lineRule="exact"/>
        <w:rPr>
          <w:sz w:val="20"/>
          <w:szCs w:val="20"/>
          <w:color w:val="auto"/>
        </w:rPr>
      </w:pPr>
    </w:p>
    <w:p>
      <w:pPr>
        <w:ind w:right="120" w:firstLine="300"/>
        <w:spacing w:after="0" w:line="277" w:lineRule="auto"/>
        <w:rPr>
          <w:sz w:val="20"/>
          <w:szCs w:val="20"/>
          <w:color w:val="auto"/>
        </w:rPr>
      </w:pPr>
      <w:r>
        <w:rPr>
          <w:rFonts w:ascii="Times New Roman" w:cs="Times New Roman" w:eastAsia="Times New Roman" w:hAnsi="Times New Roman"/>
          <w:sz w:val="20"/>
          <w:szCs w:val="20"/>
          <w:color w:val="231F20"/>
        </w:rPr>
        <w:t>As of December 31, 2023 and December 31, 2022, we were in compliance with the terms of our debt arrangements. We intend to continue to utilize our credit facilities to fund investments and for other general corporate purposes.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Off-Balance Sheet Arrangements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Portfolio Company Commitments</w:t>
      </w:r>
    </w:p>
    <w:p>
      <w:pPr>
        <w:spacing w:after="0" w:line="120"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2023 and 2022, we had the following commitments to fund investments in current portfolio companies:</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78</w:t>
      </w:r>
    </w:p>
    <w:p>
      <w:pPr>
        <w:sectPr>
          <w:pgSz w:w="12240" w:h="15840" w:orient="portrait"/>
          <w:cols w:equalWidth="0" w:num="1">
            <w:col w:w="10780"/>
          </w:cols>
          <w:pgMar w:left="720" w:top="930" w:right="740" w:bottom="175" w:gutter="0" w:footer="0" w:header="0"/>
          <w:type w:val="continuous"/>
        </w:sectPr>
      </w:pPr>
    </w:p>
    <w:bookmarkStart w:id="78" w:name="page79"/>
    <w:bookmarkEnd w:id="78"/>
    <w:tbl>
      <w:tblPr>
        <w:tblLayout w:type="fixed"/>
        <w:tblInd w:w="1080" w:type="dxa"/>
        <w:tblCellMar>
          <w:top w:w="0" w:type="dxa"/>
          <w:left w:w="0" w:type="dxa"/>
          <w:bottom w:w="0" w:type="dxa"/>
          <w:right w:w="0" w:type="dxa"/>
        </w:tblCellMar>
      </w:tblPr>
      <w:tr>
        <w:trPr>
          <w:trHeight w:val="203"/>
        </w:trPr>
        <w:tc>
          <w:tcPr>
            <w:tcW w:w="502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280" w:type="dxa"/>
            <w:vAlign w:val="bottom"/>
            <w:tcBorders>
              <w:bottom w:val="single" w:sz="8" w:color="CFEDF9"/>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220" w:type="dxa"/>
            <w:vAlign w:val="bottom"/>
            <w:tcBorders>
              <w:bottom w:val="single" w:sz="8" w:color="CFEDF9"/>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80" w:type="dxa"/>
            <w:vAlign w:val="bottom"/>
            <w:tcBorders>
              <w:bottom w:val="single" w:sz="8" w:color="CFEDF9"/>
            </w:tcBorders>
          </w:tcPr>
          <w:p>
            <w:pPr>
              <w:spacing w:after="0"/>
              <w:rPr>
                <w:sz w:val="17"/>
                <w:szCs w:val="17"/>
                <w:color w:val="auto"/>
              </w:rPr>
            </w:pPr>
          </w:p>
        </w:tc>
      </w:tr>
      <w:tr>
        <w:trPr>
          <w:trHeight w:val="174"/>
        </w:trPr>
        <w:tc>
          <w:tcPr>
            <w:tcW w:w="5020" w:type="dxa"/>
            <w:vAlign w:val="bottom"/>
            <w:shd w:val="clear" w:color="auto" w:fill="CFEDF9"/>
          </w:tcPr>
          <w:p>
            <w:pPr>
              <w:ind w:left="40"/>
              <w:spacing w:after="0" w:line="174" w:lineRule="exact"/>
              <w:rPr>
                <w:sz w:val="20"/>
                <w:szCs w:val="20"/>
                <w:color w:val="auto"/>
              </w:rPr>
            </w:pPr>
            <w:r>
              <w:rPr>
                <w:rFonts w:ascii="Times New Roman" w:cs="Times New Roman" w:eastAsia="Times New Roman" w:hAnsi="Times New Roman"/>
                <w:sz w:val="16"/>
                <w:szCs w:val="16"/>
                <w:color w:val="231F20"/>
              </w:rPr>
              <w:t>Alaska Bidco Oy - Delayed Draw &amp;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4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0.2</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4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Alpha Midco, Inc.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0.9</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American Achievement, Corp.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2.4</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2.4</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Arrow Buyer, Inc.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Artisan Bidco, Inc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5.7</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ASG II, LLC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7.0</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Avalara, Inc.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3.9</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3.9</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Axonify, Inc.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6.1</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Banyan Software Holdings, LLC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10.0</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Bayshore Intermediate #2, L.P. -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BCTO Ace Purchaser, Inc.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0.5</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6.6</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BCTO Bluebill Buyer, Inc.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Bear OpCo, LLC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2.6</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BlueSnap, Inc. -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BTRS Holdings, Inc. - Delayed Draw &amp;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8.6</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Carlstar Group, LLC -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8.5</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Cordance Operations, LLC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12.0</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Coupa Holdings, LLC - Delayed Draw &amp;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CrunchTime Information Systems, Inc.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7.1</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Crewline Buyer, Inc. - Revolver &amp; Partnership Interest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Disco Parent, Inc.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0.5</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Dye &amp; Durham Corp. - Revolver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80" w:type="dxa"/>
            <w:vAlign w:val="bottom"/>
          </w:tcPr>
          <w:p>
            <w:pPr>
              <w:spacing w:after="0"/>
              <w:rPr>
                <w:sz w:val="16"/>
                <w:szCs w:val="16"/>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EDB Parent, LLC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11.4</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18.0</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Edge Bidco B.V. - Delayed Draw &amp; Revolver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6"/>
                <w:szCs w:val="16"/>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Elysian Finco Ltd. - Delayed Draw &amp; Revolver</w:t>
            </w:r>
          </w:p>
        </w:tc>
        <w:tc>
          <w:tcPr>
            <w:tcW w:w="280" w:type="dxa"/>
            <w:vAlign w:val="bottom"/>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4.7</w:t>
            </w:r>
          </w:p>
        </w:tc>
        <w:tc>
          <w:tcPr>
            <w:tcW w:w="220" w:type="dxa"/>
            <w:vAlign w:val="bottom"/>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6.8</w:t>
            </w:r>
          </w:p>
        </w:tc>
        <w:tc>
          <w:tcPr>
            <w:tcW w:w="80" w:type="dxa"/>
            <w:vAlign w:val="bottom"/>
            <w:shd w:val="clear" w:color="auto" w:fill="CFEDF9"/>
          </w:tcPr>
          <w:p>
            <w:pPr>
              <w:spacing w:after="0"/>
              <w:rPr>
                <w:sz w:val="16"/>
                <w:szCs w:val="16"/>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Employment Hero Holdings Pty Ltd. - Delayed Draw &amp;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8.8</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EMS Linq, Inc.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8.8</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8.8</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Erling Lux Bidco SARL - Delayed Draw &amp;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ExtraHop Networks, Inc.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9.8</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17.1</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Fullsteam Operations, LLC - Delayed Draw &amp;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ForeScout Technologies, Inc. - Delayed Draw &amp;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G Treasury SS, LLC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Galileo Parent, Inc.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6.8</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Hirevue, Inc. -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Hornetsecurity Holding GmbH - Delayed Draw &amp;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2.1</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Ibis Intermediate Co.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IRGSE Holding Corp.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0.9</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0.3</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Kangaroo Bidco AS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 xml:space="preserve">Kyriba Corp. - Delayed Draw &amp; Revolver </w:t>
            </w:r>
            <w:r>
              <w:rPr>
                <w:rFonts w:ascii="Times New Roman" w:cs="Times New Roman" w:eastAsia="Times New Roman" w:hAnsi="Times New Roman"/>
                <w:sz w:val="10"/>
                <w:szCs w:val="10"/>
                <w:color w:val="231F20"/>
              </w:rPr>
              <w:t>(1)</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0.0</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Laramie Energy, LLC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LeanTaaS Holdings, Inc.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38.0</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47.2</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Lithium Technologies, LLC -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Lucidworks, Inc.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0.8</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0.8</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Marcura Equities LTD - Delayed Draw &amp;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Murchison Oil and Gas, LLC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9.8</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Netwrix Corp. - Delayed Draw &amp;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13.9</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Neuintel, LLC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4.2</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OutSystems Luxco SARL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PageUp People, Ltd. - Delayed Draw &amp;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5.8</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Passport Labs, Inc. - Delayed Draw &amp; Revolver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Ping Identity Holding Corp.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2.3</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2.3</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PrimePay Intermediate, LLC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PrimeRevenue, Inc.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Project44, Inc.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19.9</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Rapid Data GmbH Unternehmensberatung - Delayed Draw &amp;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ReliaQuest Holdings, LLC - Delayed Draw, Revolver &amp; Preferred Equity</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22.7</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SkyLark UK DebtCo - Delayed Draw</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7.1</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SL Buyer Corp. - Delayed Draw</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Tango Management Consulting, LLC - Delayed Draw &amp;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11.0</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26.6</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TRP Assets, LLC - Delayed Draw &amp; Membership Interest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7.8</w:t>
            </w:r>
          </w:p>
        </w:tc>
        <w:tc>
          <w:tcPr>
            <w:tcW w:w="80" w:type="dxa"/>
            <w:vAlign w:val="bottom"/>
          </w:tcPr>
          <w:p>
            <w:pPr>
              <w:spacing w:after="0"/>
              <w:rPr>
                <w:sz w:val="15"/>
                <w:szCs w:val="15"/>
                <w:color w:val="auto"/>
              </w:rPr>
            </w:pPr>
          </w:p>
        </w:tc>
      </w:tr>
      <w:tr>
        <w:trPr>
          <w:trHeight w:val="184"/>
        </w:trPr>
        <w:tc>
          <w:tcPr>
            <w:tcW w:w="502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WideOrbit, Inc. - Revolver</w:t>
            </w:r>
          </w:p>
        </w:tc>
        <w:tc>
          <w:tcPr>
            <w:tcW w:w="28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4.8</w:t>
            </w:r>
          </w:p>
        </w:tc>
        <w:tc>
          <w:tcPr>
            <w:tcW w:w="80" w:type="dxa"/>
            <w:vAlign w:val="bottom"/>
            <w:shd w:val="clear" w:color="auto" w:fill="CFEDF9"/>
          </w:tcPr>
          <w:p>
            <w:pPr>
              <w:spacing w:after="0"/>
              <w:rPr>
                <w:sz w:val="15"/>
                <w:szCs w:val="15"/>
                <w:color w:val="auto"/>
              </w:rPr>
            </w:pPr>
          </w:p>
        </w:tc>
      </w:tr>
      <w:tr>
        <w:trPr>
          <w:trHeight w:val="184"/>
        </w:trPr>
        <w:tc>
          <w:tcPr>
            <w:tcW w:w="5020" w:type="dxa"/>
            <w:vAlign w:val="bottom"/>
            <w:tcBorders>
              <w:bottom w:val="single" w:sz="8" w:color="CFEDF9"/>
            </w:tcBorders>
          </w:tcPr>
          <w:p>
            <w:pPr>
              <w:ind w:left="40"/>
              <w:spacing w:after="0"/>
              <w:rPr>
                <w:sz w:val="20"/>
                <w:szCs w:val="20"/>
                <w:color w:val="auto"/>
              </w:rPr>
            </w:pPr>
            <w:r>
              <w:rPr>
                <w:rFonts w:ascii="Times New Roman" w:cs="Times New Roman" w:eastAsia="Times New Roman" w:hAnsi="Times New Roman"/>
                <w:sz w:val="16"/>
                <w:szCs w:val="16"/>
                <w:color w:val="231F20"/>
              </w:rPr>
              <w:t>Wrangler TopCo, LLC - Revolver</w:t>
            </w:r>
          </w:p>
        </w:tc>
        <w:tc>
          <w:tcPr>
            <w:tcW w:w="280" w:type="dxa"/>
            <w:vAlign w:val="bottom"/>
            <w:tcBorders>
              <w:bottom w:val="single" w:sz="8" w:color="CFEDF9"/>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0.4</w:t>
            </w:r>
          </w:p>
        </w:tc>
        <w:tc>
          <w:tcPr>
            <w:tcW w:w="220" w:type="dxa"/>
            <w:vAlign w:val="bottom"/>
            <w:tcBorders>
              <w:bottom w:val="single" w:sz="8" w:color="CFEDF9"/>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CFEDF9"/>
            </w:tcBorders>
          </w:tcPr>
          <w:p>
            <w:pPr>
              <w:spacing w:after="0"/>
              <w:rPr>
                <w:sz w:val="15"/>
                <w:szCs w:val="15"/>
                <w:color w:val="auto"/>
              </w:rPr>
            </w:pPr>
          </w:p>
        </w:tc>
      </w:tr>
      <w:tr>
        <w:trPr>
          <w:trHeight w:val="174"/>
        </w:trPr>
        <w:tc>
          <w:tcPr>
            <w:tcW w:w="5020" w:type="dxa"/>
            <w:vAlign w:val="bottom"/>
            <w:shd w:val="clear" w:color="auto" w:fill="CFEDF9"/>
          </w:tcPr>
          <w:p>
            <w:pPr>
              <w:ind w:left="100"/>
              <w:spacing w:after="0" w:line="174" w:lineRule="exact"/>
              <w:rPr>
                <w:sz w:val="20"/>
                <w:szCs w:val="20"/>
                <w:color w:val="auto"/>
              </w:rPr>
            </w:pPr>
            <w:r>
              <w:rPr>
                <w:rFonts w:ascii="Times New Roman" w:cs="Times New Roman" w:eastAsia="Times New Roman" w:hAnsi="Times New Roman"/>
                <w:sz w:val="16"/>
                <w:szCs w:val="16"/>
                <w:b w:val="1"/>
                <w:bCs w:val="1"/>
                <w:color w:val="231F20"/>
              </w:rPr>
              <w:t xml:space="preserve">Total Portfolio Company Commitments </w:t>
            </w:r>
            <w:r>
              <w:rPr>
                <w:rFonts w:ascii="Times New Roman" w:cs="Times New Roman" w:eastAsia="Times New Roman" w:hAnsi="Times New Roman"/>
                <w:sz w:val="10"/>
                <w:szCs w:val="10"/>
                <w:b w:val="1"/>
                <w:bCs w:val="1"/>
                <w:color w:val="231F20"/>
              </w:rPr>
              <w:t>(2)(3)</w:t>
            </w:r>
          </w:p>
        </w:tc>
        <w:tc>
          <w:tcPr>
            <w:tcW w:w="280" w:type="dxa"/>
            <w:vAlign w:val="bottom"/>
            <w:shd w:val="clear" w:color="auto" w:fill="CFEDF9"/>
          </w:tcPr>
          <w:p>
            <w:pPr>
              <w:spacing w:after="0"/>
              <w:rPr>
                <w:sz w:val="15"/>
                <w:szCs w:val="15"/>
                <w:color w:val="auto"/>
              </w:rPr>
            </w:pPr>
          </w:p>
        </w:tc>
        <w:tc>
          <w:tcPr>
            <w:tcW w:w="8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4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316.1</w:t>
            </w:r>
          </w:p>
        </w:tc>
        <w:tc>
          <w:tcPr>
            <w:tcW w:w="220" w:type="dxa"/>
            <w:vAlign w:val="bottom"/>
            <w:shd w:val="clear" w:color="auto" w:fill="CFEDF9"/>
          </w:tcPr>
          <w:p>
            <w:pPr>
              <w:spacing w:after="0"/>
              <w:rPr>
                <w:sz w:val="15"/>
                <w:szCs w:val="15"/>
                <w:color w:val="auto"/>
              </w:rPr>
            </w:pPr>
          </w:p>
        </w:tc>
        <w:tc>
          <w:tcPr>
            <w:tcW w:w="8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4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338.0</w:t>
            </w:r>
          </w:p>
        </w:tc>
        <w:tc>
          <w:tcPr>
            <w:tcW w:w="80" w:type="dxa"/>
            <w:vAlign w:val="bottom"/>
            <w:shd w:val="clear" w:color="auto" w:fill="CFEDF9"/>
          </w:tcPr>
          <w:p>
            <w:pPr>
              <w:spacing w:after="0"/>
              <w:rPr>
                <w:sz w:val="15"/>
                <w:szCs w:val="15"/>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hanging="500"/>
        <w:spacing w:after="0"/>
        <w:tabs>
          <w:tab w:leader="none" w:pos="500"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Value sums to less than $0.1 million.</w:t>
      </w:r>
    </w:p>
    <w:p>
      <w:pPr>
        <w:spacing w:after="0" w:line="40" w:lineRule="exact"/>
        <w:rPr>
          <w:rFonts w:ascii="Times New Roman" w:cs="Times New Roman" w:eastAsia="Times New Roman" w:hAnsi="Times New Roman"/>
          <w:sz w:val="20"/>
          <w:szCs w:val="20"/>
          <w:color w:val="231F20"/>
        </w:rPr>
      </w:pPr>
    </w:p>
    <w:p>
      <w:pPr>
        <w:ind w:left="500" w:hanging="500"/>
        <w:spacing w:after="0" w:line="253" w:lineRule="auto"/>
        <w:tabs>
          <w:tab w:leader="none" w:pos="500"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20"/>
          <w:szCs w:val="20"/>
          <w:color w:val="231F20"/>
        </w:rPr>
      </w:pPr>
    </w:p>
    <w:p>
      <w:pPr>
        <w:ind w:left="500" w:right="100" w:hanging="500"/>
        <w:spacing w:after="0" w:line="277" w:lineRule="auto"/>
        <w:tabs>
          <w:tab w:leader="none" w:pos="500"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estimate of the fair value of the current investments in these portfolio companies includes an analysis of the fair value of any unfunded commitments.</w:t>
      </w:r>
    </w:p>
    <w:p>
      <w:pPr>
        <w:sectPr>
          <w:pgSz w:w="12240" w:h="15840" w:orient="portrait"/>
          <w:cols w:equalWidth="0" w:num="1">
            <w:col w:w="10580"/>
          </w:cols>
          <w:pgMar w:left="720" w:top="930" w:right="940" w:bottom="175" w:gutter="0" w:footer="0" w:header="0"/>
        </w:sectPr>
      </w:pPr>
    </w:p>
    <w:p>
      <w:pPr>
        <w:spacing w:after="0" w:line="3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231F20"/>
        </w:rPr>
        <w:t>79</w:t>
      </w:r>
    </w:p>
    <w:p>
      <w:pPr>
        <w:sectPr>
          <w:pgSz w:w="12240" w:h="15840" w:orient="portrait"/>
          <w:cols w:equalWidth="0" w:num="1">
            <w:col w:w="10580"/>
          </w:cols>
          <w:pgMar w:left="720" w:top="930" w:right="940" w:bottom="175"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Commitments and Contingencies</w:t>
      </w:r>
    </w:p>
    <w:p>
      <w:pPr>
        <w:spacing w:after="0" w:line="120" w:lineRule="exact"/>
        <w:rPr>
          <w:sz w:val="20"/>
          <w:szCs w:val="20"/>
          <w:color w:val="auto"/>
        </w:rPr>
      </w:pPr>
    </w:p>
    <w:p>
      <w:pPr>
        <w:ind w:right="660" w:firstLine="245"/>
        <w:spacing w:after="0" w:line="277" w:lineRule="auto"/>
        <w:rPr>
          <w:sz w:val="20"/>
          <w:szCs w:val="20"/>
          <w:color w:val="auto"/>
        </w:rPr>
      </w:pPr>
      <w:r>
        <w:rPr>
          <w:rFonts w:ascii="Times New Roman" w:cs="Times New Roman" w:eastAsia="Times New Roman" w:hAnsi="Times New Roman"/>
          <w:sz w:val="20"/>
          <w:szCs w:val="20"/>
          <w:color w:val="231F20"/>
        </w:rPr>
        <w:t>As of December 31, 2023 and December 31, 2022, we did not have any unfunded commitments to fund investments to new borrowers that were not current portfolio companies as of such date.</w:t>
      </w:r>
    </w:p>
    <w:p>
      <w:pPr>
        <w:spacing w:after="0" w:line="49"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231F20"/>
        </w:rPr>
        <w:t>From time to time, we may become a party to certain legal proceedings incidental to the normal course of our business. As of December 31, 2023 and 2022, management is not aware of any material pending or threatened litigation that would require accounting recognition or financial statement disclosure.</w:t>
      </w:r>
    </w:p>
    <w:p>
      <w:pPr>
        <w:spacing w:after="0" w:line="188" w:lineRule="exact"/>
        <w:rPr>
          <w:sz w:val="20"/>
          <w:szCs w:val="20"/>
          <w:color w:val="auto"/>
        </w:rPr>
      </w:pPr>
    </w:p>
    <w:p>
      <w:pPr>
        <w:jc w:val="both"/>
        <w:ind w:right="420" w:firstLine="245"/>
        <w:spacing w:after="0" w:line="258" w:lineRule="auto"/>
        <w:rPr>
          <w:sz w:val="20"/>
          <w:szCs w:val="20"/>
          <w:color w:val="auto"/>
        </w:rPr>
      </w:pPr>
      <w:r>
        <w:rPr>
          <w:rFonts w:ascii="Times New Roman" w:cs="Times New Roman" w:eastAsia="Times New Roman" w:hAnsi="Times New Roman"/>
          <w:sz w:val="20"/>
          <w:szCs w:val="20"/>
          <w:color w:val="231F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88" w:lineRule="exact"/>
        <w:rPr>
          <w:sz w:val="20"/>
          <w:szCs w:val="20"/>
          <w:color w:val="auto"/>
        </w:rPr>
      </w:pPr>
    </w:p>
    <w:p>
      <w:pPr>
        <w:ind w:right="40" w:firstLine="245"/>
        <w:spacing w:after="0" w:line="245" w:lineRule="auto"/>
        <w:rPr>
          <w:sz w:val="20"/>
          <w:szCs w:val="20"/>
          <w:color w:val="auto"/>
        </w:rPr>
      </w:pPr>
      <w:r>
        <w:rPr>
          <w:rFonts w:ascii="Times New Roman" w:cs="Times New Roman" w:eastAsia="Times New Roman" w:hAnsi="Times New Roman"/>
          <w:sz w:val="20"/>
          <w:szCs w:val="20"/>
          <w:color w:val="231F20"/>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231F20"/>
        </w:rPr>
        <w:t>Contractual Obligations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 summary of our contractual payment obligations as of December 31, 2023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400" w:type="dxa"/>
            <w:vAlign w:val="bottom"/>
            <w:tcBorders>
              <w:bottom w:val="single" w:sz="8" w:color="231F20"/>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231F20"/>
              </w:rPr>
              <w:t>Payments Due by Period</w:t>
            </w:r>
          </w:p>
        </w:tc>
        <w:tc>
          <w:tcPr>
            <w:tcW w:w="8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54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6"/>
                <w:szCs w:val="16"/>
                <w:b w:val="1"/>
                <w:bCs w:val="1"/>
                <w:color w:val="231F20"/>
              </w:rPr>
              <w:t>Less than</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9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22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188"/>
              <w:spacing w:after="0"/>
              <w:rPr>
                <w:sz w:val="20"/>
                <w:szCs w:val="20"/>
                <w:color w:val="auto"/>
              </w:rPr>
            </w:pPr>
            <w:r>
              <w:rPr>
                <w:rFonts w:ascii="Times New Roman" w:cs="Times New Roman" w:eastAsia="Times New Roman" w:hAnsi="Times New Roman"/>
                <w:sz w:val="16"/>
                <w:szCs w:val="16"/>
                <w:b w:val="1"/>
                <w:bCs w:val="1"/>
                <w:color w:val="231F20"/>
              </w:rPr>
              <w:t>1 year</w:t>
            </w:r>
          </w:p>
        </w:tc>
        <w:tc>
          <w:tcPr>
            <w:tcW w:w="22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231F20"/>
              </w:rPr>
              <w:t>1-3 years</w:t>
            </w:r>
          </w:p>
        </w:tc>
        <w:tc>
          <w:tcPr>
            <w:tcW w:w="24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231F20"/>
              </w:rPr>
              <w:t>3-5 years</w:t>
            </w:r>
          </w:p>
        </w:tc>
        <w:tc>
          <w:tcPr>
            <w:tcW w:w="22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960" w:type="dxa"/>
            <w:vAlign w:val="bottom"/>
            <w:tcBorders>
              <w:bottom w:val="single" w:sz="8" w:color="231F20"/>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After 5 years</w:t>
            </w:r>
          </w:p>
        </w:tc>
        <w:tc>
          <w:tcPr>
            <w:tcW w:w="100" w:type="dxa"/>
            <w:vAlign w:val="bottom"/>
            <w:tcBorders>
              <w:bottom w:val="single" w:sz="8" w:color="CFEDF9"/>
            </w:tcBorders>
          </w:tcPr>
          <w:p>
            <w:pPr>
              <w:spacing w:after="0"/>
              <w:rPr>
                <w:sz w:val="17"/>
                <w:szCs w:val="17"/>
                <w:color w:val="auto"/>
              </w:rPr>
            </w:pPr>
          </w:p>
        </w:tc>
      </w:tr>
      <w:tr>
        <w:trPr>
          <w:trHeight w:val="220"/>
        </w:trPr>
        <w:tc>
          <w:tcPr>
            <w:tcW w:w="496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Revolving Credit Facility</w:t>
            </w:r>
          </w:p>
        </w:tc>
        <w:tc>
          <w:tcPr>
            <w:tcW w:w="2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889.7</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889.7</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20" w:type="dxa"/>
            <w:vAlign w:val="bottom"/>
            <w:shd w:val="clear" w:color="auto" w:fill="CFEDF9"/>
          </w:tcPr>
          <w:p>
            <w:pPr>
              <w:jc w:val="right"/>
              <w:ind w:right="257"/>
              <w:spacing w:after="0"/>
              <w:rPr>
                <w:sz w:val="20"/>
                <w:szCs w:val="20"/>
                <w:color w:val="auto"/>
              </w:rPr>
            </w:pPr>
            <w:r>
              <w:rPr>
                <w:rFonts w:ascii="Times New Roman" w:cs="Times New Roman" w:eastAsia="Times New Roman" w:hAnsi="Times New Roman"/>
                <w:sz w:val="17"/>
                <w:szCs w:val="17"/>
                <w:color w:val="231F20"/>
                <w:w w:val="70"/>
              </w:rPr>
              <w:t>$</w:t>
            </w:r>
          </w:p>
        </w:tc>
        <w:tc>
          <w:tcPr>
            <w:tcW w:w="540" w:type="dxa"/>
            <w:vAlign w:val="bottom"/>
            <w:shd w:val="clear" w:color="auto" w:fill="CFEDF9"/>
          </w:tcPr>
          <w:p>
            <w:pPr>
              <w:ind w:left="340"/>
              <w:spacing w:after="0" w:line="220" w:lineRule="exact"/>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shd w:val="clear" w:color="auto" w:fill="CFEDF9"/>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231F20"/>
              </w:rPr>
              <w:t>2024 Notes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r>
      <w:tr>
        <w:trPr>
          <w:trHeight w:val="230"/>
        </w:trPr>
        <w:tc>
          <w:tcPr>
            <w:tcW w:w="49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2026 Notes</w:t>
            </w:r>
          </w:p>
        </w:tc>
        <w:tc>
          <w:tcPr>
            <w:tcW w:w="200" w:type="dxa"/>
            <w:vAlign w:val="bottom"/>
            <w:shd w:val="clear" w:color="auto" w:fill="CFEDF9"/>
          </w:tcPr>
          <w:p>
            <w:pPr>
              <w:spacing w:after="0"/>
              <w:rPr>
                <w:sz w:val="19"/>
                <w:szCs w:val="19"/>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20" w:type="dxa"/>
            <w:vAlign w:val="bottom"/>
            <w:shd w:val="clear" w:color="auto" w:fill="CFEDF9"/>
          </w:tcPr>
          <w:p>
            <w:pPr>
              <w:spacing w:after="0"/>
              <w:rPr>
                <w:sz w:val="19"/>
                <w:szCs w:val="19"/>
                <w:color w:val="auto"/>
              </w:rPr>
            </w:pPr>
          </w:p>
        </w:tc>
        <w:tc>
          <w:tcPr>
            <w:tcW w:w="540" w:type="dxa"/>
            <w:vAlign w:val="bottom"/>
            <w:shd w:val="clear" w:color="auto" w:fill="CFEDF9"/>
          </w:tcPr>
          <w:p>
            <w:pPr>
              <w:ind w:left="34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shd w:val="clear" w:color="auto" w:fill="CFEDF9"/>
          </w:tcPr>
          <w:p>
            <w:pPr>
              <w:spacing w:after="0"/>
              <w:rPr>
                <w:sz w:val="19"/>
                <w:szCs w:val="19"/>
                <w:color w:val="auto"/>
              </w:rPr>
            </w:pPr>
          </w:p>
        </w:tc>
      </w:tr>
      <w:tr>
        <w:trPr>
          <w:trHeight w:val="230"/>
        </w:trPr>
        <w:tc>
          <w:tcPr>
            <w:tcW w:w="49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2028 Notes</w:t>
            </w:r>
          </w:p>
        </w:tc>
        <w:tc>
          <w:tcPr>
            <w:tcW w:w="20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bottom w:val="single" w:sz="8" w:color="CFEDF9"/>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bottom w:val="single" w:sz="8" w:color="CFEDF9"/>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220" w:type="dxa"/>
            <w:vAlign w:val="bottom"/>
            <w:tcBorders>
              <w:bottom w:val="single" w:sz="8" w:color="CFEDF9"/>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tcBorders>
          </w:tcPr>
          <w:p>
            <w:pPr>
              <w:ind w:left="34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Borders>
              <w:bottom w:val="single" w:sz="8" w:color="CFEDF9"/>
            </w:tcBorders>
          </w:tcPr>
          <w:p>
            <w:pPr>
              <w:spacing w:after="0"/>
              <w:rPr>
                <w:sz w:val="19"/>
                <w:szCs w:val="19"/>
                <w:color w:val="auto"/>
              </w:rPr>
            </w:pPr>
          </w:p>
        </w:tc>
      </w:tr>
      <w:tr>
        <w:trPr>
          <w:trHeight w:val="220"/>
        </w:trPr>
        <w:tc>
          <w:tcPr>
            <w:tcW w:w="496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Contractual Obligations</w:t>
            </w:r>
          </w:p>
        </w:tc>
        <w:tc>
          <w:tcPr>
            <w:tcW w:w="2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1,837.</w:t>
            </w:r>
            <w:r>
              <w:rPr>
                <w:rFonts w:ascii="Times New Roman" w:cs="Times New Roman" w:eastAsia="Times New Roman" w:hAnsi="Times New Roman"/>
                <w:sz w:val="20"/>
                <w:szCs w:val="20"/>
                <w:u w:val="single" w:color="auto"/>
                <w:color w:val="231F20"/>
                <w:shd w:val="clear" w:color="auto" w:fill="CFEDF9"/>
              </w:rPr>
              <w:t>2</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347.5</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300.0</w:t>
            </w:r>
          </w:p>
        </w:tc>
        <w:tc>
          <w:tcPr>
            <w:tcW w:w="2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1,189.</w:t>
            </w:r>
            <w:r>
              <w:rPr>
                <w:rFonts w:ascii="Times New Roman" w:cs="Times New Roman" w:eastAsia="Times New Roman" w:hAnsi="Times New Roman"/>
                <w:sz w:val="20"/>
                <w:szCs w:val="20"/>
                <w:u w:val="single" w:color="auto"/>
                <w:color w:val="231F20"/>
                <w:shd w:val="clear" w:color="auto" w:fill="CFEDF9"/>
              </w:rPr>
              <w:t>7</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20" w:type="dxa"/>
            <w:vAlign w:val="bottom"/>
            <w:tcBorders>
              <w:bottom w:val="single" w:sz="8" w:color="231F20"/>
            </w:tcBorders>
            <w:shd w:val="clear" w:color="auto" w:fill="CFEDF9"/>
          </w:tcPr>
          <w:p>
            <w:pPr>
              <w:jc w:val="right"/>
              <w:ind w:right="257"/>
              <w:spacing w:after="0"/>
              <w:rPr>
                <w:sz w:val="20"/>
                <w:szCs w:val="20"/>
                <w:color w:val="auto"/>
              </w:rPr>
            </w:pPr>
            <w:r>
              <w:rPr>
                <w:rFonts w:ascii="Times New Roman" w:cs="Times New Roman" w:eastAsia="Times New Roman" w:hAnsi="Times New Roman"/>
                <w:sz w:val="17"/>
                <w:szCs w:val="17"/>
                <w:color w:val="231F20"/>
                <w:w w:val="70"/>
              </w:rPr>
              <w:t>$</w:t>
            </w:r>
          </w:p>
        </w:tc>
        <w:tc>
          <w:tcPr>
            <w:tcW w:w="540" w:type="dxa"/>
            <w:vAlign w:val="bottom"/>
            <w:tcBorders>
              <w:bottom w:val="single" w:sz="8" w:color="231F20"/>
            </w:tcBorders>
            <w:shd w:val="clear" w:color="auto" w:fill="CFEDF9"/>
          </w:tcPr>
          <w:p>
            <w:pPr>
              <w:ind w:left="340"/>
              <w:spacing w:after="0" w:line="220" w:lineRule="exact"/>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shd w:val="clear" w:color="auto" w:fill="CFEDF9"/>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right="580" w:firstLine="245"/>
        <w:spacing w:after="0" w:line="277" w:lineRule="auto"/>
        <w:rPr>
          <w:sz w:val="20"/>
          <w:szCs w:val="20"/>
          <w:color w:val="auto"/>
        </w:rPr>
      </w:pPr>
      <w:r>
        <w:rPr>
          <w:rFonts w:ascii="Times New Roman" w:cs="Times New Roman" w:eastAsia="Times New Roman" w:hAnsi="Times New Roman"/>
          <w:sz w:val="20"/>
          <w:szCs w:val="20"/>
          <w:color w:val="231F20"/>
        </w:rPr>
        <w:t>In addition to the contractual payment obligations in the tables above, we also have commitments to fund investments and to pledge assets as collateral under the terms of our derivatives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Distributions</w:t>
      </w:r>
    </w:p>
    <w:p>
      <w:pPr>
        <w:spacing w:after="0" w:line="118" w:lineRule="exact"/>
        <w:rPr>
          <w:sz w:val="20"/>
          <w:szCs w:val="20"/>
          <w:color w:val="auto"/>
        </w:rPr>
      </w:pPr>
    </w:p>
    <w:p>
      <w:pPr>
        <w:ind w:right="260" w:firstLine="245"/>
        <w:spacing w:after="0" w:line="258" w:lineRule="auto"/>
        <w:rPr>
          <w:sz w:val="20"/>
          <w:szCs w:val="20"/>
          <w:color w:val="auto"/>
        </w:rPr>
      </w:pPr>
      <w:r>
        <w:rPr>
          <w:rFonts w:ascii="Times New Roman" w:cs="Times New Roman" w:eastAsia="Times New Roman" w:hAnsi="Times New Roman"/>
          <w:sz w:val="20"/>
          <w:szCs w:val="20"/>
          <w:color w:val="231F20"/>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83" w:lineRule="exact"/>
        <w:rPr>
          <w:sz w:val="20"/>
          <w:szCs w:val="20"/>
          <w:color w:val="auto"/>
        </w:rPr>
      </w:pPr>
    </w:p>
    <w:p>
      <w:pPr>
        <w:ind w:left="500" w:right="40" w:hanging="255"/>
        <w:spacing w:after="0" w:line="258" w:lineRule="auto"/>
        <w:tabs>
          <w:tab w:leader="none" w:pos="50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81" w:lineRule="exact"/>
        <w:rPr>
          <w:rFonts w:ascii="Arial" w:cs="Arial" w:eastAsia="Arial" w:hAnsi="Arial"/>
          <w:sz w:val="20"/>
          <w:szCs w:val="20"/>
          <w:color w:val="231F20"/>
        </w:rPr>
      </w:pPr>
    </w:p>
    <w:p>
      <w:pPr>
        <w:ind w:left="500" w:right="60" w:hanging="255"/>
        <w:spacing w:after="0" w:line="276" w:lineRule="auto"/>
        <w:tabs>
          <w:tab w:leader="none" w:pos="50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net tax-exempt interest income (which is the excess of our gross tax exempt interest income over certain disallowed deductions) for such taxable year.</w:t>
      </w:r>
    </w:p>
    <w:p>
      <w:pPr>
        <w:spacing w:after="0" w:line="170" w:lineRule="exact"/>
        <w:rPr>
          <w:sz w:val="20"/>
          <w:szCs w:val="20"/>
          <w:color w:val="auto"/>
        </w:rPr>
      </w:pPr>
    </w:p>
    <w:p>
      <w:pPr>
        <w:ind w:right="300" w:firstLine="245"/>
        <w:spacing w:after="0" w:line="277" w:lineRule="auto"/>
        <w:rPr>
          <w:sz w:val="20"/>
          <w:szCs w:val="20"/>
          <w:color w:val="auto"/>
        </w:rPr>
      </w:pPr>
      <w:r>
        <w:rPr>
          <w:rFonts w:ascii="Times New Roman" w:cs="Times New Roman" w:eastAsia="Times New Roman" w:hAnsi="Times New Roman"/>
          <w:sz w:val="20"/>
          <w:szCs w:val="20"/>
          <w:color w:val="231F20"/>
        </w:rPr>
        <w:t>As a RIC, we (but not our stockholders) generally will not be subject to U.S. federal income tax on investment company taxable income and net capital gains that we distribute to our stockholders.</w:t>
      </w:r>
    </w:p>
    <w:p>
      <w:pPr>
        <w:spacing w:after="0" w:line="169"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231F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ectPr>
          <w:pgSz w:w="12240" w:h="15840" w:orient="portrait"/>
          <w:cols w:equalWidth="0" w:num="1">
            <w:col w:w="10800"/>
          </w:cols>
          <w:pgMar w:left="720" w:top="136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2240" w:h="15840" w:orient="portrait"/>
          <w:cols w:equalWidth="0" w:num="1">
            <w:col w:w="10800"/>
          </w:cols>
          <w:pgMar w:left="720" w:top="1366" w:right="720" w:bottom="175" w:gutter="0" w:footer="0" w:header="0"/>
          <w:type w:val="continuous"/>
        </w:sectPr>
      </w:pPr>
    </w:p>
    <w:bookmarkStart w:id="80" w:name="page81"/>
    <w:bookmarkEnd w:id="80"/>
    <w:p>
      <w:pPr>
        <w:ind w:right="360" w:firstLine="245"/>
        <w:spacing w:after="0" w:line="258" w:lineRule="auto"/>
        <w:rPr>
          <w:sz w:val="20"/>
          <w:szCs w:val="20"/>
          <w:color w:val="auto"/>
        </w:rPr>
      </w:pPr>
      <w:r>
        <w:rPr>
          <w:rFonts w:ascii="Times New Roman" w:cs="Times New Roman" w:eastAsia="Times New Roman" w:hAnsi="Times New Roman"/>
          <w:sz w:val="20"/>
          <w:szCs w:val="20"/>
          <w:color w:val="231F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83" w:lineRule="exact"/>
        <w:rPr>
          <w:sz w:val="20"/>
          <w:szCs w:val="20"/>
          <w:color w:val="auto"/>
        </w:rPr>
      </w:pPr>
    </w:p>
    <w:p>
      <w:pPr>
        <w:ind w:left="500" w:hanging="255"/>
        <w:spacing w:after="0"/>
        <w:tabs>
          <w:tab w:leader="none" w:pos="50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98% of our net ordinary income excluding certain ordinary gains or losses for that calendar year;</w:t>
      </w:r>
    </w:p>
    <w:p>
      <w:pPr>
        <w:spacing w:after="0" w:line="133" w:lineRule="exact"/>
        <w:rPr>
          <w:rFonts w:ascii="Arial" w:cs="Arial" w:eastAsia="Arial" w:hAnsi="Arial"/>
          <w:sz w:val="20"/>
          <w:szCs w:val="20"/>
          <w:color w:val="231F20"/>
        </w:rPr>
      </w:pPr>
    </w:p>
    <w:p>
      <w:pPr>
        <w:ind w:left="500" w:right="340" w:hanging="255"/>
        <w:spacing w:after="0" w:line="276" w:lineRule="auto"/>
        <w:tabs>
          <w:tab w:leader="none" w:pos="50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98.2% of our capital gain net income, adjusted for certain ordinary gains and losses, recognized for the twelve-month period ending on October 31 of that calendar year; and</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66"/>
        </w:numPr>
        <w:rPr>
          <w:rFonts w:ascii="Arial" w:cs="Arial" w:eastAsia="Arial" w:hAnsi="Arial"/>
          <w:sz w:val="20"/>
          <w:szCs w:val="20"/>
          <w:color w:val="231F20"/>
        </w:rPr>
      </w:pPr>
      <w:r>
        <w:rPr>
          <w:rFonts w:ascii="Times New Roman" w:cs="Times New Roman" w:eastAsia="Times New Roman" w:hAnsi="Times New Roman"/>
          <w:sz w:val="20"/>
          <w:szCs w:val="20"/>
          <w:color w:val="231F20"/>
        </w:rPr>
        <w:t>100% of any income or gains recognized, but not distributed, in preceding years.</w:t>
      </w:r>
    </w:p>
    <w:p>
      <w:pPr>
        <w:spacing w:after="0" w:line="239" w:lineRule="exact"/>
        <w:rPr>
          <w:sz w:val="20"/>
          <w:szCs w:val="20"/>
          <w:color w:val="auto"/>
        </w:rPr>
      </w:pPr>
    </w:p>
    <w:p>
      <w:pPr>
        <w:ind w:right="100" w:firstLine="245"/>
        <w:spacing w:after="0" w:line="278" w:lineRule="auto"/>
        <w:rPr>
          <w:sz w:val="20"/>
          <w:szCs w:val="20"/>
          <w:color w:val="auto"/>
        </w:rPr>
      </w:pPr>
      <w:r>
        <w:rPr>
          <w:rFonts w:ascii="Times New Roman" w:cs="Times New Roman" w:eastAsia="Times New Roman" w:hAnsi="Times New Roman"/>
          <w:sz w:val="19"/>
          <w:szCs w:val="19"/>
          <w:color w:val="231F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1" w:lineRule="exact"/>
        <w:rPr>
          <w:sz w:val="20"/>
          <w:szCs w:val="20"/>
          <w:color w:val="auto"/>
        </w:rPr>
      </w:pPr>
    </w:p>
    <w:p>
      <w:pPr>
        <w:jc w:val="both"/>
        <w:ind w:right="140" w:firstLine="245"/>
        <w:spacing w:after="0" w:line="258" w:lineRule="auto"/>
        <w:rPr>
          <w:sz w:val="20"/>
          <w:szCs w:val="20"/>
          <w:color w:val="auto"/>
        </w:rPr>
      </w:pPr>
      <w:r>
        <w:rPr>
          <w:rFonts w:ascii="Times New Roman" w:cs="Times New Roman" w:eastAsia="Times New Roman" w:hAnsi="Times New Roman"/>
          <w:sz w:val="20"/>
          <w:szCs w:val="20"/>
          <w:color w:val="231F20"/>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8" w:lineRule="exact"/>
        <w:rPr>
          <w:sz w:val="20"/>
          <w:szCs w:val="20"/>
          <w:color w:val="auto"/>
        </w:rPr>
      </w:pPr>
    </w:p>
    <w:p>
      <w:pPr>
        <w:ind w:right="60" w:firstLine="245"/>
        <w:spacing w:after="0" w:line="270" w:lineRule="auto"/>
        <w:rPr>
          <w:sz w:val="20"/>
          <w:szCs w:val="20"/>
          <w:color w:val="auto"/>
        </w:rPr>
      </w:pPr>
      <w:r>
        <w:rPr>
          <w:rFonts w:ascii="Times New Roman" w:cs="Times New Roman" w:eastAsia="Times New Roman" w:hAnsi="Times New Roman"/>
          <w:sz w:val="19"/>
          <w:szCs w:val="19"/>
          <w:color w:val="231F20"/>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77"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20"/>
          <w:szCs w:val="20"/>
          <w:color w:val="231F20"/>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Related-Party Transactions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We have entered into a number of business relationships with affiliated or related parties, including the following:</w:t>
      </w:r>
    </w:p>
    <w:p>
      <w:pPr>
        <w:spacing w:after="0" w:line="134" w:lineRule="exact"/>
        <w:rPr>
          <w:sz w:val="20"/>
          <w:szCs w:val="20"/>
          <w:color w:val="auto"/>
        </w:rPr>
      </w:pPr>
    </w:p>
    <w:p>
      <w:pPr>
        <w:ind w:left="500" w:hanging="255"/>
        <w:spacing w:after="0"/>
        <w:tabs>
          <w:tab w:leader="none" w:pos="50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Investment Advisory Agreement;</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the Administration Agreement; and</w:t>
      </w:r>
    </w:p>
    <w:p>
      <w:pPr>
        <w:spacing w:after="0" w:line="133" w:lineRule="exact"/>
        <w:rPr>
          <w:rFonts w:ascii="Arial" w:cs="Arial" w:eastAsia="Arial" w:hAnsi="Arial"/>
          <w:sz w:val="20"/>
          <w:szCs w:val="20"/>
          <w:color w:val="231F20"/>
        </w:rPr>
      </w:pPr>
    </w:p>
    <w:p>
      <w:pPr>
        <w:ind w:left="500" w:right="20" w:hanging="255"/>
        <w:spacing w:after="0" w:line="276" w:lineRule="auto"/>
        <w:tabs>
          <w:tab w:leader="none" w:pos="500" w:val="left"/>
        </w:tabs>
        <w:numPr>
          <w:ilvl w:val="0"/>
          <w:numId w:val="67"/>
        </w:numPr>
        <w:rPr>
          <w:rFonts w:ascii="Arial" w:cs="Arial" w:eastAsia="Arial" w:hAnsi="Arial"/>
          <w:sz w:val="20"/>
          <w:szCs w:val="20"/>
          <w:color w:val="231F20"/>
        </w:rPr>
      </w:pPr>
      <w:r>
        <w:rPr>
          <w:rFonts w:ascii="Times New Roman" w:cs="Times New Roman" w:eastAsia="Times New Roman" w:hAnsi="Times New Roman"/>
          <w:sz w:val="20"/>
          <w:szCs w:val="20"/>
          <w:color w:val="231F20"/>
        </w:rPr>
        <w:t>an ongoing agreement with an affiliate of TPG Global, LLC governing, inter alia, the parties’ respective ownership of and rights to use the “Sixth Street” and “TPG” trademarks and certain variations thereof.</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Estimates</w:t>
      </w:r>
    </w:p>
    <w:p>
      <w:pPr>
        <w:spacing w:after="0" w:line="124"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231F20"/>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20"/>
          <w:szCs w:val="20"/>
          <w:i w:val="1"/>
          <w:iCs w:val="1"/>
          <w:color w:val="231F20"/>
        </w:rPr>
        <w:t>“ITEM 1A. RISK FACTORS.”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Investments at Fair Value</w:t>
      </w:r>
    </w:p>
    <w:p>
      <w:pPr>
        <w:spacing w:after="0" w:line="12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200" w:lineRule="exact"/>
        <w:rPr>
          <w:sz w:val="20"/>
          <w:szCs w:val="20"/>
          <w:color w:val="auto"/>
        </w:rPr>
      </w:pPr>
    </w:p>
    <w:p>
      <w:pPr>
        <w:ind w:right="60" w:firstLine="245"/>
        <w:spacing w:after="0" w:line="252" w:lineRule="auto"/>
        <w:rPr>
          <w:sz w:val="20"/>
          <w:szCs w:val="20"/>
          <w:color w:val="auto"/>
        </w:rPr>
      </w:pPr>
      <w:r>
        <w:rPr>
          <w:rFonts w:ascii="Times New Roman" w:cs="Times New Roman" w:eastAsia="Times New Roman" w:hAnsi="Times New Roman"/>
          <w:sz w:val="20"/>
          <w:szCs w:val="20"/>
          <w:color w:val="231F20"/>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w:t>
      </w:r>
    </w:p>
    <w:p>
      <w:pPr>
        <w:sectPr>
          <w:pgSz w:w="12240" w:h="15840" w:orient="portrait"/>
          <w:cols w:equalWidth="0" w:num="1">
            <w:col w:w="10780"/>
          </w:cols>
          <w:pgMar w:left="720" w:top="930" w:right="740" w:bottom="175"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81</w:t>
      </w:r>
    </w:p>
    <w:p>
      <w:pPr>
        <w:sectPr>
          <w:pgSz w:w="12240" w:h="15840" w:orient="portrait"/>
          <w:cols w:equalWidth="0" w:num="1">
            <w:col w:w="10780"/>
          </w:cols>
          <w:pgMar w:left="720" w:top="930" w:right="740" w:bottom="175" w:gutter="0" w:footer="0" w:header="0"/>
          <w:type w:val="continuous"/>
        </w:sectPr>
      </w:pPr>
    </w:p>
    <w:bookmarkStart w:id="81" w:name="page82"/>
    <w:bookmarkEnd w:id="81"/>
    <w:p>
      <w:pPr>
        <w:spacing w:after="0" w:line="277" w:lineRule="auto"/>
        <w:rPr>
          <w:sz w:val="20"/>
          <w:szCs w:val="20"/>
          <w:color w:val="auto"/>
        </w:rPr>
      </w:pPr>
      <w:r>
        <w:rPr>
          <w:rFonts w:ascii="Times New Roman" w:cs="Times New Roman" w:eastAsia="Times New Roman" w:hAnsi="Times New Roman"/>
          <w:sz w:val="20"/>
          <w:szCs w:val="20"/>
          <w:color w:val="231F20"/>
        </w:rPr>
        <w:t>other things, the input of the Adviser, our Audit Committee and independent third-party valuation firms engaged at the direction of the Board.</w:t>
      </w:r>
    </w:p>
    <w:p>
      <w:pPr>
        <w:spacing w:after="0" w:line="169" w:lineRule="exact"/>
        <w:rPr>
          <w:sz w:val="20"/>
          <w:szCs w:val="20"/>
          <w:color w:val="auto"/>
        </w:rPr>
      </w:pPr>
    </w:p>
    <w:p>
      <w:pPr>
        <w:ind w:right="420" w:firstLine="245"/>
        <w:spacing w:after="0" w:line="277" w:lineRule="auto"/>
        <w:rPr>
          <w:sz w:val="20"/>
          <w:szCs w:val="20"/>
          <w:color w:val="auto"/>
        </w:rPr>
      </w:pPr>
      <w:r>
        <w:rPr>
          <w:rFonts w:ascii="Times New Roman" w:cs="Times New Roman" w:eastAsia="Times New Roman" w:hAnsi="Times New Roman"/>
          <w:sz w:val="20"/>
          <w:szCs w:val="20"/>
          <w:color w:val="231F20"/>
        </w:rPr>
        <w:t>As part of the valuation process, the Board takes into account relevant factors in determining the fair value of our investments, including and in combination of:</w:t>
      </w:r>
    </w:p>
    <w:p>
      <w:pPr>
        <w:spacing w:after="0" w:line="63" w:lineRule="exact"/>
        <w:rPr>
          <w:sz w:val="20"/>
          <w:szCs w:val="20"/>
          <w:color w:val="auto"/>
        </w:rPr>
      </w:pPr>
    </w:p>
    <w:p>
      <w:pPr>
        <w:ind w:left="500" w:hanging="255"/>
        <w:spacing w:after="0"/>
        <w:tabs>
          <w:tab w:leader="none" w:pos="50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estimated enterprise value of a portfolio company (that is, the total value of the portfolio company’s net debt and equity);</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the nature and realizable value of any collateral;</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portfolio company’s ability to make payments based on its earnings and cash flow;</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the markets in which the portfolio company does business;</w:t>
      </w:r>
    </w:p>
    <w:p>
      <w:pPr>
        <w:spacing w:after="0" w:line="133" w:lineRule="exact"/>
        <w:rPr>
          <w:rFonts w:ascii="Arial" w:cs="Arial" w:eastAsia="Arial" w:hAnsi="Arial"/>
          <w:sz w:val="20"/>
          <w:szCs w:val="20"/>
          <w:color w:val="231F20"/>
        </w:rPr>
      </w:pPr>
    </w:p>
    <w:p>
      <w:pPr>
        <w:ind w:left="500" w:hanging="255"/>
        <w:spacing w:after="0"/>
        <w:tabs>
          <w:tab w:leader="none" w:pos="50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a comparison of the portfolio company’s securities to any similar publicly traded securities; and</w:t>
      </w:r>
    </w:p>
    <w:p>
      <w:pPr>
        <w:spacing w:after="0" w:line="133" w:lineRule="exact"/>
        <w:rPr>
          <w:rFonts w:ascii="Arial" w:cs="Arial" w:eastAsia="Arial" w:hAnsi="Arial"/>
          <w:sz w:val="20"/>
          <w:szCs w:val="20"/>
          <w:color w:val="231F20"/>
        </w:rPr>
      </w:pPr>
    </w:p>
    <w:p>
      <w:pPr>
        <w:ind w:left="500" w:right="340" w:hanging="255"/>
        <w:spacing w:after="0" w:line="276" w:lineRule="auto"/>
        <w:tabs>
          <w:tab w:leader="none" w:pos="50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500" w:firstLine="245"/>
        <w:spacing w:after="0" w:line="277" w:lineRule="auto"/>
        <w:rPr>
          <w:sz w:val="20"/>
          <w:szCs w:val="20"/>
          <w:color w:val="auto"/>
        </w:rPr>
      </w:pPr>
      <w:r>
        <w:rPr>
          <w:rFonts w:ascii="Times New Roman" w:cs="Times New Roman" w:eastAsia="Times New Roman" w:hAnsi="Times New Roman"/>
          <w:sz w:val="20"/>
          <w:szCs w:val="20"/>
          <w:color w:val="231F20"/>
        </w:rPr>
        <w:t>When an external event, such as a purchase transaction, public offering or subsequent equity sale occurs, the Board considers whether the pricing indicated by the external event corroborates our valuation.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Board undertakes a multi-step valuation process, which includes, among other procedures, the following:</w:t>
      </w:r>
    </w:p>
    <w:p>
      <w:pPr>
        <w:spacing w:after="0" w:line="127" w:lineRule="exact"/>
        <w:rPr>
          <w:sz w:val="20"/>
          <w:szCs w:val="20"/>
          <w:color w:val="auto"/>
        </w:rPr>
      </w:pPr>
    </w:p>
    <w:p>
      <w:pPr>
        <w:ind w:left="500" w:right="340" w:hanging="255"/>
        <w:spacing w:after="0" w:line="266" w:lineRule="auto"/>
        <w:tabs>
          <w:tab w:leader="none" w:pos="50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The valuation process begins with each investment being initially valued by the investment professionals responsible for the portfolio investment in conjunction with the portfolio management team.</w:t>
      </w:r>
    </w:p>
    <w:p>
      <w:pPr>
        <w:spacing w:after="0" w:line="64" w:lineRule="exact"/>
        <w:rPr>
          <w:rFonts w:ascii="Arial" w:cs="Arial" w:eastAsia="Arial" w:hAnsi="Arial"/>
          <w:sz w:val="20"/>
          <w:szCs w:val="20"/>
          <w:color w:val="231F20"/>
        </w:rPr>
      </w:pPr>
    </w:p>
    <w:p>
      <w:pPr>
        <w:ind w:left="500" w:right="580" w:hanging="255"/>
        <w:spacing w:after="0" w:line="266" w:lineRule="auto"/>
        <w:tabs>
          <w:tab w:leader="none" w:pos="50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The Adviser’s management reviews the preliminary valuations with the investment professionals. Agreed-upon valuation recommendations are presented to the Audit Committee.</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The Audit Committee reviews the valuations presented and recommends values for each investment to the Board.</w:t>
      </w:r>
    </w:p>
    <w:p>
      <w:pPr>
        <w:spacing w:after="0" w:line="123" w:lineRule="exact"/>
        <w:rPr>
          <w:rFonts w:ascii="Arial" w:cs="Arial" w:eastAsia="Arial" w:hAnsi="Arial"/>
          <w:sz w:val="20"/>
          <w:szCs w:val="20"/>
          <w:color w:val="231F20"/>
        </w:rPr>
      </w:pPr>
    </w:p>
    <w:p>
      <w:pPr>
        <w:ind w:left="500" w:right="80" w:hanging="255"/>
        <w:spacing w:after="0" w:line="242" w:lineRule="auto"/>
        <w:tabs>
          <w:tab w:leader="none" w:pos="500" w:val="left"/>
        </w:tabs>
        <w:numPr>
          <w:ilvl w:val="0"/>
          <w:numId w:val="69"/>
        </w:numPr>
        <w:rPr>
          <w:rFonts w:ascii="Arial" w:cs="Arial" w:eastAsia="Arial" w:hAnsi="Arial"/>
          <w:sz w:val="20"/>
          <w:szCs w:val="20"/>
          <w:color w:val="231F20"/>
        </w:rPr>
      </w:pPr>
      <w:r>
        <w:rPr>
          <w:rFonts w:ascii="Times New Roman" w:cs="Times New Roman" w:eastAsia="Times New Roman" w:hAnsi="Times New Roman"/>
          <w:sz w:val="20"/>
          <w:szCs w:val="20"/>
          <w:color w:val="231F20"/>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We conduct this valuation process on a quarterly basis.</w:t>
      </w:r>
    </w:p>
    <w:p>
      <w:pPr>
        <w:spacing w:after="0" w:line="230" w:lineRule="exact"/>
        <w:rPr>
          <w:sz w:val="20"/>
          <w:szCs w:val="20"/>
          <w:color w:val="auto"/>
        </w:rPr>
      </w:pPr>
    </w:p>
    <w:p>
      <w:pPr>
        <w:ind w:right="20" w:firstLine="245"/>
        <w:spacing w:after="0" w:line="239" w:lineRule="auto"/>
        <w:rPr>
          <w:sz w:val="20"/>
          <w:szCs w:val="20"/>
          <w:color w:val="auto"/>
        </w:rPr>
      </w:pPr>
      <w:r>
        <w:rPr>
          <w:rFonts w:ascii="Times New Roman" w:cs="Times New Roman" w:eastAsia="Times New Roman" w:hAnsi="Times New Roman"/>
          <w:sz w:val="20"/>
          <w:szCs w:val="20"/>
          <w:color w:val="231F20"/>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2023,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97" w:lineRule="exact"/>
        <w:rPr>
          <w:sz w:val="20"/>
          <w:szCs w:val="20"/>
          <w:color w:val="auto"/>
        </w:rPr>
      </w:pPr>
    </w:p>
    <w:p>
      <w:pPr>
        <w:ind w:right="20" w:firstLine="245"/>
        <w:spacing w:after="0" w:line="235" w:lineRule="auto"/>
        <w:rPr>
          <w:sz w:val="20"/>
          <w:szCs w:val="20"/>
          <w:color w:val="auto"/>
        </w:rPr>
      </w:pPr>
      <w:r>
        <w:rPr>
          <w:rFonts w:ascii="Times New Roman" w:cs="Times New Roman" w:eastAsia="Times New Roman" w:hAnsi="Times New Roman"/>
          <w:sz w:val="20"/>
          <w:szCs w:val="20"/>
          <w:color w:val="231F20"/>
        </w:rPr>
        <w:t xml:space="preserve">We apply Financial Accounting Standards Board Accounting Standards Codification Topic 820, </w:t>
      </w:r>
      <w:r>
        <w:rPr>
          <w:rFonts w:ascii="Times New Roman" w:cs="Times New Roman" w:eastAsia="Times New Roman" w:hAnsi="Times New Roman"/>
          <w:sz w:val="20"/>
          <w:szCs w:val="20"/>
          <w:i w:val="1"/>
          <w:iCs w:val="1"/>
          <w:color w:val="231F20"/>
        </w:rPr>
        <w:t>Fair Value Measurement</w:t>
      </w:r>
      <w:r>
        <w:rPr>
          <w:rFonts w:ascii="Times New Roman" w:cs="Times New Roman" w:eastAsia="Times New Roman" w:hAnsi="Times New Roman"/>
          <w:sz w:val="20"/>
          <w:szCs w:val="20"/>
          <w:color w:val="231F20"/>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91" w:lineRule="exact"/>
        <w:rPr>
          <w:sz w:val="20"/>
          <w:szCs w:val="20"/>
          <w:color w:val="auto"/>
        </w:rPr>
      </w:pPr>
    </w:p>
    <w:p>
      <w:pPr>
        <w:ind w:left="500" w:hanging="255"/>
        <w:spacing w:after="0"/>
        <w:tabs>
          <w:tab w:leader="none" w:pos="50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1—Valuations based on quoted prices in active markets for identical assets or liabilities that we have the ability to access.</w:t>
      </w:r>
    </w:p>
    <w:p>
      <w:pPr>
        <w:spacing w:after="0" w:line="123" w:lineRule="exact"/>
        <w:rPr>
          <w:rFonts w:ascii="Arial" w:cs="Arial" w:eastAsia="Arial" w:hAnsi="Arial"/>
          <w:sz w:val="20"/>
          <w:szCs w:val="20"/>
          <w:color w:val="231F20"/>
        </w:rPr>
      </w:pPr>
    </w:p>
    <w:p>
      <w:pPr>
        <w:ind w:left="500" w:right="400" w:hanging="255"/>
        <w:spacing w:after="0" w:line="266" w:lineRule="auto"/>
        <w:tabs>
          <w:tab w:leader="none" w:pos="50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2—Valuations based on quoted prices in markets that are not active or for which all significant inputs are observable, either directly or indirectly.</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70"/>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3—Valuations based on inputs that are unobservable and significant to the overall fair value measurement.</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82</w:t>
      </w:r>
    </w:p>
    <w:p>
      <w:pPr>
        <w:sectPr>
          <w:pgSz w:w="12240" w:h="15840" w:orient="portrait"/>
          <w:cols w:equalWidth="0" w:num="1">
            <w:col w:w="10780"/>
          </w:cols>
          <w:pgMar w:left="720" w:top="930" w:right="740" w:bottom="175" w:gutter="0" w:footer="0" w:header="0"/>
          <w:type w:val="continuous"/>
        </w:sectPr>
      </w:pPr>
    </w:p>
    <w:bookmarkStart w:id="82" w:name="page83"/>
    <w:bookmarkEnd w:id="82"/>
    <w:p>
      <w:pPr>
        <w:ind w:right="40" w:firstLine="245"/>
        <w:spacing w:after="0" w:line="231" w:lineRule="auto"/>
        <w:rPr>
          <w:sz w:val="20"/>
          <w:szCs w:val="20"/>
          <w:color w:val="auto"/>
        </w:rPr>
      </w:pPr>
      <w:r>
        <w:rPr>
          <w:rFonts w:ascii="Times New Roman" w:cs="Times New Roman" w:eastAsia="Times New Roman" w:hAnsi="Times New Roman"/>
          <w:sz w:val="20"/>
          <w:szCs w:val="20"/>
          <w:color w:val="231F20"/>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7" w:lineRule="exact"/>
        <w:rPr>
          <w:sz w:val="20"/>
          <w:szCs w:val="20"/>
          <w:color w:val="auto"/>
        </w:rPr>
      </w:pPr>
    </w:p>
    <w:p>
      <w:pPr>
        <w:jc w:val="both"/>
        <w:ind w:right="280" w:firstLine="245"/>
        <w:spacing w:after="0" w:line="244" w:lineRule="auto"/>
        <w:rPr>
          <w:sz w:val="20"/>
          <w:szCs w:val="20"/>
          <w:color w:val="auto"/>
        </w:rPr>
      </w:pPr>
      <w:r>
        <w:rPr>
          <w:rFonts w:ascii="Times New Roman" w:cs="Times New Roman" w:eastAsia="Times New Roman" w:hAnsi="Times New Roman"/>
          <w:sz w:val="20"/>
          <w:szCs w:val="20"/>
          <w:color w:val="231F20"/>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8" w:lineRule="exact"/>
        <w:rPr>
          <w:sz w:val="20"/>
          <w:szCs w:val="20"/>
          <w:color w:val="auto"/>
        </w:rPr>
      </w:pPr>
    </w:p>
    <w:p>
      <w:pPr>
        <w:ind w:right="600" w:firstLine="245"/>
        <w:spacing w:after="0" w:line="263" w:lineRule="auto"/>
        <w:rPr>
          <w:sz w:val="20"/>
          <w:szCs w:val="20"/>
          <w:color w:val="auto"/>
        </w:rPr>
      </w:pPr>
      <w:r>
        <w:rPr>
          <w:rFonts w:ascii="Times New Roman" w:cs="Times New Roman" w:eastAsia="Times New Roman" w:hAnsi="Times New Roman"/>
          <w:sz w:val="20"/>
          <w:szCs w:val="20"/>
          <w:color w:val="231F20"/>
        </w:rPr>
        <w:t>See Note 6 to our consolidated financial statements included in this Form 10-K for more information on the fair value of our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and Dividend Income Recognition</w:t>
      </w:r>
    </w:p>
    <w:p>
      <w:pPr>
        <w:spacing w:after="0" w:line="107" w:lineRule="exact"/>
        <w:rPr>
          <w:sz w:val="20"/>
          <w:szCs w:val="20"/>
          <w:color w:val="auto"/>
        </w:rPr>
      </w:pPr>
    </w:p>
    <w:p>
      <w:pPr>
        <w:ind w:right="80" w:firstLine="245"/>
        <w:spacing w:after="0" w:line="238" w:lineRule="auto"/>
        <w:rPr>
          <w:sz w:val="20"/>
          <w:szCs w:val="20"/>
          <w:color w:val="auto"/>
        </w:rPr>
      </w:pPr>
      <w:r>
        <w:rPr>
          <w:rFonts w:ascii="Times New Roman" w:cs="Times New Roman" w:eastAsia="Times New Roman" w:hAnsi="Times New Roman"/>
          <w:sz w:val="20"/>
          <w:szCs w:val="20"/>
          <w:color w:val="231F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94" w:lineRule="exact"/>
        <w:rPr>
          <w:sz w:val="20"/>
          <w:szCs w:val="20"/>
          <w:color w:val="auto"/>
        </w:rPr>
      </w:pPr>
    </w:p>
    <w:p>
      <w:pPr>
        <w:ind w:right="320" w:firstLine="245"/>
        <w:spacing w:after="0" w:line="263" w:lineRule="auto"/>
        <w:rPr>
          <w:sz w:val="20"/>
          <w:szCs w:val="20"/>
          <w:color w:val="auto"/>
        </w:rPr>
      </w:pPr>
      <w:r>
        <w:rPr>
          <w:rFonts w:ascii="Times New Roman" w:cs="Times New Roman" w:eastAsia="Times New Roman" w:hAnsi="Times New Roman"/>
          <w:sz w:val="20"/>
          <w:szCs w:val="20"/>
          <w:color w:val="231F20"/>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9" w:lineRule="exact"/>
        <w:rPr>
          <w:sz w:val="20"/>
          <w:szCs w:val="20"/>
          <w:color w:val="auto"/>
        </w:rPr>
      </w:pPr>
    </w:p>
    <w:p>
      <w:pPr>
        <w:ind w:firstLine="245"/>
        <w:spacing w:after="0" w:line="233" w:lineRule="auto"/>
        <w:rPr>
          <w:sz w:val="20"/>
          <w:szCs w:val="20"/>
          <w:color w:val="auto"/>
        </w:rPr>
      </w:pPr>
      <w:r>
        <w:rPr>
          <w:rFonts w:ascii="Times New Roman" w:cs="Times New Roman" w:eastAsia="Times New Roman" w:hAnsi="Times New Roman"/>
          <w:sz w:val="20"/>
          <w:szCs w:val="20"/>
          <w:color w:val="231F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93" w:lineRule="exact"/>
        <w:rPr>
          <w:sz w:val="20"/>
          <w:szCs w:val="20"/>
          <w:color w:val="auto"/>
        </w:rPr>
      </w:pPr>
    </w:p>
    <w:p>
      <w:pPr>
        <w:jc w:val="both"/>
        <w:ind w:right="160" w:firstLine="245"/>
        <w:spacing w:after="0" w:line="244" w:lineRule="auto"/>
        <w:rPr>
          <w:sz w:val="20"/>
          <w:szCs w:val="20"/>
          <w:color w:val="auto"/>
        </w:rPr>
      </w:pPr>
      <w:r>
        <w:rPr>
          <w:rFonts w:ascii="Times New Roman" w:cs="Times New Roman" w:eastAsia="Times New Roman" w:hAnsi="Times New Roman"/>
          <w:sz w:val="20"/>
          <w:szCs w:val="20"/>
          <w:color w:val="231F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8" w:lineRule="exact"/>
        <w:rPr>
          <w:sz w:val="20"/>
          <w:szCs w:val="20"/>
          <w:color w:val="auto"/>
        </w:rPr>
      </w:pPr>
    </w:p>
    <w:p>
      <w:pPr>
        <w:ind w:right="60" w:firstLine="245"/>
        <w:spacing w:after="0" w:line="263" w:lineRule="auto"/>
        <w:rPr>
          <w:sz w:val="20"/>
          <w:szCs w:val="20"/>
          <w:color w:val="auto"/>
        </w:rPr>
      </w:pPr>
      <w:r>
        <w:rPr>
          <w:rFonts w:ascii="Times New Roman" w:cs="Times New Roman" w:eastAsia="Times New Roman" w:hAnsi="Times New Roman"/>
          <w:sz w:val="20"/>
          <w:szCs w:val="20"/>
          <w:color w:val="231F20"/>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U.S. Federal Income Taxes</w:t>
      </w:r>
    </w:p>
    <w:p>
      <w:pPr>
        <w:spacing w:after="0" w:line="107" w:lineRule="exact"/>
        <w:rPr>
          <w:sz w:val="20"/>
          <w:szCs w:val="20"/>
          <w:color w:val="auto"/>
        </w:rPr>
      </w:pPr>
    </w:p>
    <w:p>
      <w:pPr>
        <w:ind w:right="20" w:firstLine="245"/>
        <w:spacing w:after="0" w:line="236" w:lineRule="auto"/>
        <w:rPr>
          <w:sz w:val="20"/>
          <w:szCs w:val="20"/>
          <w:color w:val="auto"/>
        </w:rPr>
      </w:pPr>
      <w:r>
        <w:rPr>
          <w:rFonts w:ascii="Times New Roman" w:cs="Times New Roman" w:eastAsia="Times New Roman" w:hAnsi="Times New Roman"/>
          <w:sz w:val="20"/>
          <w:szCs w:val="20"/>
          <w:color w:val="231F20"/>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92" w:lineRule="exact"/>
        <w:rPr>
          <w:sz w:val="20"/>
          <w:szCs w:val="20"/>
          <w:color w:val="auto"/>
        </w:rPr>
      </w:pPr>
    </w:p>
    <w:p>
      <w:pPr>
        <w:ind w:right="120" w:firstLine="245"/>
        <w:spacing w:after="0" w:line="232" w:lineRule="auto"/>
        <w:rPr>
          <w:sz w:val="20"/>
          <w:szCs w:val="20"/>
          <w:color w:val="auto"/>
        </w:rPr>
      </w:pPr>
      <w:r>
        <w:rPr>
          <w:rFonts w:ascii="Times New Roman" w:cs="Times New Roman" w:eastAsia="Times New Roman" w:hAnsi="Times New Roman"/>
          <w:sz w:val="20"/>
          <w:szCs w:val="20"/>
          <w:color w:val="231F20"/>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2023, we did not have any uncertain tax positions that met the recognition or measurement criteria, nor did we have any unrecognized tax benefits. Our 2022, 2021 and 2020 tax year returns remain subject to examination by the relevant federal, state, and local tax authorities.</w:t>
      </w:r>
    </w:p>
    <w:p>
      <w:pPr>
        <w:spacing w:after="0" w:line="194" w:lineRule="exact"/>
        <w:rPr>
          <w:sz w:val="20"/>
          <w:szCs w:val="20"/>
          <w:color w:val="auto"/>
        </w:rPr>
      </w:pPr>
    </w:p>
    <w:p>
      <w:pPr>
        <w:ind w:right="60" w:firstLine="245"/>
        <w:spacing w:after="0" w:line="263" w:lineRule="auto"/>
        <w:rPr>
          <w:sz w:val="20"/>
          <w:szCs w:val="20"/>
          <w:color w:val="auto"/>
        </w:rPr>
      </w:pPr>
      <w:r>
        <w:rPr>
          <w:rFonts w:ascii="Times New Roman" w:cs="Times New Roman" w:eastAsia="Times New Roman" w:hAnsi="Times New Roman"/>
          <w:sz w:val="20"/>
          <w:szCs w:val="20"/>
          <w:color w:val="231F20"/>
        </w:rPr>
        <w:t>Our accounting policy on income taxes is critical because if we are unable to maintain our status as a RIC, we would be required to record a provision for corporate-level U.S. federal income taxes which may be significant to our financial results.</w:t>
      </w:r>
    </w:p>
    <w:p>
      <w:pPr>
        <w:sectPr>
          <w:pgSz w:w="12240" w:h="15840" w:orient="portrait"/>
          <w:cols w:equalWidth="0" w:num="1">
            <w:col w:w="10800"/>
          </w:cols>
          <w:pgMar w:left="720" w:top="919" w:right="720" w:bottom="175"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2240" w:h="15840" w:orient="portrait"/>
          <w:cols w:equalWidth="0" w:num="1">
            <w:col w:w="10800"/>
          </w:cols>
          <w:pgMar w:left="720" w:top="919" w:right="720" w:bottom="17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We are subject to financial market risks, including valuation risk, interest rate risk and currency risk.</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Valuation Risk</w:t>
      </w:r>
    </w:p>
    <w:p>
      <w:pPr>
        <w:spacing w:after="0" w:line="110" w:lineRule="exact"/>
        <w:rPr>
          <w:sz w:val="20"/>
          <w:szCs w:val="20"/>
          <w:color w:val="auto"/>
        </w:rPr>
      </w:pPr>
    </w:p>
    <w:p>
      <w:pPr>
        <w:ind w:firstLine="245"/>
        <w:spacing w:after="0" w:line="236" w:lineRule="auto"/>
        <w:rPr>
          <w:sz w:val="20"/>
          <w:szCs w:val="20"/>
          <w:color w:val="auto"/>
        </w:rPr>
      </w:pPr>
      <w:r>
        <w:rPr>
          <w:rFonts w:ascii="Times New Roman" w:cs="Times New Roman" w:eastAsia="Times New Roman" w:hAnsi="Times New Roman"/>
          <w:sz w:val="20"/>
          <w:szCs w:val="20"/>
          <w:color w:val="231F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Risk</w:t>
      </w:r>
    </w:p>
    <w:p>
      <w:pPr>
        <w:spacing w:after="0" w:line="110" w:lineRule="exact"/>
        <w:rPr>
          <w:sz w:val="20"/>
          <w:szCs w:val="20"/>
          <w:color w:val="auto"/>
        </w:rPr>
      </w:pPr>
    </w:p>
    <w:p>
      <w:pPr>
        <w:ind w:right="180" w:firstLine="245"/>
        <w:spacing w:after="0" w:line="242" w:lineRule="auto"/>
        <w:rPr>
          <w:sz w:val="20"/>
          <w:szCs w:val="20"/>
          <w:color w:val="auto"/>
        </w:rPr>
      </w:pPr>
      <w:r>
        <w:rPr>
          <w:rFonts w:ascii="Times New Roman" w:cs="Times New Roman" w:eastAsia="Times New Roman" w:hAnsi="Times New Roman"/>
          <w:sz w:val="20"/>
          <w:szCs w:val="20"/>
          <w:color w:val="231F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94" w:lineRule="exact"/>
        <w:rPr>
          <w:sz w:val="20"/>
          <w:szCs w:val="20"/>
          <w:color w:val="auto"/>
        </w:rPr>
      </w:pPr>
    </w:p>
    <w:p>
      <w:pPr>
        <w:ind w:right="260" w:firstLine="245"/>
        <w:spacing w:after="0" w:line="248" w:lineRule="auto"/>
        <w:rPr>
          <w:sz w:val="20"/>
          <w:szCs w:val="20"/>
          <w:color w:val="auto"/>
        </w:rPr>
      </w:pPr>
      <w:r>
        <w:rPr>
          <w:rFonts w:ascii="Times New Roman" w:cs="Times New Roman" w:eastAsia="Times New Roman" w:hAnsi="Times New Roman"/>
          <w:sz w:val="20"/>
          <w:szCs w:val="20"/>
          <w:color w:val="231F20"/>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8" w:lineRule="exact"/>
        <w:rPr>
          <w:sz w:val="20"/>
          <w:szCs w:val="20"/>
          <w:color w:val="auto"/>
        </w:rPr>
      </w:pPr>
    </w:p>
    <w:p>
      <w:pPr>
        <w:jc w:val="both"/>
        <w:ind w:right="140" w:firstLine="245"/>
        <w:spacing w:after="0" w:line="242" w:lineRule="auto"/>
        <w:rPr>
          <w:sz w:val="20"/>
          <w:szCs w:val="20"/>
          <w:color w:val="auto"/>
        </w:rPr>
      </w:pPr>
      <w:r>
        <w:rPr>
          <w:rFonts w:ascii="Times New Roman" w:cs="Times New Roman" w:eastAsia="Times New Roman" w:hAnsi="Times New Roman"/>
          <w:sz w:val="20"/>
          <w:szCs w:val="20"/>
          <w:color w:val="231F20"/>
        </w:rPr>
        <w:t>As of December 31, 2023, 99.7% of our debt investments based on fair value in our portfolio bore interest at floating rates, with 100% of these subject to interest rate floors. Our credit facilities also bear interest at floating rates, and in connection with our 2024 Notes, 2026 Notes and 2028 Notes, which bear interest at fixed rates, we entered into fixed-to-floating interest rate swaps in order to align the interest rates of our liabilities with our investment portfolio.</w:t>
      </w:r>
    </w:p>
    <w:p>
      <w:pPr>
        <w:spacing w:after="0" w:line="194"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20"/>
          <w:szCs w:val="20"/>
          <w:color w:val="231F20"/>
        </w:rPr>
        <w:t>Assuming that our Consolidated Balance Sheet as of December 31, 2023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21"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231F20"/>
              </w:rPr>
              <w:t>($ in millions)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Basis Point Change</w:t>
            </w:r>
          </w:p>
        </w:tc>
        <w:tc>
          <w:tcPr>
            <w:tcW w:w="140" w:type="dxa"/>
            <w:vAlign w:val="bottom"/>
          </w:tcPr>
          <w:p>
            <w:pPr>
              <w:spacing w:after="0"/>
              <w:rPr>
                <w:sz w:val="17"/>
                <w:szCs w:val="17"/>
                <w:color w:val="auto"/>
              </w:rPr>
            </w:pP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Interest Income</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Interest Expense</w:t>
            </w:r>
          </w:p>
        </w:tc>
        <w:tc>
          <w:tcPr>
            <w:tcW w:w="220" w:type="dxa"/>
            <w:vAlign w:val="bottom"/>
          </w:tcPr>
          <w:p>
            <w:pPr>
              <w:spacing w:after="0"/>
              <w:rPr>
                <w:sz w:val="17"/>
                <w:szCs w:val="17"/>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Net Interest Income</w:t>
            </w:r>
          </w:p>
        </w:tc>
      </w:tr>
      <w:tr>
        <w:trPr>
          <w:trHeight w:val="220"/>
        </w:trPr>
        <w:tc>
          <w:tcPr>
            <w:tcW w:w="4560" w:type="dxa"/>
            <w:vAlign w:val="bottom"/>
            <w:tcBorders>
              <w:top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Up 300 basis points</w:t>
            </w:r>
          </w:p>
        </w:tc>
        <w:tc>
          <w:tcPr>
            <w:tcW w:w="140" w:type="dxa"/>
            <w:vAlign w:val="bottom"/>
            <w:tcBorders>
              <w:top w:val="single" w:sz="8" w:color="CFEDF9"/>
            </w:tcBorders>
            <w:shd w:val="clear" w:color="auto" w:fill="CFEDF9"/>
          </w:tcPr>
          <w:p>
            <w:pPr>
              <w:spacing w:after="0"/>
              <w:rPr>
                <w:sz w:val="19"/>
                <w:szCs w:val="19"/>
                <w:color w:val="auto"/>
              </w:rPr>
            </w:pPr>
          </w:p>
        </w:tc>
        <w:tc>
          <w:tcPr>
            <w:tcW w:w="440" w:type="dxa"/>
            <w:vAlign w:val="bottom"/>
            <w:tcBorders>
              <w:top w:val="single" w:sz="8" w:color="231F20"/>
            </w:tcBorders>
            <w:shd w:val="clear" w:color="auto" w:fill="CFEDF9"/>
          </w:tcPr>
          <w:p>
            <w:pPr>
              <w:jc w:val="right"/>
              <w:ind w:right="24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93.7</w:t>
            </w:r>
          </w:p>
        </w:tc>
        <w:tc>
          <w:tcPr>
            <w:tcW w:w="240" w:type="dxa"/>
            <w:vAlign w:val="bottom"/>
            <w:tcBorders>
              <w:top w:val="single" w:sz="8" w:color="CFEDF9"/>
            </w:tcBorders>
            <w:shd w:val="clear" w:color="auto" w:fill="CFEDF9"/>
          </w:tcPr>
          <w:p>
            <w:pPr>
              <w:spacing w:after="0"/>
              <w:rPr>
                <w:sz w:val="19"/>
                <w:szCs w:val="19"/>
                <w:color w:val="auto"/>
              </w:rPr>
            </w:pPr>
          </w:p>
        </w:tc>
        <w:tc>
          <w:tcPr>
            <w:tcW w:w="480" w:type="dxa"/>
            <w:vAlign w:val="bottom"/>
            <w:tcBorders>
              <w:top w:val="single" w:sz="8" w:color="231F20"/>
            </w:tcBorders>
            <w:shd w:val="clear" w:color="auto" w:fill="CFEDF9"/>
          </w:tcPr>
          <w:p>
            <w:pPr>
              <w:jc w:val="right"/>
              <w:ind w:right="283"/>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55.1</w:t>
            </w:r>
          </w:p>
        </w:tc>
        <w:tc>
          <w:tcPr>
            <w:tcW w:w="240" w:type="dxa"/>
            <w:vAlign w:val="bottom"/>
            <w:tcBorders>
              <w:top w:val="single" w:sz="8" w:color="CFEDF9"/>
            </w:tcBorders>
            <w:shd w:val="clear" w:color="auto" w:fill="CFEDF9"/>
          </w:tcPr>
          <w:p>
            <w:pPr>
              <w:spacing w:after="0"/>
              <w:rPr>
                <w:sz w:val="19"/>
                <w:szCs w:val="19"/>
                <w:color w:val="auto"/>
              </w:rPr>
            </w:pPr>
          </w:p>
        </w:tc>
        <w:tc>
          <w:tcPr>
            <w:tcW w:w="220" w:type="dxa"/>
            <w:vAlign w:val="bottom"/>
            <w:tcBorders>
              <w:top w:val="single" w:sz="8" w:color="231F20"/>
            </w:tcBorders>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8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38.6</w:t>
            </w:r>
          </w:p>
        </w:tc>
        <w:tc>
          <w:tcPr>
            <w:tcW w:w="100" w:type="dxa"/>
            <w:vAlign w:val="bottom"/>
            <w:tcBorders>
              <w:top w:val="single" w:sz="8" w:color="CFEDF9"/>
            </w:tcBorders>
            <w:shd w:val="clear" w:color="auto" w:fill="CFEDF9"/>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231F20"/>
              </w:rPr>
              <w:t>Up 200 basis points</w:t>
            </w:r>
          </w:p>
        </w:tc>
        <w:tc>
          <w:tcPr>
            <w:tcW w:w="140" w:type="dxa"/>
            <w:vAlign w:val="bottom"/>
          </w:tcPr>
          <w:p>
            <w:pPr>
              <w:spacing w:after="0"/>
              <w:rPr>
                <w:sz w:val="19"/>
                <w:szCs w:val="19"/>
                <w:color w:val="auto"/>
              </w:rPr>
            </w:pPr>
          </w:p>
        </w:tc>
        <w:tc>
          <w:tcPr>
            <w:tcW w:w="440" w:type="dxa"/>
            <w:vAlign w:val="bottom"/>
          </w:tcPr>
          <w:p>
            <w:pPr>
              <w:jc w:val="right"/>
              <w:ind w:right="247"/>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62.5</w:t>
            </w:r>
          </w:p>
        </w:tc>
        <w:tc>
          <w:tcPr>
            <w:tcW w:w="240" w:type="dxa"/>
            <w:vAlign w:val="bottom"/>
          </w:tcPr>
          <w:p>
            <w:pPr>
              <w:spacing w:after="0"/>
              <w:rPr>
                <w:sz w:val="19"/>
                <w:szCs w:val="19"/>
                <w:color w:val="auto"/>
              </w:rPr>
            </w:pPr>
          </w:p>
        </w:tc>
        <w:tc>
          <w:tcPr>
            <w:tcW w:w="48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36.7</w:t>
            </w:r>
          </w:p>
        </w:tc>
        <w:tc>
          <w:tcPr>
            <w:tcW w:w="24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25.8</w:t>
            </w:r>
          </w:p>
        </w:tc>
        <w:tc>
          <w:tcPr>
            <w:tcW w:w="100" w:type="dxa"/>
            <w:vAlign w:val="bottom"/>
          </w:tcPr>
          <w:p>
            <w:pPr>
              <w:spacing w:after="0"/>
              <w:rPr>
                <w:sz w:val="19"/>
                <w:szCs w:val="19"/>
                <w:color w:val="auto"/>
              </w:rPr>
            </w:pPr>
          </w:p>
        </w:tc>
      </w:tr>
      <w:tr>
        <w:trPr>
          <w:trHeight w:val="230"/>
        </w:trPr>
        <w:tc>
          <w:tcPr>
            <w:tcW w:w="45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Up 100 basis points</w:t>
            </w:r>
          </w:p>
        </w:tc>
        <w:tc>
          <w:tcPr>
            <w:tcW w:w="580" w:type="dxa"/>
            <w:vAlign w:val="bottom"/>
            <w:gridSpan w:val="2"/>
            <w:shd w:val="clear" w:color="auto" w:fill="CFEDF9"/>
          </w:tcPr>
          <w:p>
            <w:pPr>
              <w:jc w:val="right"/>
              <w:ind w:right="247"/>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31.2</w:t>
            </w:r>
          </w:p>
        </w:tc>
        <w:tc>
          <w:tcPr>
            <w:tcW w:w="240" w:type="dxa"/>
            <w:vAlign w:val="bottom"/>
            <w:shd w:val="clear" w:color="auto" w:fill="CFEDF9"/>
          </w:tcPr>
          <w:p>
            <w:pPr>
              <w:spacing w:after="0"/>
              <w:rPr>
                <w:sz w:val="19"/>
                <w:szCs w:val="19"/>
                <w:color w:val="auto"/>
              </w:rPr>
            </w:pPr>
          </w:p>
        </w:tc>
        <w:tc>
          <w:tcPr>
            <w:tcW w:w="480" w:type="dxa"/>
            <w:vAlign w:val="bottom"/>
            <w:shd w:val="clear" w:color="auto" w:fill="CFEDF9"/>
          </w:tcPr>
          <w:p>
            <w:pPr>
              <w:jc w:val="right"/>
              <w:ind w:right="283"/>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240" w:type="dxa"/>
            <w:vAlign w:val="bottom"/>
            <w:shd w:val="clear" w:color="auto" w:fill="CFEDF9"/>
          </w:tcPr>
          <w:p>
            <w:pPr>
              <w:spacing w:after="0"/>
              <w:rPr>
                <w:sz w:val="19"/>
                <w:szCs w:val="19"/>
                <w:color w:val="auto"/>
              </w:rPr>
            </w:pPr>
          </w:p>
        </w:tc>
        <w:tc>
          <w:tcPr>
            <w:tcW w:w="2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100" w:type="dxa"/>
            <w:vAlign w:val="bottom"/>
            <w:shd w:val="clear" w:color="auto" w:fill="CFEDF9"/>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231F20"/>
              </w:rPr>
              <w:t>Down 25 basis points</w:t>
            </w:r>
          </w:p>
        </w:tc>
        <w:tc>
          <w:tcPr>
            <w:tcW w:w="580" w:type="dxa"/>
            <w:vAlign w:val="bottom"/>
            <w:gridSpan w:val="2"/>
          </w:tcPr>
          <w:p>
            <w:pPr>
              <w:jc w:val="right"/>
              <w:ind w:right="247"/>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(7.8)</w:t>
            </w:r>
          </w:p>
        </w:tc>
        <w:tc>
          <w:tcPr>
            <w:tcW w:w="48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(4.6)</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(3.2)</w:t>
            </w:r>
          </w:p>
        </w:tc>
      </w:tr>
      <w:tr>
        <w:trPr>
          <w:trHeight w:val="230"/>
        </w:trPr>
        <w:tc>
          <w:tcPr>
            <w:tcW w:w="45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Down 50 basis points</w:t>
            </w:r>
          </w:p>
        </w:tc>
        <w:tc>
          <w:tcPr>
            <w:tcW w:w="580" w:type="dxa"/>
            <w:vAlign w:val="bottom"/>
            <w:gridSpan w:val="2"/>
            <w:shd w:val="clear" w:color="auto" w:fill="CFEDF9"/>
          </w:tcPr>
          <w:p>
            <w:pPr>
              <w:jc w:val="right"/>
              <w:ind w:right="247"/>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shd w:val="clear" w:color="auto" w:fill="CFEDF9"/>
          </w:tcPr>
          <w:p>
            <w:pPr>
              <w:jc w:val="right"/>
              <w:ind w:right="180"/>
              <w:spacing w:after="0"/>
              <w:rPr>
                <w:sz w:val="20"/>
                <w:szCs w:val="20"/>
                <w:color w:val="auto"/>
              </w:rPr>
            </w:pPr>
            <w:r>
              <w:rPr>
                <w:rFonts w:ascii="Times New Roman" w:cs="Times New Roman" w:eastAsia="Times New Roman" w:hAnsi="Times New Roman"/>
                <w:sz w:val="20"/>
                <w:szCs w:val="20"/>
                <w:color w:val="231F20"/>
              </w:rPr>
              <w:t>(15.6)</w:t>
            </w:r>
          </w:p>
        </w:tc>
        <w:tc>
          <w:tcPr>
            <w:tcW w:w="480" w:type="dxa"/>
            <w:vAlign w:val="bottom"/>
            <w:shd w:val="clear" w:color="auto" w:fill="CFEDF9"/>
          </w:tcPr>
          <w:p>
            <w:pPr>
              <w:jc w:val="right"/>
              <w:ind w:right="283"/>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gridSpan w:val="2"/>
            <w:shd w:val="clear" w:color="auto" w:fill="CFEDF9"/>
          </w:tcPr>
          <w:p>
            <w:pPr>
              <w:jc w:val="right"/>
              <w:ind w:right="180"/>
              <w:spacing w:after="0"/>
              <w:rPr>
                <w:sz w:val="20"/>
                <w:szCs w:val="20"/>
                <w:color w:val="auto"/>
              </w:rPr>
            </w:pPr>
            <w:r>
              <w:rPr>
                <w:rFonts w:ascii="Times New Roman" w:cs="Times New Roman" w:eastAsia="Times New Roman" w:hAnsi="Times New Roman"/>
                <w:sz w:val="20"/>
                <w:szCs w:val="20"/>
                <w:color w:val="231F20"/>
              </w:rPr>
              <w:t>(9.2)</w:t>
            </w:r>
          </w:p>
        </w:tc>
        <w:tc>
          <w:tcPr>
            <w:tcW w:w="2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90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(6.4)</w:t>
            </w:r>
          </w:p>
        </w:tc>
      </w:tr>
    </w:tbl>
    <w:p>
      <w:pPr>
        <w:spacing w:after="0" w:line="210" w:lineRule="exact"/>
        <w:rPr>
          <w:sz w:val="20"/>
          <w:szCs w:val="20"/>
          <w:color w:val="auto"/>
        </w:rPr>
      </w:pPr>
    </w:p>
    <w:p>
      <w:pPr>
        <w:jc w:val="both"/>
        <w:ind w:firstLine="245"/>
        <w:spacing w:after="0" w:line="244" w:lineRule="auto"/>
        <w:rPr>
          <w:sz w:val="20"/>
          <w:szCs w:val="20"/>
          <w:color w:val="auto"/>
        </w:rPr>
      </w:pPr>
      <w:r>
        <w:rPr>
          <w:rFonts w:ascii="Times New Roman" w:cs="Times New Roman" w:eastAsia="Times New Roman" w:hAnsi="Times New Roman"/>
          <w:sz w:val="20"/>
          <w:szCs w:val="20"/>
          <w:color w:val="231F20"/>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8" w:lineRule="exact"/>
        <w:rPr>
          <w:sz w:val="20"/>
          <w:szCs w:val="20"/>
          <w:color w:val="auto"/>
        </w:rPr>
      </w:pPr>
    </w:p>
    <w:p>
      <w:pPr>
        <w:jc w:val="both"/>
        <w:ind w:right="200" w:firstLine="245"/>
        <w:spacing w:after="0" w:line="238" w:lineRule="auto"/>
        <w:rPr>
          <w:sz w:val="20"/>
          <w:szCs w:val="20"/>
          <w:color w:val="auto"/>
        </w:rPr>
      </w:pPr>
      <w:r>
        <w:rPr>
          <w:rFonts w:ascii="Times New Roman" w:cs="Times New Roman" w:eastAsia="Times New Roman" w:hAnsi="Times New Roman"/>
          <w:sz w:val="20"/>
          <w:szCs w:val="20"/>
          <w:color w:val="231F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ectPr>
          <w:pgSz w:w="12240" w:h="15840" w:orient="portrait"/>
          <w:cols w:equalWidth="0" w:num="1">
            <w:col w:w="10740"/>
          </w:cols>
          <w:pgMar w:left="720" w:top="918"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84</w:t>
      </w:r>
    </w:p>
    <w:p>
      <w:pPr>
        <w:sectPr>
          <w:pgSz w:w="12240" w:h="15840" w:orient="portrait"/>
          <w:cols w:equalWidth="0" w:num="1">
            <w:col w:w="10740"/>
          </w:cols>
          <w:pgMar w:left="720" w:top="918" w:right="780" w:bottom="175"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231F20"/>
        </w:rPr>
        <w:t>Currency Risk</w:t>
      </w:r>
    </w:p>
    <w:p>
      <w:pPr>
        <w:spacing w:after="0" w:line="117" w:lineRule="exact"/>
        <w:rPr>
          <w:sz w:val="20"/>
          <w:szCs w:val="20"/>
          <w:color w:val="auto"/>
        </w:rPr>
      </w:pPr>
    </w:p>
    <w:p>
      <w:pPr>
        <w:ind w:firstLine="245"/>
        <w:spacing w:after="0" w:line="256" w:lineRule="auto"/>
        <w:rPr>
          <w:sz w:val="20"/>
          <w:szCs w:val="20"/>
          <w:color w:val="auto"/>
        </w:rPr>
      </w:pPr>
      <w:r>
        <w:rPr>
          <w:rFonts w:ascii="Times New Roman" w:cs="Times New Roman" w:eastAsia="Times New Roman" w:hAnsi="Times New Roman"/>
          <w:sz w:val="19"/>
          <w:szCs w:val="19"/>
          <w:color w:val="231F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rPr>
          <w:sz w:val="20"/>
          <w:szCs w:val="20"/>
          <w:color w:val="auto"/>
        </w:rPr>
      </w:pPr>
      <w:r>
        <w:rPr>
          <w:rFonts w:ascii="Times New Roman" w:cs="Times New Roman" w:eastAsia="Times New Roman" w:hAnsi="Times New Roman"/>
          <w:sz w:val="20"/>
          <w:szCs w:val="20"/>
          <w:color w:val="231F20"/>
        </w:rPr>
        <w:t> </w:t>
      </w:r>
    </w:p>
    <w:p>
      <w:pPr>
        <w:sectPr>
          <w:pgSz w:w="12240" w:h="15840" w:orient="portrait"/>
          <w:cols w:equalWidth="0" w:num="1">
            <w:col w:w="10700"/>
          </w:cols>
          <w:pgMar w:left="720" w:top="919" w:right="8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85</w:t>
      </w:r>
    </w:p>
    <w:p>
      <w:pPr>
        <w:sectPr>
          <w:pgSz w:w="12240" w:h="15840" w:orient="portrait"/>
          <w:cols w:equalWidth="0" w:num="1">
            <w:col w:w="10700"/>
          </w:cols>
          <w:pgMar w:left="720" w:top="919" w:right="820" w:bottom="175"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231F20"/>
        </w:rPr>
        <w:t>ITEM 8. CONSOLIDATED FINANCIAL STATEMENTS AND SUPPLEMENTARY DATA</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SIXTH STREET SPECIALTY LENDING,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700" w:type="dxa"/>
            <w:vAlign w:val="bottom"/>
            <w:vMerge w:val="restart"/>
          </w:tcPr>
          <w:p>
            <w:pPr>
              <w:jc w:val="right"/>
              <w:ind w:right="4920"/>
              <w:spacing w:after="0"/>
              <w:rPr>
                <w:sz w:val="20"/>
                <w:szCs w:val="20"/>
                <w:color w:val="auto"/>
              </w:rPr>
            </w:pPr>
            <w:r>
              <w:rPr>
                <w:rFonts w:ascii="Times New Roman" w:cs="Times New Roman" w:eastAsia="Times New Roman" w:hAnsi="Times New Roman"/>
                <w:sz w:val="20"/>
                <w:szCs w:val="20"/>
                <w:color w:val="231F20"/>
                <w:w w:val="99"/>
              </w:rPr>
              <w:t>Report of Independent Registered Public Accounting Firm</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231F20"/>
              </w:rPr>
              <w:t>Page</w:t>
            </w:r>
          </w:p>
        </w:tc>
        <w:tc>
          <w:tcPr>
            <w:tcW w:w="0" w:type="dxa"/>
            <w:vAlign w:val="bottom"/>
          </w:tcPr>
          <w:p>
            <w:pPr>
              <w:spacing w:after="0"/>
              <w:rPr>
                <w:sz w:val="1"/>
                <w:szCs w:val="1"/>
                <w:color w:val="auto"/>
              </w:rPr>
            </w:pPr>
          </w:p>
        </w:tc>
      </w:tr>
      <w:tr>
        <w:trPr>
          <w:trHeight w:val="256"/>
        </w:trPr>
        <w:tc>
          <w:tcPr>
            <w:tcW w:w="9700" w:type="dxa"/>
            <w:vAlign w:val="bottom"/>
            <w:vMerge w:val="continue"/>
          </w:tcPr>
          <w:p>
            <w:pPr>
              <w:jc w:val="right"/>
              <w:spacing w:after="0" w:line="177" w:lineRule="exact"/>
              <w:rPr>
                <w:sz w:val="20"/>
                <w:szCs w:val="20"/>
                <w:color w:val="auto"/>
              </w:rPr>
            </w:pPr>
            <w:r>
              <w:rPr>
                <w:rFonts w:ascii="Times New Roman" w:cs="Times New Roman" w:eastAsia="Times New Roman" w:hAnsi="Times New Roman"/>
                <w:sz w:val="20"/>
                <w:szCs w:val="20"/>
                <w:color w:val="231F20"/>
              </w:rPr>
              <w:t>....................................................................................................</w:t>
            </w:r>
          </w:p>
        </w:tc>
        <w:tc>
          <w:tcPr>
            <w:tcW w:w="10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F-2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9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Consolidated Balance Sheets as of December 31, 2023 and 2022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F-4</w:t>
            </w:r>
          </w:p>
        </w:tc>
        <w:tc>
          <w:tcPr>
            <w:tcW w:w="0" w:type="dxa"/>
            <w:vAlign w:val="bottom"/>
          </w:tcPr>
          <w:p>
            <w:pPr>
              <w:spacing w:after="0"/>
              <w:rPr>
                <w:sz w:val="1"/>
                <w:szCs w:val="1"/>
                <w:color w:val="auto"/>
              </w:rPr>
            </w:pPr>
          </w:p>
        </w:tc>
      </w:tr>
      <w:tr>
        <w:trPr>
          <w:trHeight w:val="368"/>
        </w:trPr>
        <w:tc>
          <w:tcPr>
            <w:tcW w:w="9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Consolidated Statements of Operations for the Years Ended December 31, 2023, 2022 and 2021........................................</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F-5</w:t>
            </w:r>
          </w:p>
        </w:tc>
        <w:tc>
          <w:tcPr>
            <w:tcW w:w="0" w:type="dxa"/>
            <w:vAlign w:val="bottom"/>
          </w:tcPr>
          <w:p>
            <w:pPr>
              <w:spacing w:after="0"/>
              <w:rPr>
                <w:sz w:val="1"/>
                <w:szCs w:val="1"/>
                <w:color w:val="auto"/>
              </w:rPr>
            </w:pPr>
          </w:p>
        </w:tc>
      </w:tr>
      <w:tr>
        <w:trPr>
          <w:trHeight w:val="368"/>
        </w:trPr>
        <w:tc>
          <w:tcPr>
            <w:tcW w:w="9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Consolidated Schedules of Investments as of December 31, 2023 and 2022..........................................................................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F-6</w:t>
            </w:r>
          </w:p>
        </w:tc>
        <w:tc>
          <w:tcPr>
            <w:tcW w:w="0" w:type="dxa"/>
            <w:vAlign w:val="bottom"/>
          </w:tcPr>
          <w:p>
            <w:pPr>
              <w:spacing w:after="0"/>
              <w:rPr>
                <w:sz w:val="1"/>
                <w:szCs w:val="1"/>
                <w:color w:val="auto"/>
              </w:rPr>
            </w:pPr>
          </w:p>
        </w:tc>
      </w:tr>
      <w:tr>
        <w:trPr>
          <w:trHeight w:val="368"/>
        </w:trPr>
        <w:tc>
          <w:tcPr>
            <w:tcW w:w="9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Consolidated Statements of Changes in Net Assets for the Years Ended December 31, 2023, 2022 and 2021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F-18</w:t>
            </w:r>
          </w:p>
        </w:tc>
        <w:tc>
          <w:tcPr>
            <w:tcW w:w="0" w:type="dxa"/>
            <w:vAlign w:val="bottom"/>
          </w:tcPr>
          <w:p>
            <w:pPr>
              <w:spacing w:after="0"/>
              <w:rPr>
                <w:sz w:val="1"/>
                <w:szCs w:val="1"/>
                <w:color w:val="auto"/>
              </w:rPr>
            </w:pPr>
          </w:p>
        </w:tc>
      </w:tr>
      <w:tr>
        <w:trPr>
          <w:trHeight w:val="368"/>
        </w:trPr>
        <w:tc>
          <w:tcPr>
            <w:tcW w:w="9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Consolidated Statements of Cash Flows for the Years Ended December 31, 2023, 2022 and 2021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F-19</w:t>
            </w:r>
          </w:p>
        </w:tc>
        <w:tc>
          <w:tcPr>
            <w:tcW w:w="0" w:type="dxa"/>
            <w:vAlign w:val="bottom"/>
          </w:tcPr>
          <w:p>
            <w:pPr>
              <w:spacing w:after="0"/>
              <w:rPr>
                <w:sz w:val="1"/>
                <w:szCs w:val="1"/>
                <w:color w:val="auto"/>
              </w:rPr>
            </w:pPr>
          </w:p>
        </w:tc>
      </w:tr>
      <w:tr>
        <w:trPr>
          <w:trHeight w:val="368"/>
        </w:trPr>
        <w:tc>
          <w:tcPr>
            <w:tcW w:w="9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Notes to Consolidated Financial Statements............................................................................................................................</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F-20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w:t>
      </w:r>
    </w:p>
    <w:p>
      <w:pPr>
        <w:sectPr>
          <w:pgSz w:w="12240" w:h="15840" w:orient="portrait"/>
          <w:cols w:equalWidth="0" w:num="1">
            <w:col w:w="10800"/>
          </w:cols>
          <w:pgMar w:left="720" w:top="926" w:right="720" w:bottom="175" w:gutter="0" w:footer="0" w:header="0"/>
          <w:type w:val="continuous"/>
        </w:sectPr>
      </w:pPr>
    </w:p>
    <w:bookmarkStart w:id="86" w:name="page87"/>
    <w:bookmarkEnd w:id="86"/>
    <w:p>
      <w:pPr>
        <w:ind w:left="2640"/>
        <w:spacing w:after="0"/>
        <w:rPr>
          <w:sz w:val="20"/>
          <w:szCs w:val="20"/>
          <w:color w:val="auto"/>
        </w:rPr>
      </w:pPr>
      <w:r>
        <w:rPr>
          <w:rFonts w:ascii="Arial" w:cs="Arial" w:eastAsia="Arial" w:hAnsi="Arial"/>
          <w:sz w:val="20"/>
          <w:szCs w:val="20"/>
          <w:b w:val="1"/>
          <w:bCs w:val="1"/>
          <w:color w:val="231F20"/>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Sixth Street Specialty Lending,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Opinions on the Consolidated Financial Statements and Internal Control Over Financial Reporting</w:t>
      </w:r>
    </w:p>
    <w:p>
      <w:pPr>
        <w:spacing w:after="0" w:line="2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Sixth Street Specialty Lending, Inc. and subsidiaries (the Company), including the consolidated schedules of investments, as of December 31, 2023 and 2022, the related consolidated statements of operations, changes in net assets,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w:t>
      </w:r>
    </w:p>
    <w:p>
      <w:pPr>
        <w:spacing w:after="0" w:line="19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In our opinion, the consolidated financial statements referred to above present fairly, in all material respects, the financial position of the Company as of December 31, 2023 and 2022, and the results of its operations, changes in its net assets,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for Opinions</w:t>
      </w:r>
    </w:p>
    <w:p>
      <w:pPr>
        <w:spacing w:after="0" w:line="2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2023 and 2022, by correspondence with custodians, agents, the underlying investees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Definition and Limitations of Internal Control Over Financial Reporting</w:t>
      </w:r>
    </w:p>
    <w:p>
      <w:pPr>
        <w:spacing w:after="0" w:line="2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10800"/>
          </w:cols>
          <w:pgMar w:left="720" w:top="936" w:right="720" w:bottom="175"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w:t>
      </w:r>
    </w:p>
    <w:p>
      <w:pPr>
        <w:sectPr>
          <w:pgSz w:w="12240" w:h="15840" w:orient="portrait"/>
          <w:cols w:equalWidth="0" w:num="1">
            <w:col w:w="10800"/>
          </w:cols>
          <w:pgMar w:left="720" w:top="936" w:right="720" w:bottom="175" w:gutter="0" w:footer="0" w:header="0"/>
          <w:type w:val="continuous"/>
        </w:sectPr>
      </w:pPr>
    </w:p>
    <w:bookmarkStart w:id="87" w:name="page88"/>
    <w:bookmarkEnd w:id="87"/>
    <w:p>
      <w:pPr>
        <w:jc w:val="both"/>
        <w:ind w:right="20"/>
        <w:spacing w:after="0" w:line="269"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Critical Audit Matter</w:t>
      </w:r>
    </w:p>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Assessment of the fair value of investments</w:t>
      </w:r>
    </w:p>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As discussed in Notes 2, 4, and 6 to the consolidated financial statements, the Company classified $3.21 billion of its debt and equity investments as Level 3 in the fair value hierarchy as of December 31, 2023 as the fair value of such investments was measured using unobservable inputs. The Company typically determines the fair value of performing debt investments utilizing a yield analysis where a price is ascribed for each investment based upon an assessment of market yields for similar investments and, for its equity investments, multiples of similar companies’ revenues, earnings before income taxes, depreciation and amortization or some combination thereof and comparable market transactions.</w:t>
      </w:r>
    </w:p>
    <w:p>
      <w:pPr>
        <w:spacing w:after="0" w:line="1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231F20"/>
        </w:rPr>
        <w:t>We identified the assessment of the fair value of Level 3 debt and equity investments as a critical audit matter because evaluating the assumptions used to measure fair value involved a high degree of subjective auditor judgment and changes in these assumptions could have had a significant impact on the investments’ estimated fair value. Specifically, the assumptions related to market yields for investments with similar terms and risks used in yield analyses, comparable financial performance multiples, and expected lives used in discounted cash flow analyses required subjective auditor judgment.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The following are the primary procedures we performed to address this critical audit matter. We evaluated the design and tested the operating effectiveness of certain internal controls related to the Company’s investment valuation process, including controls related to the determination of the market yields, financial performance multiples, and expected lives used to estimate the fair value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market yield assumptions. We evaluated the Company’s ability to estimate fair value by comparing prior period values to prices of transactions occurring subsequent to the prior period valuation date.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/s/ KPMG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15, 2024</w:t>
      </w:r>
    </w:p>
    <w:p>
      <w:pPr>
        <w:sectPr>
          <w:pgSz w:w="12240" w:h="15840" w:orient="portrait"/>
          <w:cols w:equalWidth="0" w:num="1">
            <w:col w:w="10760"/>
          </w:cols>
          <w:pgMar w:left="720" w:top="940"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F-3</w:t>
      </w:r>
    </w:p>
    <w:p>
      <w:pPr>
        <w:sectPr>
          <w:pgSz w:w="12240" w:h="15840" w:orient="portrait"/>
          <w:cols w:equalWidth="0" w:num="1">
            <w:col w:w="10760"/>
          </w:cols>
          <w:pgMar w:left="720" w:top="940" w:right="760" w:bottom="175"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231F20"/>
        </w:rPr>
        <w:t>Sixth Street Specialty Lending,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FEDF9"/>
            </w:tcBorders>
          </w:tcPr>
          <w:p>
            <w:pPr>
              <w:spacing w:after="0"/>
              <w:rPr>
                <w:sz w:val="17"/>
                <w:szCs w:val="17"/>
                <w:color w:val="auto"/>
              </w:rPr>
            </w:pPr>
          </w:p>
        </w:tc>
        <w:tc>
          <w:tcPr>
            <w:tcW w:w="280" w:type="dxa"/>
            <w:vAlign w:val="bottom"/>
            <w:tcBorders>
              <w:bottom w:val="single" w:sz="8" w:color="CFEDF9"/>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60" w:type="dxa"/>
            <w:vAlign w:val="bottom"/>
            <w:tcBorders>
              <w:bottom w:val="single" w:sz="8" w:color="231F20"/>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Borders>
              <w:bottom w:val="single" w:sz="8" w:color="CFEDF9"/>
            </w:tcBorders>
          </w:tcPr>
          <w:p>
            <w:pPr>
              <w:spacing w:after="0"/>
              <w:rPr>
                <w:sz w:val="17"/>
                <w:szCs w:val="17"/>
                <w:color w:val="auto"/>
              </w:rPr>
            </w:pPr>
          </w:p>
        </w:tc>
        <w:tc>
          <w:tcPr>
            <w:tcW w:w="100" w:type="dxa"/>
            <w:vAlign w:val="bottom"/>
            <w:tcBorders>
              <w:bottom w:val="single" w:sz="8" w:color="CFEDF9"/>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460" w:type="dxa"/>
            <w:vAlign w:val="bottom"/>
            <w:tcBorders>
              <w:bottom w:val="single" w:sz="8" w:color="231F20"/>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00" w:type="dxa"/>
            <w:vAlign w:val="bottom"/>
            <w:tcBorders>
              <w:bottom w:val="single" w:sz="8" w:color="CFEDF9"/>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Assets</w:t>
            </w:r>
          </w:p>
        </w:tc>
        <w:tc>
          <w:tcPr>
            <w:tcW w:w="28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6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46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Investments at fair value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20" w:type="dxa"/>
            <w:vAlign w:val="bottom"/>
            <w:shd w:val="clear" w:color="auto" w:fill="CFEDF9"/>
          </w:tcPr>
          <w:p>
            <w:pPr>
              <w:ind w:left="200"/>
              <w:spacing w:after="0" w:line="210" w:lineRule="exact"/>
              <w:rPr>
                <w:sz w:val="20"/>
                <w:szCs w:val="20"/>
                <w:color w:val="auto"/>
              </w:rPr>
            </w:pPr>
            <w:r>
              <w:rPr>
                <w:rFonts w:ascii="Times New Roman" w:cs="Times New Roman" w:eastAsia="Times New Roman" w:hAnsi="Times New Roman"/>
                <w:sz w:val="20"/>
                <w:szCs w:val="20"/>
                <w:color w:val="231F20"/>
              </w:rPr>
              <w:t>Non-controlled, non-affiliated investments (amortized cost of $3,172,853 and</w:t>
            </w:r>
          </w:p>
        </w:tc>
        <w:tc>
          <w:tcPr>
            <w:tcW w:w="28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1460" w:type="dxa"/>
            <w:vAlign w:val="bottom"/>
            <w:shd w:val="clear" w:color="auto" w:fill="CFEDF9"/>
          </w:tcPr>
          <w:p>
            <w:pPr>
              <w:spacing w:after="0"/>
              <w:rPr>
                <w:sz w:val="18"/>
                <w:szCs w:val="18"/>
                <w:color w:val="auto"/>
              </w:rPr>
            </w:pPr>
          </w:p>
        </w:tc>
        <w:tc>
          <w:tcPr>
            <w:tcW w:w="18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260" w:type="dxa"/>
            <w:vAlign w:val="bottom"/>
            <w:shd w:val="clear" w:color="auto" w:fill="CFEDF9"/>
          </w:tcPr>
          <w:p>
            <w:pPr>
              <w:spacing w:after="0"/>
              <w:rPr>
                <w:sz w:val="18"/>
                <w:szCs w:val="18"/>
                <w:color w:val="auto"/>
              </w:rPr>
            </w:pPr>
          </w:p>
        </w:tc>
        <w:tc>
          <w:tcPr>
            <w:tcW w:w="146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2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$2,707,442, respectively)</w:t>
            </w:r>
          </w:p>
        </w:tc>
        <w:tc>
          <w:tcPr>
            <w:tcW w:w="52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3,223,152</w:t>
            </w:r>
          </w:p>
        </w:tc>
        <w:tc>
          <w:tcPr>
            <w:tcW w:w="180" w:type="dxa"/>
            <w:vAlign w:val="bottom"/>
            <w:shd w:val="clear" w:color="auto" w:fill="CFEDF9"/>
          </w:tcPr>
          <w:p>
            <w:pPr>
              <w:spacing w:after="0"/>
              <w:rPr>
                <w:sz w:val="21"/>
                <w:szCs w:val="21"/>
                <w:color w:val="auto"/>
              </w:rPr>
            </w:pPr>
          </w:p>
        </w:tc>
        <w:tc>
          <w:tcPr>
            <w:tcW w:w="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2,717,170</w:t>
            </w:r>
          </w:p>
        </w:tc>
        <w:tc>
          <w:tcPr>
            <w:tcW w:w="10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72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231F20"/>
              </w:rPr>
              <w:t>Controlled, affiliated investments (amortized cost of $78,159 and $67,284,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20" w:type="dxa"/>
            <w:vAlign w:val="bottom"/>
            <w:tcBorders>
              <w:bottom w:val="single" w:sz="8" w:color="CFEDF9"/>
            </w:tcBorders>
          </w:tcPr>
          <w:p>
            <w:pPr>
              <w:ind w:left="200"/>
              <w:spacing w:after="0"/>
              <w:rPr>
                <w:sz w:val="20"/>
                <w:szCs w:val="20"/>
                <w:color w:val="auto"/>
              </w:rPr>
            </w:pPr>
            <w:r>
              <w:rPr>
                <w:rFonts w:ascii="Times New Roman" w:cs="Times New Roman" w:eastAsia="Times New Roman" w:hAnsi="Times New Roman"/>
                <w:sz w:val="20"/>
                <w:szCs w:val="20"/>
                <w:color w:val="231F20"/>
              </w:rPr>
              <w:t>respectively)</w:t>
            </w:r>
          </w:p>
        </w:tc>
        <w:tc>
          <w:tcPr>
            <w:tcW w:w="280" w:type="dxa"/>
            <w:vAlign w:val="bottom"/>
            <w:tcBorders>
              <w:bottom w:val="single" w:sz="8" w:color="CFEDF9"/>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59,913</w:t>
            </w:r>
          </w:p>
        </w:tc>
        <w:tc>
          <w:tcPr>
            <w:tcW w:w="180" w:type="dxa"/>
            <w:vAlign w:val="bottom"/>
            <w:tcBorders>
              <w:bottom w:val="single" w:sz="8" w:color="CFEDF9"/>
            </w:tcBorders>
          </w:tcPr>
          <w:p>
            <w:pPr>
              <w:spacing w:after="0"/>
              <w:rPr>
                <w:sz w:val="21"/>
                <w:szCs w:val="21"/>
                <w:color w:val="auto"/>
              </w:rPr>
            </w:pPr>
          </w:p>
        </w:tc>
        <w:tc>
          <w:tcPr>
            <w:tcW w:w="100" w:type="dxa"/>
            <w:vAlign w:val="bottom"/>
            <w:tcBorders>
              <w:bottom w:val="single" w:sz="8" w:color="CFEDF9"/>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70,755</w:t>
            </w:r>
          </w:p>
        </w:tc>
        <w:tc>
          <w:tcPr>
            <w:tcW w:w="100" w:type="dxa"/>
            <w:vAlign w:val="bottom"/>
            <w:tcBorders>
              <w:bottom w:val="single" w:sz="8" w:color="CFEDF9"/>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FEDF9"/>
          </w:tcPr>
          <w:p>
            <w:pPr>
              <w:spacing w:after="0" w:line="201" w:lineRule="exact"/>
              <w:rPr>
                <w:sz w:val="20"/>
                <w:szCs w:val="20"/>
                <w:color w:val="auto"/>
              </w:rPr>
            </w:pPr>
            <w:r>
              <w:rPr>
                <w:rFonts w:ascii="Times New Roman" w:cs="Times New Roman" w:eastAsia="Times New Roman" w:hAnsi="Times New Roman"/>
                <w:sz w:val="20"/>
                <w:szCs w:val="20"/>
                <w:color w:val="231F20"/>
              </w:rPr>
              <w:t>Total investments at fair value (amortized cost of $3,251,012 and $2,774,726,</w:t>
            </w:r>
          </w:p>
        </w:tc>
        <w:tc>
          <w:tcPr>
            <w:tcW w:w="280" w:type="dxa"/>
            <w:vAlign w:val="bottom"/>
            <w:shd w:val="clear" w:color="auto" w:fill="CFEDF9"/>
          </w:tcPr>
          <w:p>
            <w:pPr>
              <w:spacing w:after="0"/>
              <w:rPr>
                <w:sz w:val="17"/>
                <w:szCs w:val="17"/>
                <w:color w:val="auto"/>
              </w:rPr>
            </w:pPr>
          </w:p>
        </w:tc>
        <w:tc>
          <w:tcPr>
            <w:tcW w:w="240" w:type="dxa"/>
            <w:vAlign w:val="bottom"/>
            <w:shd w:val="clear" w:color="auto" w:fill="CFEDF9"/>
          </w:tcPr>
          <w:p>
            <w:pPr>
              <w:spacing w:after="0"/>
              <w:rPr>
                <w:sz w:val="17"/>
                <w:szCs w:val="17"/>
                <w:color w:val="auto"/>
              </w:rPr>
            </w:pPr>
          </w:p>
        </w:tc>
        <w:tc>
          <w:tcPr>
            <w:tcW w:w="1460" w:type="dxa"/>
            <w:vAlign w:val="bottom"/>
            <w:shd w:val="clear" w:color="auto" w:fill="CFEDF9"/>
          </w:tcPr>
          <w:p>
            <w:pPr>
              <w:spacing w:after="0"/>
              <w:rPr>
                <w:sz w:val="17"/>
                <w:szCs w:val="17"/>
                <w:color w:val="auto"/>
              </w:rPr>
            </w:pPr>
          </w:p>
        </w:tc>
        <w:tc>
          <w:tcPr>
            <w:tcW w:w="180" w:type="dxa"/>
            <w:vAlign w:val="bottom"/>
            <w:shd w:val="clear" w:color="auto" w:fill="CFEDF9"/>
          </w:tcPr>
          <w:p>
            <w:pPr>
              <w:spacing w:after="0"/>
              <w:rPr>
                <w:sz w:val="17"/>
                <w:szCs w:val="17"/>
                <w:color w:val="auto"/>
              </w:rPr>
            </w:pPr>
          </w:p>
        </w:tc>
        <w:tc>
          <w:tcPr>
            <w:tcW w:w="100" w:type="dxa"/>
            <w:vAlign w:val="bottom"/>
            <w:shd w:val="clear" w:color="auto" w:fill="CFEDF9"/>
          </w:tcPr>
          <w:p>
            <w:pPr>
              <w:spacing w:after="0"/>
              <w:rPr>
                <w:sz w:val="17"/>
                <w:szCs w:val="17"/>
                <w:color w:val="auto"/>
              </w:rPr>
            </w:pPr>
          </w:p>
        </w:tc>
        <w:tc>
          <w:tcPr>
            <w:tcW w:w="260" w:type="dxa"/>
            <w:vAlign w:val="bottom"/>
            <w:shd w:val="clear" w:color="auto" w:fill="CFEDF9"/>
          </w:tcPr>
          <w:p>
            <w:pPr>
              <w:spacing w:after="0"/>
              <w:rPr>
                <w:sz w:val="17"/>
                <w:szCs w:val="17"/>
                <w:color w:val="auto"/>
              </w:rPr>
            </w:pPr>
          </w:p>
        </w:tc>
        <w:tc>
          <w:tcPr>
            <w:tcW w:w="1460" w:type="dxa"/>
            <w:vAlign w:val="bottom"/>
            <w:shd w:val="clear" w:color="auto" w:fill="CFEDF9"/>
          </w:tcPr>
          <w:p>
            <w:pPr>
              <w:spacing w:after="0"/>
              <w:rPr>
                <w:sz w:val="17"/>
                <w:szCs w:val="17"/>
                <w:color w:val="auto"/>
              </w:rPr>
            </w:pPr>
          </w:p>
        </w:tc>
        <w:tc>
          <w:tcPr>
            <w:tcW w:w="100" w:type="dxa"/>
            <w:vAlign w:val="bottom"/>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respectively)</w:t>
            </w:r>
          </w:p>
        </w:tc>
        <w:tc>
          <w:tcPr>
            <w:tcW w:w="280" w:type="dxa"/>
            <w:vAlign w:val="bottom"/>
            <w:shd w:val="clear" w:color="auto" w:fill="CFEDF9"/>
          </w:tcPr>
          <w:p>
            <w:pPr>
              <w:spacing w:after="0"/>
              <w:rPr>
                <w:sz w:val="21"/>
                <w:szCs w:val="21"/>
                <w:color w:val="auto"/>
              </w:rPr>
            </w:pPr>
          </w:p>
        </w:tc>
        <w:tc>
          <w:tcPr>
            <w:tcW w:w="240" w:type="dxa"/>
            <w:vAlign w:val="bottom"/>
            <w:shd w:val="clear" w:color="auto" w:fill="CFEDF9"/>
          </w:tcPr>
          <w:p>
            <w:pPr>
              <w:spacing w:after="0"/>
              <w:rPr>
                <w:sz w:val="21"/>
                <w:szCs w:val="21"/>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3,283,065</w:t>
            </w:r>
          </w:p>
        </w:tc>
        <w:tc>
          <w:tcPr>
            <w:tcW w:w="18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260" w:type="dxa"/>
            <w:vAlign w:val="bottom"/>
            <w:shd w:val="clear" w:color="auto" w:fill="CFEDF9"/>
          </w:tcPr>
          <w:p>
            <w:pPr>
              <w:spacing w:after="0"/>
              <w:rPr>
                <w:sz w:val="21"/>
                <w:szCs w:val="21"/>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2,787,925</w:t>
            </w:r>
          </w:p>
        </w:tc>
        <w:tc>
          <w:tcPr>
            <w:tcW w:w="10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Cash and cash equivalents (restricted cash of $23,979 and $15,437, respectively)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Interest receivable</w:t>
            </w:r>
          </w:p>
        </w:tc>
        <w:tc>
          <w:tcPr>
            <w:tcW w:w="28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27,969</w:t>
            </w: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18,846</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280" w:type="dxa"/>
            <w:vAlign w:val="bottom"/>
            <w:tcBorders>
              <w:bottom w:val="single" w:sz="8" w:color="CFEDF9"/>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7,578</w:t>
            </w:r>
          </w:p>
        </w:tc>
        <w:tc>
          <w:tcPr>
            <w:tcW w:w="180" w:type="dxa"/>
            <w:vAlign w:val="bottom"/>
            <w:tcBorders>
              <w:bottom w:val="single" w:sz="8" w:color="CFEDF9"/>
            </w:tcBorders>
          </w:tcPr>
          <w:p>
            <w:pPr>
              <w:spacing w:after="0"/>
              <w:rPr>
                <w:sz w:val="19"/>
                <w:szCs w:val="19"/>
                <w:color w:val="auto"/>
              </w:rPr>
            </w:pPr>
          </w:p>
        </w:tc>
        <w:tc>
          <w:tcPr>
            <w:tcW w:w="100" w:type="dxa"/>
            <w:vAlign w:val="bottom"/>
            <w:tcBorders>
              <w:bottom w:val="single" w:sz="8" w:color="CFEDF9"/>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4,529</w:t>
            </w: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EDF9"/>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231F20"/>
              </w:rPr>
              <w:t>Total Assets</w:t>
            </w:r>
          </w:p>
        </w:tc>
        <w:tc>
          <w:tcPr>
            <w:tcW w:w="280" w:type="dxa"/>
            <w:vAlign w:val="bottom"/>
            <w:shd w:val="clear" w:color="auto" w:fill="CFEDF9"/>
          </w:tcPr>
          <w:p>
            <w:pPr>
              <w:spacing w:after="0"/>
              <w:rPr>
                <w:sz w:val="19"/>
                <w:szCs w:val="19"/>
                <w:color w:val="auto"/>
              </w:rPr>
            </w:pPr>
          </w:p>
        </w:tc>
        <w:tc>
          <w:tcPr>
            <w:tcW w:w="240" w:type="dxa"/>
            <w:vAlign w:val="bottom"/>
            <w:tcBorders>
              <w:bottom w:val="single" w:sz="8" w:color="231F20"/>
            </w:tcBorders>
            <w:shd w:val="clear" w:color="auto" w:fill="CFEDF9"/>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3,343,808</w:t>
            </w: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tcBorders>
              <w:bottom w:val="single" w:sz="8" w:color="231F20"/>
            </w:tcBorders>
            <w:shd w:val="clear" w:color="auto" w:fill="CFEDF9"/>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2,836,947</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2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Debt (net of deferred financing costs of $21,930 and $17,760, respectively)</w:t>
            </w:r>
          </w:p>
        </w:tc>
        <w:tc>
          <w:tcPr>
            <w:tcW w:w="280" w:type="dxa"/>
            <w:vAlign w:val="bottom"/>
            <w:shd w:val="clear" w:color="auto" w:fill="CFEDF9"/>
          </w:tcPr>
          <w:p>
            <w:pPr>
              <w:spacing w:after="0"/>
              <w:rPr>
                <w:sz w:val="19"/>
                <w:szCs w:val="19"/>
                <w:color w:val="auto"/>
              </w:rPr>
            </w:pPr>
          </w:p>
        </w:tc>
        <w:tc>
          <w:tcPr>
            <w:tcW w:w="240" w:type="dxa"/>
            <w:vAlign w:val="bottom"/>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1,780,307</w:t>
            </w: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1,441,796</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Management fees payable to affiliate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Incentive fees on net investment income payable to affiliate</w:t>
            </w:r>
          </w:p>
        </w:tc>
        <w:tc>
          <w:tcPr>
            <w:tcW w:w="28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11,451</w:t>
            </w: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10,918</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Incentive fees on net capital gains accrued to affiliate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Other payables to affiliate</w:t>
            </w:r>
          </w:p>
        </w:tc>
        <w:tc>
          <w:tcPr>
            <w:tcW w:w="28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2,802</w:t>
            </w: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3,265</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Other liabilities</w:t>
            </w:r>
          </w:p>
        </w:tc>
        <w:tc>
          <w:tcPr>
            <w:tcW w:w="280" w:type="dxa"/>
            <w:vAlign w:val="bottom"/>
            <w:tcBorders>
              <w:bottom w:val="single" w:sz="8" w:color="CFEDF9"/>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30,465</w:t>
            </w:r>
          </w:p>
        </w:tc>
        <w:tc>
          <w:tcPr>
            <w:tcW w:w="180" w:type="dxa"/>
            <w:vAlign w:val="bottom"/>
            <w:tcBorders>
              <w:bottom w:val="single" w:sz="8" w:color="CFEDF9"/>
            </w:tcBorders>
          </w:tcPr>
          <w:p>
            <w:pPr>
              <w:spacing w:after="0"/>
              <w:rPr>
                <w:sz w:val="19"/>
                <w:szCs w:val="19"/>
                <w:color w:val="auto"/>
              </w:rPr>
            </w:pPr>
          </w:p>
        </w:tc>
        <w:tc>
          <w:tcPr>
            <w:tcW w:w="100" w:type="dxa"/>
            <w:vAlign w:val="bottom"/>
            <w:tcBorders>
              <w:bottom w:val="single" w:sz="8" w:color="CFEDF9"/>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22,809</w:t>
            </w: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EDF9"/>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231F20"/>
              </w:rPr>
              <w:t>Total Liabilities</w:t>
            </w:r>
          </w:p>
        </w:tc>
        <w:tc>
          <w:tcPr>
            <w:tcW w:w="280" w:type="dxa"/>
            <w:vAlign w:val="bottom"/>
            <w:shd w:val="clear" w:color="auto" w:fill="CFEDF9"/>
          </w:tcPr>
          <w:p>
            <w:pPr>
              <w:spacing w:after="0"/>
              <w:rPr>
                <w:sz w:val="19"/>
                <w:szCs w:val="19"/>
                <w:color w:val="auto"/>
              </w:rPr>
            </w:pPr>
          </w:p>
        </w:tc>
        <w:tc>
          <w:tcPr>
            <w:tcW w:w="240" w:type="dxa"/>
            <w:vAlign w:val="bottom"/>
            <w:tcBorders>
              <w:bottom w:val="single" w:sz="8" w:color="231F20"/>
            </w:tcBorders>
            <w:shd w:val="clear" w:color="auto" w:fill="CFEDF9"/>
          </w:tcPr>
          <w:p>
            <w:pPr>
              <w:spacing w:after="0"/>
              <w:rPr>
                <w:sz w:val="19"/>
                <w:szCs w:val="19"/>
                <w:color w:val="auto"/>
              </w:rPr>
            </w:pPr>
          </w:p>
        </w:tc>
        <w:tc>
          <w:tcPr>
            <w:tcW w:w="14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1,847,433</w:t>
            </w: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tcBorders>
              <w:bottom w:val="single" w:sz="8" w:color="231F20"/>
            </w:tcBorders>
            <w:shd w:val="clear" w:color="auto" w:fill="CFEDF9"/>
          </w:tcPr>
          <w:p>
            <w:pPr>
              <w:spacing w:after="0"/>
              <w:rPr>
                <w:sz w:val="19"/>
                <w:szCs w:val="19"/>
                <w:color w:val="auto"/>
              </w:rPr>
            </w:pPr>
          </w:p>
        </w:tc>
        <w:tc>
          <w:tcPr>
            <w:tcW w:w="14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1,495,378</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Commitments and contingencies (Note 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b w:val="1"/>
                <w:bCs w:val="1"/>
                <w:color w:val="231F20"/>
              </w:rPr>
              <w:t>Net Assets</w:t>
            </w:r>
          </w:p>
        </w:tc>
        <w:tc>
          <w:tcPr>
            <w:tcW w:w="28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6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46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Preferred stock, $0.01 par value; 100,000,000 shares authorized; no shares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issued and outstanding</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10"/>
        </w:trPr>
        <w:tc>
          <w:tcPr>
            <w:tcW w:w="6720" w:type="dxa"/>
            <w:vAlign w:val="bottom"/>
            <w:shd w:val="clear" w:color="auto" w:fill="CFEDF9"/>
          </w:tcPr>
          <w:p>
            <w:pPr>
              <w:spacing w:after="0" w:line="210" w:lineRule="exact"/>
              <w:rPr>
                <w:sz w:val="20"/>
                <w:szCs w:val="20"/>
                <w:color w:val="auto"/>
              </w:rPr>
            </w:pPr>
            <w:r>
              <w:rPr>
                <w:rFonts w:ascii="Times New Roman" w:cs="Times New Roman" w:eastAsia="Times New Roman" w:hAnsi="Times New Roman"/>
                <w:sz w:val="20"/>
                <w:szCs w:val="20"/>
                <w:color w:val="231F20"/>
              </w:rPr>
              <w:t>Common stock, $0.01 par value; 400,000,000 shares authorized, 88,493,749</w:t>
            </w:r>
          </w:p>
        </w:tc>
        <w:tc>
          <w:tcPr>
            <w:tcW w:w="28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1460" w:type="dxa"/>
            <w:vAlign w:val="bottom"/>
            <w:shd w:val="clear" w:color="auto" w:fill="CFEDF9"/>
          </w:tcPr>
          <w:p>
            <w:pPr>
              <w:spacing w:after="0"/>
              <w:rPr>
                <w:sz w:val="18"/>
                <w:szCs w:val="18"/>
                <w:color w:val="auto"/>
              </w:rPr>
            </w:pPr>
          </w:p>
        </w:tc>
        <w:tc>
          <w:tcPr>
            <w:tcW w:w="18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260" w:type="dxa"/>
            <w:vAlign w:val="bottom"/>
            <w:shd w:val="clear" w:color="auto" w:fill="CFEDF9"/>
          </w:tcPr>
          <w:p>
            <w:pPr>
              <w:spacing w:after="0"/>
              <w:rPr>
                <w:sz w:val="18"/>
                <w:szCs w:val="18"/>
                <w:color w:val="auto"/>
              </w:rPr>
            </w:pPr>
          </w:p>
        </w:tc>
        <w:tc>
          <w:tcPr>
            <w:tcW w:w="146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color w:val="231F20"/>
              </w:rPr>
              <w:t>and 82,053,537 shares issued, respectively; and 87,829,499 and 81,389,287</w:t>
            </w:r>
          </w:p>
        </w:tc>
        <w:tc>
          <w:tcPr>
            <w:tcW w:w="28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6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46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2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color w:val="231F20"/>
              </w:rPr>
              <w:t>shares outstanding, respectively</w:t>
            </w:r>
          </w:p>
        </w:tc>
        <w:tc>
          <w:tcPr>
            <w:tcW w:w="280" w:type="dxa"/>
            <w:vAlign w:val="bottom"/>
            <w:shd w:val="clear" w:color="auto" w:fill="CFEDF9"/>
          </w:tcPr>
          <w:p>
            <w:pPr>
              <w:spacing w:after="0"/>
              <w:rPr>
                <w:sz w:val="21"/>
                <w:szCs w:val="21"/>
                <w:color w:val="auto"/>
              </w:rPr>
            </w:pPr>
          </w:p>
        </w:tc>
        <w:tc>
          <w:tcPr>
            <w:tcW w:w="240" w:type="dxa"/>
            <w:vAlign w:val="bottom"/>
            <w:shd w:val="clear" w:color="auto" w:fill="CFEDF9"/>
          </w:tcPr>
          <w:p>
            <w:pPr>
              <w:spacing w:after="0"/>
              <w:rPr>
                <w:sz w:val="21"/>
                <w:szCs w:val="21"/>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885</w:t>
            </w:r>
          </w:p>
        </w:tc>
        <w:tc>
          <w:tcPr>
            <w:tcW w:w="18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260" w:type="dxa"/>
            <w:vAlign w:val="bottom"/>
            <w:shd w:val="clear" w:color="auto" w:fill="CFEDF9"/>
          </w:tcPr>
          <w:p>
            <w:pPr>
              <w:spacing w:after="0"/>
              <w:rPr>
                <w:sz w:val="21"/>
                <w:szCs w:val="21"/>
                <w:color w:val="auto"/>
              </w:rPr>
            </w:pPr>
          </w:p>
        </w:tc>
        <w:tc>
          <w:tcPr>
            <w:tcW w:w="14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821</w:t>
            </w:r>
          </w:p>
        </w:tc>
        <w:tc>
          <w:tcPr>
            <w:tcW w:w="10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Additional paid-in capital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1,405,173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1,294,751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Treasury stock at cost; 664,250 and 664,250 shares held, respectively</w:t>
            </w:r>
          </w:p>
        </w:tc>
        <w:tc>
          <w:tcPr>
            <w:tcW w:w="28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64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(10,459)</w:t>
            </w:r>
          </w:p>
        </w:tc>
        <w:tc>
          <w:tcPr>
            <w:tcW w:w="10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56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(10,459)</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Distributable earnings</w:t>
            </w:r>
          </w:p>
        </w:tc>
        <w:tc>
          <w:tcPr>
            <w:tcW w:w="280" w:type="dxa"/>
            <w:vAlign w:val="bottom"/>
            <w:tcBorders>
              <w:bottom w:val="single" w:sz="8" w:color="CFEDF9"/>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1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100,776</w:t>
            </w:r>
          </w:p>
        </w:tc>
        <w:tc>
          <w:tcPr>
            <w:tcW w:w="180" w:type="dxa"/>
            <w:vAlign w:val="bottom"/>
            <w:tcBorders>
              <w:bottom w:val="single" w:sz="8" w:color="CFEDF9"/>
            </w:tcBorders>
          </w:tcPr>
          <w:p>
            <w:pPr>
              <w:spacing w:after="0"/>
              <w:rPr>
                <w:sz w:val="19"/>
                <w:szCs w:val="19"/>
                <w:color w:val="auto"/>
              </w:rPr>
            </w:pPr>
          </w:p>
        </w:tc>
        <w:tc>
          <w:tcPr>
            <w:tcW w:w="100" w:type="dxa"/>
            <w:vAlign w:val="bottom"/>
            <w:tcBorders>
              <w:bottom w:val="single" w:sz="8" w:color="CFEDF9"/>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56,456</w:t>
            </w: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EDF9"/>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231F20"/>
              </w:rPr>
              <w:t>Total Net Assets</w:t>
            </w:r>
          </w:p>
        </w:tc>
        <w:tc>
          <w:tcPr>
            <w:tcW w:w="280" w:type="dxa"/>
            <w:vAlign w:val="bottom"/>
            <w:shd w:val="clear" w:color="auto" w:fill="CFEDF9"/>
          </w:tcPr>
          <w:p>
            <w:pPr>
              <w:spacing w:after="0"/>
              <w:rPr>
                <w:sz w:val="19"/>
                <w:szCs w:val="19"/>
                <w:color w:val="auto"/>
              </w:rPr>
            </w:pPr>
          </w:p>
        </w:tc>
        <w:tc>
          <w:tcPr>
            <w:tcW w:w="240" w:type="dxa"/>
            <w:vAlign w:val="bottom"/>
            <w:tcBorders>
              <w:bottom w:val="single" w:sz="8" w:color="231F20"/>
            </w:tcBorders>
            <w:shd w:val="clear" w:color="auto" w:fill="CFEDF9"/>
          </w:tcPr>
          <w:p>
            <w:pPr>
              <w:spacing w:after="0"/>
              <w:rPr>
                <w:sz w:val="19"/>
                <w:szCs w:val="19"/>
                <w:color w:val="auto"/>
              </w:rPr>
            </w:pPr>
          </w:p>
        </w:tc>
        <w:tc>
          <w:tcPr>
            <w:tcW w:w="14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1,496,375</w:t>
            </w:r>
          </w:p>
        </w:tc>
        <w:tc>
          <w:tcPr>
            <w:tcW w:w="1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60" w:type="dxa"/>
            <w:vAlign w:val="bottom"/>
            <w:tcBorders>
              <w:bottom w:val="single" w:sz="8" w:color="231F20"/>
            </w:tcBorders>
            <w:shd w:val="clear" w:color="auto" w:fill="CFEDF9"/>
          </w:tcPr>
          <w:p>
            <w:pPr>
              <w:spacing w:after="0"/>
              <w:rPr>
                <w:sz w:val="19"/>
                <w:szCs w:val="19"/>
                <w:color w:val="auto"/>
              </w:rPr>
            </w:pPr>
          </w:p>
        </w:tc>
        <w:tc>
          <w:tcPr>
            <w:tcW w:w="14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1,341,569</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720" w:type="dxa"/>
            <w:vAlign w:val="bottom"/>
            <w:tcBorders>
              <w:bottom w:val="single" w:sz="8" w:color="CFEDF9"/>
            </w:tcBorders>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231F20"/>
              </w:rPr>
              <w:t>Total Liabilities and Net Assets</w:t>
            </w:r>
          </w:p>
        </w:tc>
        <w:tc>
          <w:tcPr>
            <w:tcW w:w="280" w:type="dxa"/>
            <w:vAlign w:val="bottom"/>
            <w:tcBorders>
              <w:bottom w:val="single" w:sz="8" w:color="CFEDF9"/>
            </w:tcBorders>
          </w:tcPr>
          <w:p>
            <w:pPr>
              <w:spacing w:after="0"/>
              <w:rPr>
                <w:sz w:val="22"/>
                <w:szCs w:val="22"/>
                <w:color w:val="auto"/>
              </w:rPr>
            </w:pPr>
          </w:p>
        </w:tc>
        <w:tc>
          <w:tcPr>
            <w:tcW w:w="240" w:type="dxa"/>
            <w:vAlign w:val="bottom"/>
            <w:tcBorders>
              <w:bottom w:val="single" w:sz="8" w:color="231F20"/>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3,343,808</w:t>
            </w:r>
          </w:p>
        </w:tc>
        <w:tc>
          <w:tcPr>
            <w:tcW w:w="180" w:type="dxa"/>
            <w:vAlign w:val="bottom"/>
            <w:tcBorders>
              <w:bottom w:val="single" w:sz="8" w:color="CFEDF9"/>
            </w:tcBorders>
          </w:tcPr>
          <w:p>
            <w:pPr>
              <w:spacing w:after="0"/>
              <w:rPr>
                <w:sz w:val="22"/>
                <w:szCs w:val="22"/>
                <w:color w:val="auto"/>
              </w:rPr>
            </w:pPr>
          </w:p>
        </w:tc>
        <w:tc>
          <w:tcPr>
            <w:tcW w:w="100" w:type="dxa"/>
            <w:vAlign w:val="bottom"/>
            <w:tcBorders>
              <w:bottom w:val="single" w:sz="8" w:color="CFEDF9"/>
            </w:tcBorders>
          </w:tcPr>
          <w:p>
            <w:pPr>
              <w:spacing w:after="0"/>
              <w:rPr>
                <w:sz w:val="22"/>
                <w:szCs w:val="22"/>
                <w:color w:val="auto"/>
              </w:rPr>
            </w:pPr>
          </w:p>
        </w:tc>
        <w:tc>
          <w:tcPr>
            <w:tcW w:w="260" w:type="dxa"/>
            <w:vAlign w:val="bottom"/>
            <w:tcBorders>
              <w:bottom w:val="single" w:sz="8" w:color="231F20"/>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2,836,947</w:t>
            </w:r>
          </w:p>
        </w:tc>
        <w:tc>
          <w:tcPr>
            <w:tcW w:w="100" w:type="dxa"/>
            <w:vAlign w:val="bottom"/>
            <w:tcBorders>
              <w:bottom w:val="single" w:sz="8" w:color="CFEDF9"/>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EDF9"/>
          </w:tcPr>
          <w:p>
            <w:pPr>
              <w:ind w:left="400"/>
              <w:spacing w:after="0" w:line="215" w:lineRule="exact"/>
              <w:rPr>
                <w:sz w:val="20"/>
                <w:szCs w:val="20"/>
                <w:color w:val="auto"/>
              </w:rPr>
            </w:pPr>
            <w:r>
              <w:rPr>
                <w:rFonts w:ascii="Times New Roman" w:cs="Times New Roman" w:eastAsia="Times New Roman" w:hAnsi="Times New Roman"/>
                <w:sz w:val="20"/>
                <w:szCs w:val="20"/>
                <w:b w:val="1"/>
                <w:bCs w:val="1"/>
                <w:color w:val="231F20"/>
              </w:rPr>
              <w:t>Net Asset Value Per Share</w:t>
            </w:r>
          </w:p>
        </w:tc>
        <w:tc>
          <w:tcPr>
            <w:tcW w:w="280" w:type="dxa"/>
            <w:vAlign w:val="bottom"/>
            <w:shd w:val="clear" w:color="auto" w:fill="CFEDF9"/>
          </w:tcPr>
          <w:p>
            <w:pPr>
              <w:spacing w:after="0"/>
              <w:rPr>
                <w:sz w:val="18"/>
                <w:szCs w:val="18"/>
                <w:color w:val="auto"/>
              </w:rPr>
            </w:pPr>
          </w:p>
        </w:tc>
        <w:tc>
          <w:tcPr>
            <w:tcW w:w="240" w:type="dxa"/>
            <w:vAlign w:val="bottom"/>
            <w:tcBorders>
              <w:bottom w:val="single" w:sz="8" w:color="231F20"/>
            </w:tcBorders>
            <w:shd w:val="clear" w:color="auto" w:fill="CFEDF9"/>
          </w:tcPr>
          <w:p>
            <w:pPr>
              <w:jc w:val="right"/>
              <w:ind w:right="40"/>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tcBorders>
              <w:bottom w:val="single" w:sz="8" w:color="231F20"/>
            </w:tcBorders>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rPr>
              <w:t>17.04</w:t>
            </w:r>
          </w:p>
        </w:tc>
        <w:tc>
          <w:tcPr>
            <w:tcW w:w="18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260" w:type="dxa"/>
            <w:vAlign w:val="bottom"/>
            <w:tcBorders>
              <w:bottom w:val="single" w:sz="8" w:color="231F20"/>
            </w:tcBorders>
            <w:shd w:val="clear" w:color="auto" w:fill="CFEDF9"/>
          </w:tcPr>
          <w:p>
            <w:pPr>
              <w:jc w:val="right"/>
              <w:ind w:right="60"/>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tcBorders>
              <w:bottom w:val="single" w:sz="8" w:color="231F20"/>
            </w:tcBorders>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rPr>
              <w:t>16.48</w:t>
            </w:r>
          </w:p>
        </w:tc>
        <w:tc>
          <w:tcPr>
            <w:tcW w:w="10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F-4</w:t>
      </w:r>
    </w:p>
    <w:p>
      <w:pPr>
        <w:sectPr>
          <w:pgSz w:w="12240" w:h="15840" w:orient="portrait"/>
          <w:cols w:equalWidth="0" w:num="1">
            <w:col w:w="10800"/>
          </w:cols>
          <w:pgMar w:left="720" w:top="926" w:right="720" w:bottom="175"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231F20"/>
        </w:rPr>
        <w:t>Sixth Street Specialty Lending,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Year Ended</w:t>
            </w:r>
          </w:p>
        </w:tc>
      </w:tr>
      <w:tr>
        <w:trPr>
          <w:trHeight w:val="203"/>
        </w:trPr>
        <w:tc>
          <w:tcPr>
            <w:tcW w:w="5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w w:val="98"/>
              </w:rPr>
              <w:t>December 31, 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8"/>
              </w:rPr>
              <w:t>December 31, 2021</w:t>
            </w:r>
          </w:p>
        </w:tc>
      </w:tr>
      <w:tr>
        <w:trPr>
          <w:trHeight w:val="174"/>
        </w:trPr>
        <w:tc>
          <w:tcPr>
            <w:tcW w:w="5460" w:type="dxa"/>
            <w:vAlign w:val="bottom"/>
            <w:tcBorders>
              <w:top w:val="single" w:sz="8" w:color="CFEDF9"/>
            </w:tcBorders>
            <w:shd w:val="clear" w:color="auto" w:fill="CFEDF9"/>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Income</w:t>
            </w:r>
          </w:p>
        </w:tc>
        <w:tc>
          <w:tcPr>
            <w:tcW w:w="400" w:type="dxa"/>
            <w:vAlign w:val="bottom"/>
            <w:tcBorders>
              <w:top w:val="single" w:sz="8" w:color="CFEDF9"/>
            </w:tcBorders>
            <w:shd w:val="clear" w:color="auto" w:fill="CFEDF9"/>
          </w:tcPr>
          <w:p>
            <w:pPr>
              <w:spacing w:after="0"/>
              <w:rPr>
                <w:sz w:val="15"/>
                <w:szCs w:val="15"/>
                <w:color w:val="auto"/>
              </w:rPr>
            </w:pPr>
          </w:p>
        </w:tc>
        <w:tc>
          <w:tcPr>
            <w:tcW w:w="180" w:type="dxa"/>
            <w:vAlign w:val="bottom"/>
            <w:tcBorders>
              <w:top w:val="single" w:sz="8" w:color="231F20"/>
            </w:tcBorders>
            <w:shd w:val="clear" w:color="auto" w:fill="CFEDF9"/>
          </w:tcPr>
          <w:p>
            <w:pPr>
              <w:spacing w:after="0"/>
              <w:rPr>
                <w:sz w:val="15"/>
                <w:szCs w:val="15"/>
                <w:color w:val="auto"/>
              </w:rPr>
            </w:pPr>
          </w:p>
        </w:tc>
        <w:tc>
          <w:tcPr>
            <w:tcW w:w="1200" w:type="dxa"/>
            <w:vAlign w:val="bottom"/>
            <w:tcBorders>
              <w:top w:val="single" w:sz="8" w:color="231F20"/>
            </w:tcBorders>
            <w:shd w:val="clear" w:color="auto" w:fill="CFEDF9"/>
          </w:tcPr>
          <w:p>
            <w:pPr>
              <w:spacing w:after="0"/>
              <w:rPr>
                <w:sz w:val="15"/>
                <w:szCs w:val="15"/>
                <w:color w:val="auto"/>
              </w:rPr>
            </w:pPr>
          </w:p>
        </w:tc>
        <w:tc>
          <w:tcPr>
            <w:tcW w:w="140" w:type="dxa"/>
            <w:vAlign w:val="bottom"/>
            <w:tcBorders>
              <w:top w:val="single" w:sz="8" w:color="CFEDF9"/>
            </w:tcBorders>
            <w:shd w:val="clear" w:color="auto" w:fill="CFEDF9"/>
          </w:tcPr>
          <w:p>
            <w:pPr>
              <w:spacing w:after="0"/>
              <w:rPr>
                <w:sz w:val="15"/>
                <w:szCs w:val="15"/>
                <w:color w:val="auto"/>
              </w:rPr>
            </w:pPr>
          </w:p>
        </w:tc>
        <w:tc>
          <w:tcPr>
            <w:tcW w:w="100" w:type="dxa"/>
            <w:vAlign w:val="bottom"/>
            <w:tcBorders>
              <w:top w:val="single" w:sz="8" w:color="CFEDF9"/>
            </w:tcBorders>
            <w:shd w:val="clear" w:color="auto" w:fill="CFEDF9"/>
          </w:tcPr>
          <w:p>
            <w:pPr>
              <w:spacing w:after="0"/>
              <w:rPr>
                <w:sz w:val="15"/>
                <w:szCs w:val="15"/>
                <w:color w:val="auto"/>
              </w:rPr>
            </w:pPr>
          </w:p>
        </w:tc>
        <w:tc>
          <w:tcPr>
            <w:tcW w:w="80" w:type="dxa"/>
            <w:vAlign w:val="bottom"/>
            <w:tcBorders>
              <w:top w:val="single" w:sz="8" w:color="231F20"/>
            </w:tcBorders>
            <w:shd w:val="clear" w:color="auto" w:fill="CFEDF9"/>
          </w:tcPr>
          <w:p>
            <w:pPr>
              <w:spacing w:after="0"/>
              <w:rPr>
                <w:sz w:val="15"/>
                <w:szCs w:val="15"/>
                <w:color w:val="auto"/>
              </w:rPr>
            </w:pPr>
          </w:p>
        </w:tc>
        <w:tc>
          <w:tcPr>
            <w:tcW w:w="1400" w:type="dxa"/>
            <w:vAlign w:val="bottom"/>
            <w:tcBorders>
              <w:top w:val="single" w:sz="8" w:color="231F20"/>
            </w:tcBorders>
            <w:shd w:val="clear" w:color="auto" w:fill="CFEDF9"/>
          </w:tcPr>
          <w:p>
            <w:pPr>
              <w:spacing w:after="0"/>
              <w:rPr>
                <w:sz w:val="15"/>
                <w:szCs w:val="15"/>
                <w:color w:val="auto"/>
              </w:rPr>
            </w:pPr>
          </w:p>
        </w:tc>
        <w:tc>
          <w:tcPr>
            <w:tcW w:w="120" w:type="dxa"/>
            <w:vAlign w:val="bottom"/>
            <w:tcBorders>
              <w:top w:val="single" w:sz="8" w:color="CFEDF9"/>
            </w:tcBorders>
            <w:shd w:val="clear" w:color="auto" w:fill="CFEDF9"/>
          </w:tcPr>
          <w:p>
            <w:pPr>
              <w:spacing w:after="0"/>
              <w:rPr>
                <w:sz w:val="15"/>
                <w:szCs w:val="15"/>
                <w:color w:val="auto"/>
              </w:rPr>
            </w:pPr>
          </w:p>
        </w:tc>
        <w:tc>
          <w:tcPr>
            <w:tcW w:w="120" w:type="dxa"/>
            <w:vAlign w:val="bottom"/>
            <w:tcBorders>
              <w:top w:val="single" w:sz="8" w:color="CFEDF9"/>
            </w:tcBorders>
            <w:shd w:val="clear" w:color="auto" w:fill="CFEDF9"/>
          </w:tcPr>
          <w:p>
            <w:pPr>
              <w:spacing w:after="0"/>
              <w:rPr>
                <w:sz w:val="15"/>
                <w:szCs w:val="15"/>
                <w:color w:val="auto"/>
              </w:rPr>
            </w:pPr>
          </w:p>
        </w:tc>
        <w:tc>
          <w:tcPr>
            <w:tcW w:w="100" w:type="dxa"/>
            <w:vAlign w:val="bottom"/>
            <w:tcBorders>
              <w:top w:val="single" w:sz="8" w:color="231F20"/>
            </w:tcBorders>
            <w:shd w:val="clear" w:color="auto" w:fill="CFEDF9"/>
          </w:tcPr>
          <w:p>
            <w:pPr>
              <w:spacing w:after="0"/>
              <w:rPr>
                <w:sz w:val="15"/>
                <w:szCs w:val="15"/>
                <w:color w:val="auto"/>
              </w:rPr>
            </w:pPr>
          </w:p>
        </w:tc>
        <w:tc>
          <w:tcPr>
            <w:tcW w:w="1400" w:type="dxa"/>
            <w:vAlign w:val="bottom"/>
            <w:tcBorders>
              <w:top w:val="single" w:sz="8" w:color="231F20"/>
            </w:tcBorders>
            <w:shd w:val="clear" w:color="auto" w:fill="CFEDF9"/>
          </w:tcPr>
          <w:p>
            <w:pPr>
              <w:spacing w:after="0"/>
              <w:rPr>
                <w:sz w:val="15"/>
                <w:szCs w:val="15"/>
                <w:color w:val="auto"/>
              </w:rPr>
            </w:pPr>
          </w:p>
        </w:tc>
        <w:tc>
          <w:tcPr>
            <w:tcW w:w="100" w:type="dxa"/>
            <w:vAlign w:val="bottom"/>
            <w:tcBorders>
              <w:top w:val="single" w:sz="8" w:color="CFEDF9"/>
            </w:tcBorders>
            <w:shd w:val="clear" w:color="auto" w:fill="CFEDF9"/>
          </w:tcPr>
          <w:p>
            <w:pPr>
              <w:spacing w:after="0"/>
              <w:rPr>
                <w:sz w:val="15"/>
                <w:szCs w:val="15"/>
                <w:color w:val="auto"/>
              </w:rPr>
            </w:pP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231F20"/>
              </w:rPr>
              <w:t>Investment income from non-controlled, non-affiliated investments: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Interest from investments</w:t>
            </w:r>
          </w:p>
        </w:tc>
        <w:tc>
          <w:tcPr>
            <w:tcW w:w="58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411,022</w:t>
            </w:r>
          </w:p>
        </w:tc>
        <w:tc>
          <w:tcPr>
            <w:tcW w:w="140" w:type="dxa"/>
            <w:vAlign w:val="bottom"/>
            <w:shd w:val="clear" w:color="auto" w:fill="CFEDF9"/>
          </w:tcPr>
          <w:p>
            <w:pPr>
              <w:spacing w:after="0"/>
              <w:rPr>
                <w:sz w:val="15"/>
                <w:szCs w:val="15"/>
                <w:color w:val="auto"/>
              </w:rPr>
            </w:pPr>
          </w:p>
        </w:tc>
        <w:tc>
          <w:tcPr>
            <w:tcW w:w="1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292,442</w:t>
            </w:r>
          </w:p>
        </w:tc>
        <w:tc>
          <w:tcPr>
            <w:tcW w:w="120" w:type="dxa"/>
            <w:vAlign w:val="bottom"/>
            <w:shd w:val="clear" w:color="auto" w:fill="CFEDF9"/>
          </w:tcPr>
          <w:p>
            <w:pPr>
              <w:spacing w:after="0"/>
              <w:rPr>
                <w:sz w:val="15"/>
                <w:szCs w:val="15"/>
                <w:color w:val="auto"/>
              </w:rPr>
            </w:pPr>
          </w:p>
        </w:tc>
        <w:tc>
          <w:tcPr>
            <w:tcW w:w="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261,782</w:t>
            </w: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Dividend income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4,181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3,426</w:t>
            </w:r>
          </w:p>
        </w:tc>
        <w:tc>
          <w:tcPr>
            <w:tcW w:w="100" w:type="dxa"/>
            <w:vAlign w:val="bottom"/>
          </w:tcPr>
          <w:p>
            <w:pPr>
              <w:spacing w:after="0"/>
              <w:rPr>
                <w:sz w:val="15"/>
                <w:szCs w:val="15"/>
                <w:color w:val="auto"/>
              </w:rPr>
            </w:pPr>
          </w:p>
        </w:tc>
      </w:tr>
      <w:tr>
        <w:trPr>
          <w:trHeight w:val="18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Other income</w:t>
            </w:r>
          </w:p>
        </w:tc>
        <w:tc>
          <w:tcPr>
            <w:tcW w:w="400" w:type="dxa"/>
            <w:vAlign w:val="bottom"/>
            <w:shd w:val="clear" w:color="auto" w:fill="CFEDF9"/>
          </w:tcPr>
          <w:p>
            <w:pPr>
              <w:spacing w:after="0"/>
              <w:rPr>
                <w:sz w:val="15"/>
                <w:szCs w:val="15"/>
                <w:color w:val="auto"/>
              </w:rPr>
            </w:pPr>
          </w:p>
        </w:tc>
        <w:tc>
          <w:tcPr>
            <w:tcW w:w="180" w:type="dxa"/>
            <w:vAlign w:val="bottom"/>
            <w:tcBorders>
              <w:bottom w:val="single" w:sz="8" w:color="231F20"/>
            </w:tcBorders>
            <w:shd w:val="clear" w:color="auto" w:fill="CFEDF9"/>
          </w:tcPr>
          <w:p>
            <w:pPr>
              <w:spacing w:after="0"/>
              <w:rPr>
                <w:sz w:val="15"/>
                <w:szCs w:val="15"/>
                <w:color w:val="auto"/>
              </w:rPr>
            </w:pPr>
          </w:p>
        </w:tc>
        <w:tc>
          <w:tcPr>
            <w:tcW w:w="12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15,122</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tcBorders>
              <w:bottom w:val="single" w:sz="8" w:color="231F20"/>
            </w:tcBorders>
            <w:shd w:val="clear" w:color="auto" w:fill="CFEDF9"/>
          </w:tcPr>
          <w:p>
            <w:pPr>
              <w:spacing w:after="0"/>
              <w:rPr>
                <w:sz w:val="15"/>
                <w:szCs w:val="15"/>
                <w:color w:val="auto"/>
              </w:rPr>
            </w:pPr>
          </w:p>
        </w:tc>
        <w:tc>
          <w:tcPr>
            <w:tcW w:w="14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9,502</w:t>
            </w:r>
          </w:p>
        </w:tc>
        <w:tc>
          <w:tcPr>
            <w:tcW w:w="120" w:type="dxa"/>
            <w:vAlign w:val="bottom"/>
            <w:shd w:val="clear" w:color="auto" w:fill="CFEDF9"/>
          </w:tcPr>
          <w:p>
            <w:pPr>
              <w:spacing w:after="0"/>
              <w:rPr>
                <w:sz w:val="15"/>
                <w:szCs w:val="15"/>
                <w:color w:val="auto"/>
              </w:rPr>
            </w:pPr>
          </w:p>
        </w:tc>
        <w:tc>
          <w:tcPr>
            <w:tcW w:w="120" w:type="dxa"/>
            <w:vAlign w:val="bottom"/>
            <w:tcBorders>
              <w:bottom w:val="single" w:sz="8" w:color="231F20"/>
            </w:tcBorders>
            <w:shd w:val="clear" w:color="auto" w:fill="CFEDF9"/>
          </w:tcPr>
          <w:p>
            <w:pPr>
              <w:spacing w:after="0"/>
              <w:rPr>
                <w:sz w:val="15"/>
                <w:szCs w:val="15"/>
                <w:color w:val="auto"/>
              </w:rPr>
            </w:pPr>
          </w:p>
        </w:tc>
        <w:tc>
          <w:tcPr>
            <w:tcW w:w="100" w:type="dxa"/>
            <w:vAlign w:val="bottom"/>
            <w:tcBorders>
              <w:bottom w:val="single" w:sz="8" w:color="231F20"/>
            </w:tcBorders>
            <w:shd w:val="clear" w:color="auto" w:fill="CFEDF9"/>
          </w:tcPr>
          <w:p>
            <w:pPr>
              <w:spacing w:after="0"/>
              <w:rPr>
                <w:sz w:val="15"/>
                <w:szCs w:val="15"/>
                <w:color w:val="auto"/>
              </w:rPr>
            </w:pPr>
          </w:p>
        </w:tc>
        <w:tc>
          <w:tcPr>
            <w:tcW w:w="14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7,751</w:t>
            </w:r>
          </w:p>
        </w:tc>
        <w:tc>
          <w:tcPr>
            <w:tcW w:w="100" w:type="dxa"/>
            <w:vAlign w:val="bottom"/>
            <w:shd w:val="clear" w:color="auto" w:fill="CFEDF9"/>
          </w:tcPr>
          <w:p>
            <w:pPr>
              <w:spacing w:after="0"/>
              <w:rPr>
                <w:sz w:val="15"/>
                <w:szCs w:val="15"/>
                <w:color w:val="auto"/>
              </w:rPr>
            </w:pPr>
          </w:p>
        </w:tc>
      </w:tr>
      <w:tr>
        <w:trPr>
          <w:trHeight w:val="174"/>
        </w:trPr>
        <w:tc>
          <w:tcPr>
            <w:tcW w:w="5460" w:type="dxa"/>
            <w:vAlign w:val="bottom"/>
          </w:tcPr>
          <w:p>
            <w:pPr>
              <w:ind w:left="400"/>
              <w:spacing w:after="0" w:line="174" w:lineRule="exact"/>
              <w:rPr>
                <w:sz w:val="20"/>
                <w:szCs w:val="20"/>
                <w:color w:val="auto"/>
              </w:rPr>
            </w:pPr>
            <w:r>
              <w:rPr>
                <w:rFonts w:ascii="Times New Roman" w:cs="Times New Roman" w:eastAsia="Times New Roman" w:hAnsi="Times New Roman"/>
                <w:sz w:val="16"/>
                <w:szCs w:val="16"/>
                <w:color w:val="231F20"/>
              </w:rPr>
              <w:t>Total investment income from non-controlled, non-affiliated investments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430,325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304,103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272,959</w:t>
            </w:r>
          </w:p>
        </w:tc>
        <w:tc>
          <w:tcPr>
            <w:tcW w:w="100" w:type="dxa"/>
            <w:vAlign w:val="bottom"/>
          </w:tcPr>
          <w:p>
            <w:pPr>
              <w:spacing w:after="0"/>
              <w:rPr>
                <w:sz w:val="15"/>
                <w:szCs w:val="15"/>
                <w:color w:val="auto"/>
              </w:rPr>
            </w:pPr>
          </w:p>
        </w:tc>
      </w:tr>
      <w:tr>
        <w:trPr>
          <w:trHeight w:val="184"/>
        </w:trPr>
        <w:tc>
          <w:tcPr>
            <w:tcW w:w="546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Investment income from non-controlled, affiliated investments: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Interest from investments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838</w:t>
            </w:r>
          </w:p>
        </w:tc>
        <w:tc>
          <w:tcPr>
            <w:tcW w:w="100" w:type="dxa"/>
            <w:vAlign w:val="bottom"/>
          </w:tcPr>
          <w:p>
            <w:pPr>
              <w:spacing w:after="0"/>
              <w:rPr>
                <w:sz w:val="15"/>
                <w:szCs w:val="15"/>
                <w:color w:val="auto"/>
              </w:rPr>
            </w:pPr>
          </w:p>
        </w:tc>
      </w:tr>
      <w:tr>
        <w:trPr>
          <w:trHeight w:val="18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Dividend income</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34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52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740</w:t>
            </w: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Other income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r>
      <w:tr>
        <w:trPr>
          <w:trHeight w:val="174"/>
        </w:trPr>
        <w:tc>
          <w:tcPr>
            <w:tcW w:w="5460" w:type="dxa"/>
            <w:vAlign w:val="bottom"/>
            <w:tcBorders>
              <w:top w:val="single" w:sz="8" w:color="CFEDF9"/>
            </w:tcBorders>
            <w:shd w:val="clear" w:color="auto" w:fill="CFEDF9"/>
          </w:tcPr>
          <w:p>
            <w:pPr>
              <w:ind w:left="400"/>
              <w:spacing w:after="0" w:line="174" w:lineRule="exact"/>
              <w:rPr>
                <w:sz w:val="20"/>
                <w:szCs w:val="20"/>
                <w:color w:val="auto"/>
              </w:rPr>
            </w:pPr>
            <w:r>
              <w:rPr>
                <w:rFonts w:ascii="Times New Roman" w:cs="Times New Roman" w:eastAsia="Times New Roman" w:hAnsi="Times New Roman"/>
                <w:sz w:val="16"/>
                <w:szCs w:val="16"/>
                <w:color w:val="231F20"/>
              </w:rPr>
              <w:t>Total investment income from non-controlled, affiliated investments</w:t>
            </w:r>
          </w:p>
        </w:tc>
        <w:tc>
          <w:tcPr>
            <w:tcW w:w="400" w:type="dxa"/>
            <w:vAlign w:val="bottom"/>
            <w:tcBorders>
              <w:top w:val="single" w:sz="8" w:color="CFEDF9"/>
            </w:tcBorders>
            <w:shd w:val="clear" w:color="auto" w:fill="CFEDF9"/>
          </w:tcPr>
          <w:p>
            <w:pPr>
              <w:spacing w:after="0"/>
              <w:rPr>
                <w:sz w:val="15"/>
                <w:szCs w:val="15"/>
                <w:color w:val="auto"/>
              </w:rPr>
            </w:pPr>
          </w:p>
        </w:tc>
        <w:tc>
          <w:tcPr>
            <w:tcW w:w="180" w:type="dxa"/>
            <w:vAlign w:val="bottom"/>
            <w:tcBorders>
              <w:top w:val="single" w:sz="8" w:color="231F20"/>
            </w:tcBorders>
            <w:shd w:val="clear" w:color="auto" w:fill="CFEDF9"/>
          </w:tcPr>
          <w:p>
            <w:pPr>
              <w:spacing w:after="0"/>
              <w:rPr>
                <w:sz w:val="15"/>
                <w:szCs w:val="15"/>
                <w:color w:val="auto"/>
              </w:rPr>
            </w:pPr>
          </w:p>
        </w:tc>
        <w:tc>
          <w:tcPr>
            <w:tcW w:w="120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40" w:type="dxa"/>
            <w:vAlign w:val="bottom"/>
            <w:tcBorders>
              <w:top w:val="single" w:sz="8" w:color="CFEDF9"/>
            </w:tcBorders>
            <w:shd w:val="clear" w:color="auto" w:fill="CFEDF9"/>
          </w:tcPr>
          <w:p>
            <w:pPr>
              <w:spacing w:after="0"/>
              <w:rPr>
                <w:sz w:val="15"/>
                <w:szCs w:val="15"/>
                <w:color w:val="auto"/>
              </w:rPr>
            </w:pPr>
          </w:p>
        </w:tc>
        <w:tc>
          <w:tcPr>
            <w:tcW w:w="100" w:type="dxa"/>
            <w:vAlign w:val="bottom"/>
            <w:tcBorders>
              <w:top w:val="single" w:sz="8" w:color="CFEDF9"/>
            </w:tcBorders>
            <w:shd w:val="clear" w:color="auto" w:fill="CFEDF9"/>
          </w:tcPr>
          <w:p>
            <w:pPr>
              <w:spacing w:after="0"/>
              <w:rPr>
                <w:sz w:val="15"/>
                <w:szCs w:val="15"/>
                <w:color w:val="auto"/>
              </w:rPr>
            </w:pPr>
          </w:p>
        </w:tc>
        <w:tc>
          <w:tcPr>
            <w:tcW w:w="80" w:type="dxa"/>
            <w:vAlign w:val="bottom"/>
            <w:tcBorders>
              <w:top w:val="single" w:sz="8" w:color="231F20"/>
            </w:tcBorders>
            <w:shd w:val="clear" w:color="auto" w:fill="CFEDF9"/>
          </w:tcPr>
          <w:p>
            <w:pPr>
              <w:spacing w:after="0"/>
              <w:rPr>
                <w:sz w:val="15"/>
                <w:szCs w:val="15"/>
                <w:color w:val="auto"/>
              </w:rPr>
            </w:pPr>
          </w:p>
        </w:tc>
        <w:tc>
          <w:tcPr>
            <w:tcW w:w="140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133</w:t>
            </w:r>
          </w:p>
        </w:tc>
        <w:tc>
          <w:tcPr>
            <w:tcW w:w="120" w:type="dxa"/>
            <w:vAlign w:val="bottom"/>
            <w:tcBorders>
              <w:top w:val="single" w:sz="8" w:color="CFEDF9"/>
            </w:tcBorders>
            <w:shd w:val="clear" w:color="auto" w:fill="CFEDF9"/>
          </w:tcPr>
          <w:p>
            <w:pPr>
              <w:spacing w:after="0"/>
              <w:rPr>
                <w:sz w:val="15"/>
                <w:szCs w:val="15"/>
                <w:color w:val="auto"/>
              </w:rPr>
            </w:pPr>
          </w:p>
        </w:tc>
        <w:tc>
          <w:tcPr>
            <w:tcW w:w="120" w:type="dxa"/>
            <w:vAlign w:val="bottom"/>
            <w:tcBorders>
              <w:top w:val="single" w:sz="8" w:color="231F20"/>
            </w:tcBorders>
            <w:shd w:val="clear" w:color="auto" w:fill="CFEDF9"/>
          </w:tcPr>
          <w:p>
            <w:pPr>
              <w:spacing w:after="0"/>
              <w:rPr>
                <w:sz w:val="15"/>
                <w:szCs w:val="15"/>
                <w:color w:val="auto"/>
              </w:rPr>
            </w:pPr>
          </w:p>
        </w:tc>
        <w:tc>
          <w:tcPr>
            <w:tcW w:w="100" w:type="dxa"/>
            <w:vAlign w:val="bottom"/>
            <w:tcBorders>
              <w:top w:val="single" w:sz="8" w:color="231F20"/>
            </w:tcBorders>
            <w:shd w:val="clear" w:color="auto" w:fill="CFEDF9"/>
          </w:tcPr>
          <w:p>
            <w:pPr>
              <w:spacing w:after="0"/>
              <w:rPr>
                <w:sz w:val="15"/>
                <w:szCs w:val="15"/>
                <w:color w:val="auto"/>
              </w:rPr>
            </w:pPr>
          </w:p>
        </w:tc>
        <w:tc>
          <w:tcPr>
            <w:tcW w:w="140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1,578</w:t>
            </w:r>
          </w:p>
        </w:tc>
        <w:tc>
          <w:tcPr>
            <w:tcW w:w="100" w:type="dxa"/>
            <w:vAlign w:val="bottom"/>
            <w:tcBorders>
              <w:top w:val="single" w:sz="8" w:color="CFEDF9"/>
            </w:tcBorders>
            <w:shd w:val="clear" w:color="auto" w:fill="CFEDF9"/>
          </w:tcPr>
          <w:p>
            <w:pPr>
              <w:spacing w:after="0"/>
              <w:rPr>
                <w:sz w:val="15"/>
                <w:szCs w:val="15"/>
                <w:color w:val="auto"/>
              </w:rPr>
            </w:pP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231F20"/>
              </w:rPr>
              <w:t>Investment income from controlled, affiliated investments: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Interest from investments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7,756</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5,064</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4,039</w:t>
            </w: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Borders>
              <w:bottom w:val="single" w:sz="8" w:color="CFEDF9"/>
            </w:tcBorders>
          </w:tcPr>
          <w:p>
            <w:pPr>
              <w:ind w:left="200"/>
              <w:spacing w:after="0"/>
              <w:rPr>
                <w:sz w:val="20"/>
                <w:szCs w:val="20"/>
                <w:color w:val="auto"/>
              </w:rPr>
            </w:pPr>
            <w:r>
              <w:rPr>
                <w:rFonts w:ascii="Times New Roman" w:cs="Times New Roman" w:eastAsia="Times New Roman" w:hAnsi="Times New Roman"/>
                <w:sz w:val="16"/>
                <w:szCs w:val="16"/>
                <w:color w:val="231F20"/>
              </w:rPr>
              <w:t>Other income</w:t>
            </w:r>
          </w:p>
        </w:tc>
        <w:tc>
          <w:tcPr>
            <w:tcW w:w="400" w:type="dxa"/>
            <w:vAlign w:val="bottom"/>
            <w:tcBorders>
              <w:bottom w:val="single" w:sz="8" w:color="CFEDF9"/>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140" w:type="dxa"/>
            <w:vAlign w:val="bottom"/>
            <w:tcBorders>
              <w:bottom w:val="single" w:sz="8" w:color="CFEDF9"/>
            </w:tcBorders>
          </w:tcPr>
          <w:p>
            <w:pPr>
              <w:spacing w:after="0"/>
              <w:rPr>
                <w:sz w:val="15"/>
                <w:szCs w:val="15"/>
                <w:color w:val="auto"/>
              </w:rPr>
            </w:pPr>
          </w:p>
        </w:tc>
        <w:tc>
          <w:tcPr>
            <w:tcW w:w="100" w:type="dxa"/>
            <w:vAlign w:val="bottom"/>
            <w:tcBorders>
              <w:bottom w:val="single" w:sz="8" w:color="CFEDF9"/>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120" w:type="dxa"/>
            <w:vAlign w:val="bottom"/>
            <w:tcBorders>
              <w:bottom w:val="single" w:sz="8" w:color="CFEDF9"/>
            </w:tcBorders>
          </w:tcPr>
          <w:p>
            <w:pPr>
              <w:spacing w:after="0"/>
              <w:rPr>
                <w:sz w:val="15"/>
                <w:szCs w:val="15"/>
                <w:color w:val="auto"/>
              </w:rPr>
            </w:pPr>
          </w:p>
        </w:tc>
        <w:tc>
          <w:tcPr>
            <w:tcW w:w="120" w:type="dxa"/>
            <w:vAlign w:val="bottom"/>
            <w:tcBorders>
              <w:bottom w:val="single" w:sz="8" w:color="CFEDF9"/>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17</w:t>
            </w:r>
          </w:p>
        </w:tc>
        <w:tc>
          <w:tcPr>
            <w:tcW w:w="100" w:type="dxa"/>
            <w:vAlign w:val="bottom"/>
            <w:tcBorders>
              <w:bottom w:val="single" w:sz="8" w:color="CFEDF9"/>
            </w:tcBorders>
          </w:tcPr>
          <w:p>
            <w:pPr>
              <w:spacing w:after="0"/>
              <w:rPr>
                <w:sz w:val="15"/>
                <w:szCs w:val="15"/>
                <w:color w:val="auto"/>
              </w:rPr>
            </w:pPr>
          </w:p>
        </w:tc>
      </w:tr>
      <w:tr>
        <w:trPr>
          <w:trHeight w:val="174"/>
        </w:trPr>
        <w:tc>
          <w:tcPr>
            <w:tcW w:w="5460" w:type="dxa"/>
            <w:vAlign w:val="bottom"/>
            <w:shd w:val="clear" w:color="auto" w:fill="CFEDF9"/>
          </w:tcPr>
          <w:p>
            <w:pPr>
              <w:ind w:left="400"/>
              <w:spacing w:after="0" w:line="174" w:lineRule="exact"/>
              <w:rPr>
                <w:sz w:val="20"/>
                <w:szCs w:val="20"/>
                <w:color w:val="auto"/>
              </w:rPr>
            </w:pPr>
            <w:r>
              <w:rPr>
                <w:rFonts w:ascii="Times New Roman" w:cs="Times New Roman" w:eastAsia="Times New Roman" w:hAnsi="Times New Roman"/>
                <w:sz w:val="16"/>
                <w:szCs w:val="16"/>
                <w:color w:val="231F20"/>
              </w:rPr>
              <w:t>Total investment income from controlled, affiliated investments</w:t>
            </w:r>
          </w:p>
        </w:tc>
        <w:tc>
          <w:tcPr>
            <w:tcW w:w="400" w:type="dxa"/>
            <w:vAlign w:val="bottom"/>
            <w:shd w:val="clear" w:color="auto" w:fill="CFEDF9"/>
          </w:tcPr>
          <w:p>
            <w:pPr>
              <w:spacing w:after="0"/>
              <w:rPr>
                <w:sz w:val="15"/>
                <w:szCs w:val="15"/>
                <w:color w:val="auto"/>
              </w:rPr>
            </w:pPr>
          </w:p>
        </w:tc>
        <w:tc>
          <w:tcPr>
            <w:tcW w:w="180" w:type="dxa"/>
            <w:vAlign w:val="bottom"/>
            <w:tcBorders>
              <w:bottom w:val="single" w:sz="8" w:color="231F20"/>
            </w:tcBorders>
            <w:shd w:val="clear" w:color="auto" w:fill="CFEDF9"/>
          </w:tcPr>
          <w:p>
            <w:pPr>
              <w:spacing w:after="0"/>
              <w:rPr>
                <w:sz w:val="15"/>
                <w:szCs w:val="15"/>
                <w:color w:val="auto"/>
              </w:rPr>
            </w:pPr>
          </w:p>
        </w:tc>
        <w:tc>
          <w:tcPr>
            <w:tcW w:w="12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7,762</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tcBorders>
              <w:bottom w:val="single" w:sz="8" w:color="231F20"/>
            </w:tcBorders>
            <w:shd w:val="clear" w:color="auto" w:fill="CFEDF9"/>
          </w:tcPr>
          <w:p>
            <w:pPr>
              <w:spacing w:after="0"/>
              <w:rPr>
                <w:sz w:val="15"/>
                <w:szCs w:val="15"/>
                <w:color w:val="auto"/>
              </w:rPr>
            </w:pP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5,069</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tcBorders>
              <w:bottom w:val="single" w:sz="8" w:color="231F20"/>
            </w:tcBorders>
            <w:shd w:val="clear" w:color="auto" w:fill="CFEDF9"/>
          </w:tcPr>
          <w:p>
            <w:pPr>
              <w:spacing w:after="0"/>
              <w:rPr>
                <w:sz w:val="15"/>
                <w:szCs w:val="15"/>
                <w:color w:val="auto"/>
              </w:rPr>
            </w:pP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4,056</w:t>
            </w:r>
          </w:p>
        </w:tc>
        <w:tc>
          <w:tcPr>
            <w:tcW w:w="100" w:type="dxa"/>
            <w:vAlign w:val="bottom"/>
            <w:shd w:val="clear" w:color="auto" w:fill="CFEDF9"/>
          </w:tcPr>
          <w:p>
            <w:pPr>
              <w:spacing w:after="0"/>
              <w:rPr>
                <w:sz w:val="15"/>
                <w:szCs w:val="15"/>
                <w:color w:val="auto"/>
              </w:rPr>
            </w:pPr>
          </w:p>
        </w:tc>
      </w:tr>
      <w:tr>
        <w:trPr>
          <w:trHeight w:val="174"/>
        </w:trPr>
        <w:tc>
          <w:tcPr>
            <w:tcW w:w="5460" w:type="dxa"/>
            <w:vAlign w:val="bottom"/>
            <w:tcBorders>
              <w:bottom w:val="single" w:sz="8" w:color="CFEDF9"/>
            </w:tcBorders>
          </w:tcPr>
          <w:p>
            <w:pPr>
              <w:ind w:left="600"/>
              <w:spacing w:after="0" w:line="174" w:lineRule="exact"/>
              <w:rPr>
                <w:sz w:val="20"/>
                <w:szCs w:val="20"/>
                <w:color w:val="auto"/>
              </w:rPr>
            </w:pPr>
            <w:r>
              <w:rPr>
                <w:rFonts w:ascii="Times New Roman" w:cs="Times New Roman" w:eastAsia="Times New Roman" w:hAnsi="Times New Roman"/>
                <w:sz w:val="16"/>
                <w:szCs w:val="16"/>
                <w:b w:val="1"/>
                <w:bCs w:val="1"/>
                <w:color w:val="231F20"/>
              </w:rPr>
              <w:t>Total Investment Income</w:t>
            </w:r>
          </w:p>
        </w:tc>
        <w:tc>
          <w:tcPr>
            <w:tcW w:w="400" w:type="dxa"/>
            <w:vAlign w:val="bottom"/>
            <w:tcBorders>
              <w:bottom w:val="single" w:sz="8" w:color="CFEDF9"/>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438,087</w:t>
            </w:r>
          </w:p>
        </w:tc>
        <w:tc>
          <w:tcPr>
            <w:tcW w:w="140" w:type="dxa"/>
            <w:vAlign w:val="bottom"/>
            <w:tcBorders>
              <w:bottom w:val="single" w:sz="8" w:color="CFEDF9"/>
            </w:tcBorders>
          </w:tcPr>
          <w:p>
            <w:pPr>
              <w:spacing w:after="0"/>
              <w:rPr>
                <w:sz w:val="15"/>
                <w:szCs w:val="15"/>
                <w:color w:val="auto"/>
              </w:rPr>
            </w:pPr>
          </w:p>
        </w:tc>
        <w:tc>
          <w:tcPr>
            <w:tcW w:w="100" w:type="dxa"/>
            <w:vAlign w:val="bottom"/>
            <w:tcBorders>
              <w:bottom w:val="single" w:sz="8" w:color="CFEDF9"/>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309,305</w:t>
            </w:r>
          </w:p>
        </w:tc>
        <w:tc>
          <w:tcPr>
            <w:tcW w:w="120" w:type="dxa"/>
            <w:vAlign w:val="bottom"/>
            <w:tcBorders>
              <w:bottom w:val="single" w:sz="8" w:color="CFEDF9"/>
            </w:tcBorders>
          </w:tcPr>
          <w:p>
            <w:pPr>
              <w:spacing w:after="0"/>
              <w:rPr>
                <w:sz w:val="15"/>
                <w:szCs w:val="15"/>
                <w:color w:val="auto"/>
              </w:rPr>
            </w:pPr>
          </w:p>
        </w:tc>
        <w:tc>
          <w:tcPr>
            <w:tcW w:w="120" w:type="dxa"/>
            <w:vAlign w:val="bottom"/>
            <w:tcBorders>
              <w:bottom w:val="single" w:sz="8" w:color="CFEDF9"/>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278,593</w:t>
            </w:r>
          </w:p>
        </w:tc>
        <w:tc>
          <w:tcPr>
            <w:tcW w:w="100" w:type="dxa"/>
            <w:vAlign w:val="bottom"/>
            <w:tcBorders>
              <w:bottom w:val="single" w:sz="8" w:color="CFEDF9"/>
            </w:tcBorders>
          </w:tcPr>
          <w:p>
            <w:pPr>
              <w:spacing w:after="0"/>
              <w:rPr>
                <w:sz w:val="15"/>
                <w:szCs w:val="15"/>
                <w:color w:val="auto"/>
              </w:rPr>
            </w:pPr>
          </w:p>
        </w:tc>
      </w:tr>
      <w:tr>
        <w:trPr>
          <w:trHeight w:val="174"/>
        </w:trPr>
        <w:tc>
          <w:tcPr>
            <w:tcW w:w="5460" w:type="dxa"/>
            <w:vAlign w:val="bottom"/>
            <w:shd w:val="clear" w:color="auto" w:fill="CFEDF9"/>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Expenses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231F20"/>
              </w:rPr>
              <w:t>Interest</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133,731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62,991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38,825</w:t>
            </w:r>
          </w:p>
        </w:tc>
        <w:tc>
          <w:tcPr>
            <w:tcW w:w="100" w:type="dxa"/>
            <w:vAlign w:val="bottom"/>
          </w:tcPr>
          <w:p>
            <w:pPr>
              <w:spacing w:after="0"/>
              <w:rPr>
                <w:sz w:val="16"/>
                <w:szCs w:val="16"/>
                <w:color w:val="auto"/>
              </w:rPr>
            </w:pPr>
          </w:p>
        </w:tc>
      </w:tr>
      <w:tr>
        <w:trPr>
          <w:trHeight w:val="184"/>
        </w:trPr>
        <w:tc>
          <w:tcPr>
            <w:tcW w:w="546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Management fees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46,382</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39,900</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37,081</w:t>
            </w: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231F20"/>
              </w:rPr>
              <w:t>Incentive fees on net investment income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42,590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33,401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33,062</w:t>
            </w:r>
          </w:p>
        </w:tc>
        <w:tc>
          <w:tcPr>
            <w:tcW w:w="100" w:type="dxa"/>
            <w:vAlign w:val="bottom"/>
          </w:tcPr>
          <w:p>
            <w:pPr>
              <w:spacing w:after="0"/>
              <w:rPr>
                <w:sz w:val="15"/>
                <w:szCs w:val="15"/>
                <w:color w:val="auto"/>
              </w:rPr>
            </w:pPr>
          </w:p>
        </w:tc>
      </w:tr>
      <w:tr>
        <w:trPr>
          <w:trHeight w:val="184"/>
        </w:trPr>
        <w:tc>
          <w:tcPr>
            <w:tcW w:w="546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Incentive fees on net capital gains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4,382</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52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(8,864)</w:t>
            </w: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13,507</w:t>
            </w: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231F20"/>
              </w:rPr>
              <w:t>Professional fees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7,323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7,192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6,586</w:t>
            </w:r>
          </w:p>
        </w:tc>
        <w:tc>
          <w:tcPr>
            <w:tcW w:w="100" w:type="dxa"/>
            <w:vAlign w:val="bottom"/>
          </w:tcPr>
          <w:p>
            <w:pPr>
              <w:spacing w:after="0"/>
              <w:rPr>
                <w:sz w:val="15"/>
                <w:szCs w:val="15"/>
                <w:color w:val="auto"/>
              </w:rPr>
            </w:pPr>
          </w:p>
        </w:tc>
      </w:tr>
      <w:tr>
        <w:trPr>
          <w:trHeight w:val="184"/>
        </w:trPr>
        <w:tc>
          <w:tcPr>
            <w:tcW w:w="546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Directors’ fees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806</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736</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743</w:t>
            </w: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Other general and administrative</w:t>
            </w:r>
          </w:p>
        </w:tc>
        <w:tc>
          <w:tcPr>
            <w:tcW w:w="400" w:type="dxa"/>
            <w:vAlign w:val="bottom"/>
            <w:tcBorders>
              <w:bottom w:val="single" w:sz="8" w:color="CFEDF9"/>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5,280</w:t>
            </w:r>
          </w:p>
        </w:tc>
        <w:tc>
          <w:tcPr>
            <w:tcW w:w="140" w:type="dxa"/>
            <w:vAlign w:val="bottom"/>
            <w:tcBorders>
              <w:bottom w:val="single" w:sz="8" w:color="CFEDF9"/>
            </w:tcBorders>
          </w:tcPr>
          <w:p>
            <w:pPr>
              <w:spacing w:after="0"/>
              <w:rPr>
                <w:sz w:val="15"/>
                <w:szCs w:val="15"/>
                <w:color w:val="auto"/>
              </w:rPr>
            </w:pPr>
          </w:p>
        </w:tc>
        <w:tc>
          <w:tcPr>
            <w:tcW w:w="100" w:type="dxa"/>
            <w:vAlign w:val="bottom"/>
            <w:tcBorders>
              <w:bottom w:val="single" w:sz="8" w:color="CFEDF9"/>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5,427</w:t>
            </w:r>
          </w:p>
        </w:tc>
        <w:tc>
          <w:tcPr>
            <w:tcW w:w="120" w:type="dxa"/>
            <w:vAlign w:val="bottom"/>
            <w:tcBorders>
              <w:bottom w:val="single" w:sz="8" w:color="CFEDF9"/>
            </w:tcBorders>
          </w:tcPr>
          <w:p>
            <w:pPr>
              <w:spacing w:after="0"/>
              <w:rPr>
                <w:sz w:val="15"/>
                <w:szCs w:val="15"/>
                <w:color w:val="auto"/>
              </w:rPr>
            </w:pPr>
          </w:p>
        </w:tc>
        <w:tc>
          <w:tcPr>
            <w:tcW w:w="120" w:type="dxa"/>
            <w:vAlign w:val="bottom"/>
            <w:tcBorders>
              <w:bottom w:val="single" w:sz="8" w:color="CFEDF9"/>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6,236</w:t>
            </w:r>
          </w:p>
        </w:tc>
        <w:tc>
          <w:tcPr>
            <w:tcW w:w="100" w:type="dxa"/>
            <w:vAlign w:val="bottom"/>
            <w:tcBorders>
              <w:bottom w:val="single" w:sz="8" w:color="CFEDF9"/>
            </w:tcBorders>
          </w:tcPr>
          <w:p>
            <w:pPr>
              <w:spacing w:after="0"/>
              <w:rPr>
                <w:sz w:val="15"/>
                <w:szCs w:val="15"/>
                <w:color w:val="auto"/>
              </w:rPr>
            </w:pPr>
          </w:p>
        </w:tc>
      </w:tr>
      <w:tr>
        <w:trPr>
          <w:trHeight w:val="194"/>
        </w:trPr>
        <w:tc>
          <w:tcPr>
            <w:tcW w:w="5460" w:type="dxa"/>
            <w:vAlign w:val="bottom"/>
            <w:tcBorders>
              <w:bottom w:val="single" w:sz="8" w:color="CFEDF9"/>
            </w:tcBorders>
            <w:shd w:val="clear" w:color="auto" w:fill="CFEDF9"/>
          </w:tcPr>
          <w:p>
            <w:pPr>
              <w:ind w:left="400"/>
              <w:spacing w:after="0" w:line="174" w:lineRule="exact"/>
              <w:rPr>
                <w:sz w:val="20"/>
                <w:szCs w:val="20"/>
                <w:color w:val="auto"/>
              </w:rPr>
            </w:pPr>
            <w:r>
              <w:rPr>
                <w:rFonts w:ascii="Times New Roman" w:cs="Times New Roman" w:eastAsia="Times New Roman" w:hAnsi="Times New Roman"/>
                <w:sz w:val="16"/>
                <w:szCs w:val="16"/>
                <w:color w:val="231F20"/>
              </w:rPr>
              <w:t>Total expenses</w:t>
            </w:r>
          </w:p>
        </w:tc>
        <w:tc>
          <w:tcPr>
            <w:tcW w:w="400" w:type="dxa"/>
            <w:vAlign w:val="bottom"/>
            <w:tcBorders>
              <w:bottom w:val="single" w:sz="8" w:color="CFEDF9"/>
            </w:tcBorders>
            <w:shd w:val="clear" w:color="auto" w:fill="CFEDF9"/>
          </w:tcPr>
          <w:p>
            <w:pPr>
              <w:spacing w:after="0"/>
              <w:rPr>
                <w:sz w:val="16"/>
                <w:szCs w:val="16"/>
                <w:color w:val="auto"/>
              </w:rPr>
            </w:pPr>
          </w:p>
        </w:tc>
        <w:tc>
          <w:tcPr>
            <w:tcW w:w="180" w:type="dxa"/>
            <w:vAlign w:val="bottom"/>
            <w:tcBorders>
              <w:bottom w:val="single" w:sz="8" w:color="231F20"/>
            </w:tcBorders>
            <w:shd w:val="clear" w:color="auto" w:fill="CFEDF9"/>
          </w:tcPr>
          <w:p>
            <w:pPr>
              <w:spacing w:after="0"/>
              <w:rPr>
                <w:sz w:val="16"/>
                <w:szCs w:val="16"/>
                <w:color w:val="auto"/>
              </w:rPr>
            </w:pPr>
          </w:p>
        </w:tc>
        <w:tc>
          <w:tcPr>
            <w:tcW w:w="12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240,494</w:t>
            </w:r>
          </w:p>
        </w:tc>
        <w:tc>
          <w:tcPr>
            <w:tcW w:w="140" w:type="dxa"/>
            <w:vAlign w:val="bottom"/>
            <w:tcBorders>
              <w:bottom w:val="single" w:sz="8" w:color="CFEDF9"/>
            </w:tcBorders>
            <w:shd w:val="clear" w:color="auto" w:fill="CFEDF9"/>
          </w:tcPr>
          <w:p>
            <w:pPr>
              <w:spacing w:after="0"/>
              <w:rPr>
                <w:sz w:val="16"/>
                <w:szCs w:val="16"/>
                <w:color w:val="auto"/>
              </w:rPr>
            </w:pPr>
          </w:p>
        </w:tc>
        <w:tc>
          <w:tcPr>
            <w:tcW w:w="100" w:type="dxa"/>
            <w:vAlign w:val="bottom"/>
            <w:tcBorders>
              <w:bottom w:val="single" w:sz="8" w:color="CFEDF9"/>
            </w:tcBorders>
            <w:shd w:val="clear" w:color="auto" w:fill="CFEDF9"/>
          </w:tcPr>
          <w:p>
            <w:pPr>
              <w:spacing w:after="0"/>
              <w:rPr>
                <w:sz w:val="16"/>
                <w:szCs w:val="16"/>
                <w:color w:val="auto"/>
              </w:rPr>
            </w:pPr>
          </w:p>
        </w:tc>
        <w:tc>
          <w:tcPr>
            <w:tcW w:w="80" w:type="dxa"/>
            <w:vAlign w:val="bottom"/>
            <w:tcBorders>
              <w:bottom w:val="single" w:sz="8" w:color="231F20"/>
            </w:tcBorders>
            <w:shd w:val="clear" w:color="auto" w:fill="CFEDF9"/>
          </w:tcPr>
          <w:p>
            <w:pPr>
              <w:spacing w:after="0"/>
              <w:rPr>
                <w:sz w:val="16"/>
                <w:szCs w:val="16"/>
                <w:color w:val="auto"/>
              </w:rPr>
            </w:pP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140,783</w:t>
            </w:r>
          </w:p>
        </w:tc>
        <w:tc>
          <w:tcPr>
            <w:tcW w:w="120" w:type="dxa"/>
            <w:vAlign w:val="bottom"/>
            <w:tcBorders>
              <w:bottom w:val="single" w:sz="8" w:color="CFEDF9"/>
            </w:tcBorders>
            <w:shd w:val="clear" w:color="auto" w:fill="CFEDF9"/>
          </w:tcPr>
          <w:p>
            <w:pPr>
              <w:spacing w:after="0"/>
              <w:rPr>
                <w:sz w:val="16"/>
                <w:szCs w:val="16"/>
                <w:color w:val="auto"/>
              </w:rPr>
            </w:pPr>
          </w:p>
        </w:tc>
        <w:tc>
          <w:tcPr>
            <w:tcW w:w="120" w:type="dxa"/>
            <w:vAlign w:val="bottom"/>
            <w:tcBorders>
              <w:bottom w:val="single" w:sz="8" w:color="CFEDF9"/>
            </w:tcBorders>
            <w:shd w:val="clear" w:color="auto" w:fill="CFEDF9"/>
          </w:tcPr>
          <w:p>
            <w:pPr>
              <w:spacing w:after="0"/>
              <w:rPr>
                <w:sz w:val="16"/>
                <w:szCs w:val="16"/>
                <w:color w:val="auto"/>
              </w:rPr>
            </w:pPr>
          </w:p>
        </w:tc>
        <w:tc>
          <w:tcPr>
            <w:tcW w:w="100" w:type="dxa"/>
            <w:vAlign w:val="bottom"/>
            <w:tcBorders>
              <w:bottom w:val="single" w:sz="8" w:color="231F20"/>
            </w:tcBorders>
            <w:shd w:val="clear" w:color="auto" w:fill="CFEDF9"/>
          </w:tcPr>
          <w:p>
            <w:pPr>
              <w:spacing w:after="0"/>
              <w:rPr>
                <w:sz w:val="16"/>
                <w:szCs w:val="16"/>
                <w:color w:val="auto"/>
              </w:rPr>
            </w:pP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136,040</w:t>
            </w:r>
          </w:p>
        </w:tc>
        <w:tc>
          <w:tcPr>
            <w:tcW w:w="100" w:type="dxa"/>
            <w:vAlign w:val="bottom"/>
            <w:tcBorders>
              <w:bottom w:val="single" w:sz="8" w:color="CFEDF9"/>
            </w:tcBorders>
            <w:shd w:val="clear" w:color="auto" w:fill="CFEDF9"/>
          </w:tcPr>
          <w:p>
            <w:pPr>
              <w:spacing w:after="0"/>
              <w:rPr>
                <w:sz w:val="16"/>
                <w:szCs w:val="16"/>
                <w:color w:val="auto"/>
              </w:rPr>
            </w:pPr>
          </w:p>
        </w:tc>
      </w:tr>
      <w:tr>
        <w:trPr>
          <w:trHeight w:val="154"/>
        </w:trPr>
        <w:tc>
          <w:tcPr>
            <w:tcW w:w="5460" w:type="dxa"/>
            <w:vAlign w:val="bottom"/>
            <w:tcBorders>
              <w:bottom w:val="single" w:sz="8" w:color="CFEDF9"/>
            </w:tcBorders>
          </w:tcPr>
          <w:p>
            <w:pPr>
              <w:spacing w:after="0" w:line="154" w:lineRule="exact"/>
              <w:rPr>
                <w:sz w:val="20"/>
                <w:szCs w:val="20"/>
                <w:color w:val="auto"/>
              </w:rPr>
            </w:pPr>
            <w:r>
              <w:rPr>
                <w:rFonts w:ascii="Times New Roman" w:cs="Times New Roman" w:eastAsia="Times New Roman" w:hAnsi="Times New Roman"/>
                <w:sz w:val="16"/>
                <w:szCs w:val="16"/>
                <w:color w:val="231F20"/>
              </w:rPr>
              <w:t>Management and incentive fees waived (Note 3)</w:t>
            </w:r>
          </w:p>
        </w:tc>
        <w:tc>
          <w:tcPr>
            <w:tcW w:w="400" w:type="dxa"/>
            <w:vAlign w:val="bottom"/>
            <w:tcBorders>
              <w:bottom w:val="single" w:sz="8" w:color="CFEDF9"/>
            </w:tcBorders>
          </w:tcPr>
          <w:p>
            <w:pPr>
              <w:spacing w:after="0"/>
              <w:rPr>
                <w:sz w:val="13"/>
                <w:szCs w:val="13"/>
                <w:color w:val="auto"/>
              </w:rPr>
            </w:pPr>
          </w:p>
        </w:tc>
        <w:tc>
          <w:tcPr>
            <w:tcW w:w="180" w:type="dxa"/>
            <w:vAlign w:val="bottom"/>
            <w:tcBorders>
              <w:bottom w:val="single" w:sz="8" w:color="231F20"/>
            </w:tcBorders>
          </w:tcPr>
          <w:p>
            <w:pPr>
              <w:spacing w:after="0"/>
              <w:rPr>
                <w:sz w:val="13"/>
                <w:szCs w:val="13"/>
                <w:color w:val="auto"/>
              </w:rPr>
            </w:pPr>
          </w:p>
        </w:tc>
        <w:tc>
          <w:tcPr>
            <w:tcW w:w="1200" w:type="dxa"/>
            <w:vAlign w:val="bottom"/>
            <w:tcBorders>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(1,171)</w:t>
            </w:r>
          </w:p>
        </w:tc>
        <w:tc>
          <w:tcPr>
            <w:tcW w:w="140" w:type="dxa"/>
            <w:vAlign w:val="bottom"/>
            <w:tcBorders>
              <w:bottom w:val="single" w:sz="8" w:color="CFEDF9"/>
            </w:tcBorders>
          </w:tcPr>
          <w:p>
            <w:pPr>
              <w:spacing w:after="0"/>
              <w:rPr>
                <w:sz w:val="13"/>
                <w:szCs w:val="13"/>
                <w:color w:val="auto"/>
              </w:rPr>
            </w:pPr>
          </w:p>
        </w:tc>
        <w:tc>
          <w:tcPr>
            <w:tcW w:w="100" w:type="dxa"/>
            <w:vAlign w:val="bottom"/>
            <w:tcBorders>
              <w:bottom w:val="single" w:sz="8" w:color="CFEDF9"/>
            </w:tcBorders>
          </w:tcPr>
          <w:p>
            <w:pPr>
              <w:spacing w:after="0"/>
              <w:rPr>
                <w:sz w:val="13"/>
                <w:szCs w:val="13"/>
                <w:color w:val="auto"/>
              </w:rPr>
            </w:pPr>
          </w:p>
        </w:tc>
        <w:tc>
          <w:tcPr>
            <w:tcW w:w="80" w:type="dxa"/>
            <w:vAlign w:val="bottom"/>
            <w:tcBorders>
              <w:bottom w:val="single" w:sz="8" w:color="231F20"/>
            </w:tcBorders>
          </w:tcPr>
          <w:p>
            <w:pPr>
              <w:spacing w:after="0"/>
              <w:rPr>
                <w:sz w:val="13"/>
                <w:szCs w:val="13"/>
                <w:color w:val="auto"/>
              </w:rPr>
            </w:pPr>
          </w:p>
        </w:tc>
        <w:tc>
          <w:tcPr>
            <w:tcW w:w="1400" w:type="dxa"/>
            <w:vAlign w:val="bottom"/>
            <w:tcBorders>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(427)</w:t>
            </w:r>
          </w:p>
        </w:tc>
        <w:tc>
          <w:tcPr>
            <w:tcW w:w="120" w:type="dxa"/>
            <w:vAlign w:val="bottom"/>
            <w:tcBorders>
              <w:bottom w:val="single" w:sz="8" w:color="CFEDF9"/>
            </w:tcBorders>
          </w:tcPr>
          <w:p>
            <w:pPr>
              <w:spacing w:after="0"/>
              <w:rPr>
                <w:sz w:val="13"/>
                <w:szCs w:val="13"/>
                <w:color w:val="auto"/>
              </w:rPr>
            </w:pPr>
          </w:p>
        </w:tc>
        <w:tc>
          <w:tcPr>
            <w:tcW w:w="120" w:type="dxa"/>
            <w:vAlign w:val="bottom"/>
            <w:tcBorders>
              <w:bottom w:val="single" w:sz="8" w:color="CFEDF9"/>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1400" w:type="dxa"/>
            <w:vAlign w:val="bottom"/>
            <w:tcBorders>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(190)</w:t>
            </w:r>
          </w:p>
        </w:tc>
        <w:tc>
          <w:tcPr>
            <w:tcW w:w="100" w:type="dxa"/>
            <w:vAlign w:val="bottom"/>
            <w:tcBorders>
              <w:bottom w:val="single" w:sz="8" w:color="CFEDF9"/>
            </w:tcBorders>
          </w:tcPr>
          <w:p>
            <w:pPr>
              <w:spacing w:after="0"/>
              <w:rPr>
                <w:sz w:val="13"/>
                <w:szCs w:val="13"/>
                <w:color w:val="auto"/>
              </w:rPr>
            </w:pPr>
          </w:p>
        </w:tc>
      </w:tr>
      <w:tr>
        <w:trPr>
          <w:trHeight w:val="194"/>
        </w:trPr>
        <w:tc>
          <w:tcPr>
            <w:tcW w:w="5460" w:type="dxa"/>
            <w:vAlign w:val="bottom"/>
            <w:tcBorders>
              <w:bottom w:val="single" w:sz="8" w:color="CFEDF9"/>
            </w:tcBorders>
            <w:shd w:val="clear" w:color="auto" w:fill="CFEDF9"/>
          </w:tcPr>
          <w:p>
            <w:pPr>
              <w:ind w:left="600"/>
              <w:spacing w:after="0" w:line="174" w:lineRule="exact"/>
              <w:rPr>
                <w:sz w:val="20"/>
                <w:szCs w:val="20"/>
                <w:color w:val="auto"/>
              </w:rPr>
            </w:pPr>
            <w:r>
              <w:rPr>
                <w:rFonts w:ascii="Times New Roman" w:cs="Times New Roman" w:eastAsia="Times New Roman" w:hAnsi="Times New Roman"/>
                <w:sz w:val="16"/>
                <w:szCs w:val="16"/>
                <w:b w:val="1"/>
                <w:bCs w:val="1"/>
                <w:color w:val="231F20"/>
              </w:rPr>
              <w:t>Net Expenses</w:t>
            </w:r>
          </w:p>
        </w:tc>
        <w:tc>
          <w:tcPr>
            <w:tcW w:w="400" w:type="dxa"/>
            <w:vAlign w:val="bottom"/>
            <w:tcBorders>
              <w:bottom w:val="single" w:sz="8" w:color="CFEDF9"/>
            </w:tcBorders>
            <w:shd w:val="clear" w:color="auto" w:fill="CFEDF9"/>
          </w:tcPr>
          <w:p>
            <w:pPr>
              <w:spacing w:after="0"/>
              <w:rPr>
                <w:sz w:val="16"/>
                <w:szCs w:val="16"/>
                <w:color w:val="auto"/>
              </w:rPr>
            </w:pPr>
          </w:p>
        </w:tc>
        <w:tc>
          <w:tcPr>
            <w:tcW w:w="180" w:type="dxa"/>
            <w:vAlign w:val="bottom"/>
            <w:tcBorders>
              <w:bottom w:val="single" w:sz="8" w:color="231F20"/>
            </w:tcBorders>
            <w:shd w:val="clear" w:color="auto" w:fill="CFEDF9"/>
          </w:tcPr>
          <w:p>
            <w:pPr>
              <w:spacing w:after="0"/>
              <w:rPr>
                <w:sz w:val="16"/>
                <w:szCs w:val="16"/>
                <w:color w:val="auto"/>
              </w:rPr>
            </w:pPr>
          </w:p>
        </w:tc>
        <w:tc>
          <w:tcPr>
            <w:tcW w:w="12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239,323</w:t>
            </w:r>
          </w:p>
        </w:tc>
        <w:tc>
          <w:tcPr>
            <w:tcW w:w="140" w:type="dxa"/>
            <w:vAlign w:val="bottom"/>
            <w:tcBorders>
              <w:bottom w:val="single" w:sz="8" w:color="CFEDF9"/>
            </w:tcBorders>
            <w:shd w:val="clear" w:color="auto" w:fill="CFEDF9"/>
          </w:tcPr>
          <w:p>
            <w:pPr>
              <w:spacing w:after="0"/>
              <w:rPr>
                <w:sz w:val="16"/>
                <w:szCs w:val="16"/>
                <w:color w:val="auto"/>
              </w:rPr>
            </w:pPr>
          </w:p>
        </w:tc>
        <w:tc>
          <w:tcPr>
            <w:tcW w:w="100" w:type="dxa"/>
            <w:vAlign w:val="bottom"/>
            <w:tcBorders>
              <w:bottom w:val="single" w:sz="8" w:color="CFEDF9"/>
            </w:tcBorders>
            <w:shd w:val="clear" w:color="auto" w:fill="CFEDF9"/>
          </w:tcPr>
          <w:p>
            <w:pPr>
              <w:spacing w:after="0"/>
              <w:rPr>
                <w:sz w:val="16"/>
                <w:szCs w:val="16"/>
                <w:color w:val="auto"/>
              </w:rPr>
            </w:pPr>
          </w:p>
        </w:tc>
        <w:tc>
          <w:tcPr>
            <w:tcW w:w="80" w:type="dxa"/>
            <w:vAlign w:val="bottom"/>
            <w:tcBorders>
              <w:bottom w:val="single" w:sz="8" w:color="231F20"/>
            </w:tcBorders>
            <w:shd w:val="clear" w:color="auto" w:fill="CFEDF9"/>
          </w:tcPr>
          <w:p>
            <w:pPr>
              <w:spacing w:after="0"/>
              <w:rPr>
                <w:sz w:val="16"/>
                <w:szCs w:val="16"/>
                <w:color w:val="auto"/>
              </w:rPr>
            </w:pP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140,356</w:t>
            </w:r>
          </w:p>
        </w:tc>
        <w:tc>
          <w:tcPr>
            <w:tcW w:w="120" w:type="dxa"/>
            <w:vAlign w:val="bottom"/>
            <w:tcBorders>
              <w:bottom w:val="single" w:sz="8" w:color="CFEDF9"/>
            </w:tcBorders>
            <w:shd w:val="clear" w:color="auto" w:fill="CFEDF9"/>
          </w:tcPr>
          <w:p>
            <w:pPr>
              <w:spacing w:after="0"/>
              <w:rPr>
                <w:sz w:val="16"/>
                <w:szCs w:val="16"/>
                <w:color w:val="auto"/>
              </w:rPr>
            </w:pPr>
          </w:p>
        </w:tc>
        <w:tc>
          <w:tcPr>
            <w:tcW w:w="120" w:type="dxa"/>
            <w:vAlign w:val="bottom"/>
            <w:tcBorders>
              <w:bottom w:val="single" w:sz="8" w:color="CFEDF9"/>
            </w:tcBorders>
            <w:shd w:val="clear" w:color="auto" w:fill="CFEDF9"/>
          </w:tcPr>
          <w:p>
            <w:pPr>
              <w:spacing w:after="0"/>
              <w:rPr>
                <w:sz w:val="16"/>
                <w:szCs w:val="16"/>
                <w:color w:val="auto"/>
              </w:rPr>
            </w:pPr>
          </w:p>
        </w:tc>
        <w:tc>
          <w:tcPr>
            <w:tcW w:w="100" w:type="dxa"/>
            <w:vAlign w:val="bottom"/>
            <w:tcBorders>
              <w:bottom w:val="single" w:sz="8" w:color="231F20"/>
            </w:tcBorders>
            <w:shd w:val="clear" w:color="auto" w:fill="CFEDF9"/>
          </w:tcPr>
          <w:p>
            <w:pPr>
              <w:spacing w:after="0"/>
              <w:rPr>
                <w:sz w:val="16"/>
                <w:szCs w:val="16"/>
                <w:color w:val="auto"/>
              </w:rPr>
            </w:pP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135,850</w:t>
            </w:r>
          </w:p>
        </w:tc>
        <w:tc>
          <w:tcPr>
            <w:tcW w:w="100" w:type="dxa"/>
            <w:vAlign w:val="bottom"/>
            <w:tcBorders>
              <w:bottom w:val="single" w:sz="8" w:color="CFEDF9"/>
            </w:tcBorders>
            <w:shd w:val="clear" w:color="auto" w:fill="CFEDF9"/>
          </w:tcPr>
          <w:p>
            <w:pPr>
              <w:spacing w:after="0"/>
              <w:rPr>
                <w:sz w:val="16"/>
                <w:szCs w:val="16"/>
                <w:color w:val="auto"/>
              </w:rPr>
            </w:pPr>
          </w:p>
        </w:tc>
      </w:tr>
      <w:tr>
        <w:trPr>
          <w:trHeight w:val="154"/>
        </w:trPr>
        <w:tc>
          <w:tcPr>
            <w:tcW w:w="5460" w:type="dxa"/>
            <w:vAlign w:val="bottom"/>
          </w:tcPr>
          <w:p>
            <w:pPr>
              <w:spacing w:after="0" w:line="154" w:lineRule="exact"/>
              <w:rPr>
                <w:sz w:val="20"/>
                <w:szCs w:val="20"/>
                <w:color w:val="auto"/>
              </w:rPr>
            </w:pPr>
            <w:r>
              <w:rPr>
                <w:rFonts w:ascii="Times New Roman" w:cs="Times New Roman" w:eastAsia="Times New Roman" w:hAnsi="Times New Roman"/>
                <w:sz w:val="16"/>
                <w:szCs w:val="16"/>
                <w:b w:val="1"/>
                <w:bCs w:val="1"/>
                <w:color w:val="231F20"/>
              </w:rPr>
              <w:t>Net Investment Income Before Income Taxes</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231F20"/>
              </w:rPr>
              <w:t>198,764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231F20"/>
              </w:rPr>
              <w:t>168,949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231F20"/>
              </w:rPr>
              <w:t>142,743</w:t>
            </w:r>
          </w:p>
        </w:tc>
        <w:tc>
          <w:tcPr>
            <w:tcW w:w="100" w:type="dxa"/>
            <w:vAlign w:val="bottom"/>
          </w:tcPr>
          <w:p>
            <w:pPr>
              <w:spacing w:after="0"/>
              <w:rPr>
                <w:sz w:val="13"/>
                <w:szCs w:val="13"/>
                <w:color w:val="auto"/>
              </w:rPr>
            </w:pPr>
          </w:p>
        </w:tc>
      </w:tr>
      <w:tr>
        <w:trPr>
          <w:trHeight w:val="204"/>
        </w:trPr>
        <w:tc>
          <w:tcPr>
            <w:tcW w:w="546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16"/>
                <w:szCs w:val="16"/>
                <w:color w:val="231F20"/>
              </w:rPr>
              <w:t>Income taxes, including excise taxes</w:t>
            </w:r>
          </w:p>
        </w:tc>
        <w:tc>
          <w:tcPr>
            <w:tcW w:w="400" w:type="dxa"/>
            <w:vAlign w:val="bottom"/>
            <w:tcBorders>
              <w:bottom w:val="single" w:sz="8" w:color="CFEDF9"/>
            </w:tcBorders>
            <w:shd w:val="clear" w:color="auto" w:fill="CFEDF9"/>
          </w:tcPr>
          <w:p>
            <w:pPr>
              <w:spacing w:after="0"/>
              <w:rPr>
                <w:sz w:val="17"/>
                <w:szCs w:val="17"/>
                <w:color w:val="auto"/>
              </w:rPr>
            </w:pPr>
          </w:p>
        </w:tc>
        <w:tc>
          <w:tcPr>
            <w:tcW w:w="180" w:type="dxa"/>
            <w:vAlign w:val="bottom"/>
            <w:tcBorders>
              <w:bottom w:val="single" w:sz="8" w:color="231F20"/>
            </w:tcBorders>
            <w:shd w:val="clear" w:color="auto" w:fill="CFEDF9"/>
          </w:tcPr>
          <w:p>
            <w:pPr>
              <w:spacing w:after="0"/>
              <w:rPr>
                <w:sz w:val="17"/>
                <w:szCs w:val="17"/>
                <w:color w:val="auto"/>
              </w:rPr>
            </w:pPr>
          </w:p>
        </w:tc>
        <w:tc>
          <w:tcPr>
            <w:tcW w:w="12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2,365</w:t>
            </w:r>
          </w:p>
        </w:tc>
        <w:tc>
          <w:tcPr>
            <w:tcW w:w="140" w:type="dxa"/>
            <w:vAlign w:val="bottom"/>
            <w:tcBorders>
              <w:bottom w:val="single" w:sz="8" w:color="CFEDF9"/>
            </w:tcBorders>
            <w:shd w:val="clear" w:color="auto" w:fill="CFEDF9"/>
          </w:tcPr>
          <w:p>
            <w:pPr>
              <w:spacing w:after="0"/>
              <w:rPr>
                <w:sz w:val="17"/>
                <w:szCs w:val="17"/>
                <w:color w:val="auto"/>
              </w:rPr>
            </w:pPr>
          </w:p>
        </w:tc>
        <w:tc>
          <w:tcPr>
            <w:tcW w:w="100" w:type="dxa"/>
            <w:vAlign w:val="bottom"/>
            <w:tcBorders>
              <w:bottom w:val="single" w:sz="8" w:color="CFEDF9"/>
            </w:tcBorders>
            <w:shd w:val="clear" w:color="auto" w:fill="CFEDF9"/>
          </w:tcPr>
          <w:p>
            <w:pPr>
              <w:spacing w:after="0"/>
              <w:rPr>
                <w:sz w:val="17"/>
                <w:szCs w:val="17"/>
                <w:color w:val="auto"/>
              </w:rPr>
            </w:pPr>
          </w:p>
        </w:tc>
        <w:tc>
          <w:tcPr>
            <w:tcW w:w="80" w:type="dxa"/>
            <w:vAlign w:val="bottom"/>
            <w:tcBorders>
              <w:bottom w:val="single" w:sz="8" w:color="231F20"/>
            </w:tcBorders>
            <w:shd w:val="clear" w:color="auto" w:fill="CFEDF9"/>
          </w:tcPr>
          <w:p>
            <w:pPr>
              <w:spacing w:after="0"/>
              <w:rPr>
                <w:sz w:val="17"/>
                <w:szCs w:val="17"/>
                <w:color w:val="auto"/>
              </w:rPr>
            </w:pPr>
          </w:p>
        </w:tc>
        <w:tc>
          <w:tcPr>
            <w:tcW w:w="14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2,622</w:t>
            </w:r>
          </w:p>
        </w:tc>
        <w:tc>
          <w:tcPr>
            <w:tcW w:w="120" w:type="dxa"/>
            <w:vAlign w:val="bottom"/>
            <w:tcBorders>
              <w:bottom w:val="single" w:sz="8" w:color="CFEDF9"/>
            </w:tcBorders>
            <w:shd w:val="clear" w:color="auto" w:fill="CFEDF9"/>
          </w:tcPr>
          <w:p>
            <w:pPr>
              <w:spacing w:after="0"/>
              <w:rPr>
                <w:sz w:val="17"/>
                <w:szCs w:val="17"/>
                <w:color w:val="auto"/>
              </w:rPr>
            </w:pPr>
          </w:p>
        </w:tc>
        <w:tc>
          <w:tcPr>
            <w:tcW w:w="120" w:type="dxa"/>
            <w:vAlign w:val="bottom"/>
            <w:tcBorders>
              <w:bottom w:val="single" w:sz="8" w:color="CFEDF9"/>
            </w:tcBorders>
            <w:shd w:val="clear" w:color="auto" w:fill="CFEDF9"/>
          </w:tcPr>
          <w:p>
            <w:pPr>
              <w:spacing w:after="0"/>
              <w:rPr>
                <w:sz w:val="17"/>
                <w:szCs w:val="17"/>
                <w:color w:val="auto"/>
              </w:rPr>
            </w:pPr>
          </w:p>
        </w:tc>
        <w:tc>
          <w:tcPr>
            <w:tcW w:w="100" w:type="dxa"/>
            <w:vAlign w:val="bottom"/>
            <w:tcBorders>
              <w:bottom w:val="single" w:sz="8" w:color="231F20"/>
            </w:tcBorders>
            <w:shd w:val="clear" w:color="auto" w:fill="CFEDF9"/>
          </w:tcPr>
          <w:p>
            <w:pPr>
              <w:spacing w:after="0"/>
              <w:rPr>
                <w:sz w:val="17"/>
                <w:szCs w:val="17"/>
                <w:color w:val="auto"/>
              </w:rPr>
            </w:pPr>
          </w:p>
        </w:tc>
        <w:tc>
          <w:tcPr>
            <w:tcW w:w="14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384</w:t>
            </w:r>
          </w:p>
        </w:tc>
        <w:tc>
          <w:tcPr>
            <w:tcW w:w="100" w:type="dxa"/>
            <w:vAlign w:val="bottom"/>
            <w:tcBorders>
              <w:bottom w:val="single" w:sz="8" w:color="CFEDF9"/>
            </w:tcBorders>
            <w:shd w:val="clear" w:color="auto" w:fill="CFEDF9"/>
          </w:tcPr>
          <w:p>
            <w:pPr>
              <w:spacing w:after="0"/>
              <w:rPr>
                <w:sz w:val="17"/>
                <w:szCs w:val="17"/>
                <w:color w:val="auto"/>
              </w:rPr>
            </w:pPr>
          </w:p>
        </w:tc>
      </w:tr>
      <w:tr>
        <w:trPr>
          <w:trHeight w:val="154"/>
        </w:trPr>
        <w:tc>
          <w:tcPr>
            <w:tcW w:w="5460" w:type="dxa"/>
            <w:vAlign w:val="bottom"/>
          </w:tcPr>
          <w:p>
            <w:pPr>
              <w:spacing w:after="0" w:line="154" w:lineRule="exact"/>
              <w:rPr>
                <w:sz w:val="20"/>
                <w:szCs w:val="20"/>
                <w:color w:val="auto"/>
              </w:rPr>
            </w:pPr>
            <w:r>
              <w:rPr>
                <w:rFonts w:ascii="Times New Roman" w:cs="Times New Roman" w:eastAsia="Times New Roman" w:hAnsi="Times New Roman"/>
                <w:sz w:val="16"/>
                <w:szCs w:val="16"/>
                <w:b w:val="1"/>
                <w:bCs w:val="1"/>
                <w:color w:val="231F20"/>
              </w:rPr>
              <w:t>Net Investment Income</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231F20"/>
              </w:rPr>
              <w:t>196,399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231F20"/>
              </w:rPr>
              <w:t>166,327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231F20"/>
              </w:rPr>
              <w:t>142,359</w:t>
            </w:r>
          </w:p>
        </w:tc>
        <w:tc>
          <w:tcPr>
            <w:tcW w:w="100" w:type="dxa"/>
            <w:vAlign w:val="bottom"/>
          </w:tcPr>
          <w:p>
            <w:pPr>
              <w:spacing w:after="0"/>
              <w:rPr>
                <w:sz w:val="13"/>
                <w:szCs w:val="13"/>
                <w:color w:val="auto"/>
              </w:rPr>
            </w:pPr>
          </w:p>
        </w:tc>
      </w:tr>
      <w:tr>
        <w:trPr>
          <w:trHeight w:val="184"/>
        </w:trPr>
        <w:tc>
          <w:tcPr>
            <w:tcW w:w="546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b w:val="1"/>
                <w:bCs w:val="1"/>
                <w:color w:val="231F20"/>
              </w:rPr>
              <w:t>Unrealized and Realized Gains (Losses)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spacing w:after="0"/>
              <w:rPr>
                <w:sz w:val="15"/>
                <w:szCs w:val="15"/>
                <w:color w:val="auto"/>
              </w:rPr>
            </w:pP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0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231F20"/>
              </w:rPr>
              <w:t>Net change in unrealized gains (losses):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Non-controlled, non-affiliated investments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40,571</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52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(70,085)</w:t>
            </w: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17,938</w:t>
            </w: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Non-controlled, affiliated investments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(14,350)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14,350</w:t>
            </w:r>
          </w:p>
        </w:tc>
        <w:tc>
          <w:tcPr>
            <w:tcW w:w="100" w:type="dxa"/>
            <w:vAlign w:val="bottom"/>
          </w:tcPr>
          <w:p>
            <w:pPr>
              <w:spacing w:after="0"/>
              <w:rPr>
                <w:sz w:val="15"/>
                <w:szCs w:val="15"/>
                <w:color w:val="auto"/>
              </w:rPr>
            </w:pPr>
          </w:p>
        </w:tc>
      </w:tr>
      <w:tr>
        <w:trPr>
          <w:trHeight w:val="18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Controlled, affiliated investments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3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6"/>
                <w:szCs w:val="16"/>
                <w:color w:val="231F20"/>
              </w:rPr>
              <w:t>(21,717)</w:t>
            </w: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8,054</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17,450</w:t>
            </w: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Translation of other assets and liabilities in foreign currencies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(6,393)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8,721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(591)</w:t>
            </w:r>
          </w:p>
        </w:tc>
      </w:tr>
      <w:tr>
        <w:trPr>
          <w:trHeight w:val="18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Interest rate swaps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174</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52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(6,748)</w:t>
            </w: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50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(6,699)</w:t>
            </w:r>
          </w:p>
        </w:tc>
      </w:tr>
      <w:tr>
        <w:trPr>
          <w:trHeight w:val="184"/>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Income tax provision</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(561)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(1,902)</w:t>
            </w:r>
          </w:p>
        </w:tc>
      </w:tr>
      <w:tr>
        <w:trPr>
          <w:trHeight w:val="194"/>
        </w:trPr>
        <w:tc>
          <w:tcPr>
            <w:tcW w:w="5460" w:type="dxa"/>
            <w:vAlign w:val="bottom"/>
            <w:tcBorders>
              <w:top w:val="single" w:sz="8" w:color="CFEDF9"/>
              <w:bottom w:val="single" w:sz="8" w:color="CFEDF9"/>
            </w:tcBorders>
            <w:shd w:val="clear" w:color="auto" w:fill="CFEDF9"/>
          </w:tcPr>
          <w:p>
            <w:pPr>
              <w:ind w:left="600"/>
              <w:spacing w:after="0" w:line="174" w:lineRule="exact"/>
              <w:rPr>
                <w:sz w:val="20"/>
                <w:szCs w:val="20"/>
                <w:color w:val="auto"/>
              </w:rPr>
            </w:pPr>
            <w:r>
              <w:rPr>
                <w:rFonts w:ascii="Times New Roman" w:cs="Times New Roman" w:eastAsia="Times New Roman" w:hAnsi="Times New Roman"/>
                <w:sz w:val="16"/>
                <w:szCs w:val="16"/>
                <w:color w:val="231F20"/>
              </w:rPr>
              <w:t>Total net change in unrealized gains (losses)</w:t>
            </w:r>
          </w:p>
        </w:tc>
        <w:tc>
          <w:tcPr>
            <w:tcW w:w="400" w:type="dxa"/>
            <w:vAlign w:val="bottom"/>
            <w:tcBorders>
              <w:top w:val="single" w:sz="8" w:color="CFEDF9"/>
              <w:bottom w:val="single" w:sz="8" w:color="CFEDF9"/>
            </w:tcBorders>
            <w:shd w:val="clear" w:color="auto" w:fill="CFEDF9"/>
          </w:tcPr>
          <w:p>
            <w:pPr>
              <w:spacing w:after="0"/>
              <w:rPr>
                <w:sz w:val="16"/>
                <w:szCs w:val="16"/>
                <w:color w:val="auto"/>
              </w:rPr>
            </w:pPr>
          </w:p>
        </w:tc>
        <w:tc>
          <w:tcPr>
            <w:tcW w:w="180" w:type="dxa"/>
            <w:vAlign w:val="bottom"/>
            <w:tcBorders>
              <w:top w:val="single" w:sz="8" w:color="231F20"/>
              <w:bottom w:val="single" w:sz="8" w:color="231F20"/>
            </w:tcBorders>
            <w:shd w:val="clear" w:color="auto" w:fill="CFEDF9"/>
          </w:tcPr>
          <w:p>
            <w:pPr>
              <w:spacing w:after="0"/>
              <w:rPr>
                <w:sz w:val="16"/>
                <w:szCs w:val="16"/>
                <w:color w:val="auto"/>
              </w:rPr>
            </w:pPr>
          </w:p>
        </w:tc>
        <w:tc>
          <w:tcPr>
            <w:tcW w:w="1200" w:type="dxa"/>
            <w:vAlign w:val="bottom"/>
            <w:tcBorders>
              <w:top w:val="single" w:sz="8" w:color="231F20"/>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13,191</w:t>
            </w:r>
          </w:p>
        </w:tc>
        <w:tc>
          <w:tcPr>
            <w:tcW w:w="140" w:type="dxa"/>
            <w:vAlign w:val="bottom"/>
            <w:tcBorders>
              <w:top w:val="single" w:sz="8" w:color="CFEDF9"/>
              <w:bottom w:val="single" w:sz="8" w:color="CFEDF9"/>
            </w:tcBorders>
            <w:shd w:val="clear" w:color="auto" w:fill="CFEDF9"/>
          </w:tcPr>
          <w:p>
            <w:pPr>
              <w:spacing w:after="0"/>
              <w:rPr>
                <w:sz w:val="16"/>
                <w:szCs w:val="16"/>
                <w:color w:val="auto"/>
              </w:rPr>
            </w:pPr>
          </w:p>
        </w:tc>
        <w:tc>
          <w:tcPr>
            <w:tcW w:w="100" w:type="dxa"/>
            <w:vAlign w:val="bottom"/>
            <w:tcBorders>
              <w:top w:val="single" w:sz="8" w:color="CFEDF9"/>
              <w:bottom w:val="single" w:sz="8" w:color="CFEDF9"/>
            </w:tcBorders>
            <w:shd w:val="clear" w:color="auto" w:fill="CFEDF9"/>
          </w:tcPr>
          <w:p>
            <w:pPr>
              <w:spacing w:after="0"/>
              <w:rPr>
                <w:sz w:val="16"/>
                <w:szCs w:val="16"/>
                <w:color w:val="auto"/>
              </w:rPr>
            </w:pPr>
          </w:p>
        </w:tc>
        <w:tc>
          <w:tcPr>
            <w:tcW w:w="80" w:type="dxa"/>
            <w:vAlign w:val="bottom"/>
            <w:tcBorders>
              <w:top w:val="single" w:sz="8" w:color="231F20"/>
              <w:bottom w:val="single" w:sz="8" w:color="231F20"/>
            </w:tcBorders>
            <w:shd w:val="clear" w:color="auto" w:fill="CFEDF9"/>
          </w:tcPr>
          <w:p>
            <w:pPr>
              <w:spacing w:after="0"/>
              <w:rPr>
                <w:sz w:val="16"/>
                <w:szCs w:val="16"/>
                <w:color w:val="auto"/>
              </w:rPr>
            </w:pPr>
          </w:p>
        </w:tc>
        <w:tc>
          <w:tcPr>
            <w:tcW w:w="1400" w:type="dxa"/>
            <w:vAlign w:val="bottom"/>
            <w:tcBorders>
              <w:top w:val="single" w:sz="8" w:color="231F20"/>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(74,969)</w:t>
            </w:r>
          </w:p>
        </w:tc>
        <w:tc>
          <w:tcPr>
            <w:tcW w:w="120" w:type="dxa"/>
            <w:vAlign w:val="bottom"/>
            <w:tcBorders>
              <w:top w:val="single" w:sz="8" w:color="CFEDF9"/>
              <w:bottom w:val="single" w:sz="8" w:color="CFEDF9"/>
            </w:tcBorders>
            <w:shd w:val="clear" w:color="auto" w:fill="CFEDF9"/>
          </w:tcPr>
          <w:p>
            <w:pPr>
              <w:spacing w:after="0"/>
              <w:rPr>
                <w:sz w:val="16"/>
                <w:szCs w:val="16"/>
                <w:color w:val="auto"/>
              </w:rPr>
            </w:pPr>
          </w:p>
        </w:tc>
        <w:tc>
          <w:tcPr>
            <w:tcW w:w="120" w:type="dxa"/>
            <w:vAlign w:val="bottom"/>
            <w:tcBorders>
              <w:top w:val="single" w:sz="8" w:color="CFEDF9"/>
              <w:bottom w:val="single" w:sz="8" w:color="CFEDF9"/>
            </w:tcBorders>
            <w:shd w:val="clear" w:color="auto" w:fill="CFEDF9"/>
          </w:tcPr>
          <w:p>
            <w:pPr>
              <w:spacing w:after="0"/>
              <w:rPr>
                <w:sz w:val="16"/>
                <w:szCs w:val="16"/>
                <w:color w:val="auto"/>
              </w:rPr>
            </w:pPr>
          </w:p>
        </w:tc>
        <w:tc>
          <w:tcPr>
            <w:tcW w:w="100" w:type="dxa"/>
            <w:vAlign w:val="bottom"/>
            <w:tcBorders>
              <w:top w:val="single" w:sz="8" w:color="231F20"/>
              <w:bottom w:val="single" w:sz="8" w:color="231F20"/>
            </w:tcBorders>
            <w:shd w:val="clear" w:color="auto" w:fill="CFEDF9"/>
          </w:tcPr>
          <w:p>
            <w:pPr>
              <w:spacing w:after="0"/>
              <w:rPr>
                <w:sz w:val="16"/>
                <w:szCs w:val="16"/>
                <w:color w:val="auto"/>
              </w:rPr>
            </w:pPr>
          </w:p>
        </w:tc>
        <w:tc>
          <w:tcPr>
            <w:tcW w:w="1400" w:type="dxa"/>
            <w:vAlign w:val="bottom"/>
            <w:tcBorders>
              <w:top w:val="single" w:sz="8" w:color="231F20"/>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40,546</w:t>
            </w:r>
          </w:p>
        </w:tc>
        <w:tc>
          <w:tcPr>
            <w:tcW w:w="100" w:type="dxa"/>
            <w:vAlign w:val="bottom"/>
            <w:tcBorders>
              <w:top w:val="single" w:sz="8" w:color="CFEDF9"/>
              <w:bottom w:val="single" w:sz="8" w:color="CFEDF9"/>
            </w:tcBorders>
            <w:shd w:val="clear" w:color="auto" w:fill="CFEDF9"/>
          </w:tcPr>
          <w:p>
            <w:pPr>
              <w:spacing w:after="0"/>
              <w:rPr>
                <w:sz w:val="16"/>
                <w:szCs w:val="16"/>
                <w:color w:val="auto"/>
              </w:rPr>
            </w:pPr>
          </w:p>
        </w:tc>
      </w:tr>
      <w:tr>
        <w:trPr>
          <w:trHeight w:val="154"/>
        </w:trPr>
        <w:tc>
          <w:tcPr>
            <w:tcW w:w="5460" w:type="dxa"/>
            <w:vAlign w:val="bottom"/>
          </w:tcPr>
          <w:p>
            <w:pPr>
              <w:spacing w:after="0" w:line="154" w:lineRule="exact"/>
              <w:rPr>
                <w:sz w:val="20"/>
                <w:szCs w:val="20"/>
                <w:color w:val="auto"/>
              </w:rPr>
            </w:pPr>
            <w:r>
              <w:rPr>
                <w:rFonts w:ascii="Times New Roman" w:cs="Times New Roman" w:eastAsia="Times New Roman" w:hAnsi="Times New Roman"/>
                <w:sz w:val="16"/>
                <w:szCs w:val="16"/>
                <w:color w:val="231F20"/>
              </w:rPr>
              <w:t>Realized gains (losses):</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Non-controlled, non-affiliated investments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12,095</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1,072</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28,849</w:t>
            </w:r>
          </w:p>
        </w:tc>
        <w:tc>
          <w:tcPr>
            <w:tcW w:w="100" w:type="dxa"/>
            <w:vAlign w:val="bottom"/>
            <w:shd w:val="clear" w:color="auto" w:fill="CFEDF9"/>
          </w:tcPr>
          <w:p>
            <w:pPr>
              <w:spacing w:after="0"/>
              <w:rPr>
                <w:sz w:val="15"/>
                <w:szCs w:val="15"/>
                <w:color w:val="auto"/>
              </w:rPr>
            </w:pPr>
          </w:p>
        </w:tc>
      </w:tr>
      <w:tr>
        <w:trPr>
          <w:trHeight w:val="184"/>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Non-controlled, affiliated investments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13,608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(33)</w:t>
            </w:r>
          </w:p>
        </w:tc>
      </w:tr>
      <w:tr>
        <w:trPr>
          <w:trHeight w:val="18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Controlled, affiliated investments</w:t>
            </w:r>
          </w:p>
        </w:tc>
        <w:tc>
          <w:tcPr>
            <w:tcW w:w="400" w:type="dxa"/>
            <w:vAlign w:val="bottom"/>
            <w:shd w:val="clear" w:color="auto" w:fill="CFEDF9"/>
          </w:tcPr>
          <w:p>
            <w:pPr>
              <w:spacing w:after="0"/>
              <w:rPr>
                <w:sz w:val="15"/>
                <w:szCs w:val="15"/>
                <w:color w:val="auto"/>
              </w:rPr>
            </w:pPr>
          </w:p>
        </w:tc>
        <w:tc>
          <w:tcPr>
            <w:tcW w:w="180" w:type="dxa"/>
            <w:vAlign w:val="bottom"/>
            <w:shd w:val="clear" w:color="auto" w:fill="CFEDF9"/>
          </w:tcPr>
          <w:p>
            <w:pPr>
              <w:spacing w:after="0"/>
              <w:rPr>
                <w:sz w:val="15"/>
                <w:szCs w:val="15"/>
                <w:color w:val="auto"/>
              </w:rPr>
            </w:pPr>
          </w:p>
        </w:tc>
        <w:tc>
          <w:tcPr>
            <w:tcW w:w="134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c>
          <w:tcPr>
            <w:tcW w:w="80" w:type="dxa"/>
            <w:vAlign w:val="bottom"/>
            <w:shd w:val="clear" w:color="auto" w:fill="CFEDF9"/>
          </w:tcPr>
          <w:p>
            <w:pPr>
              <w:spacing w:after="0"/>
              <w:rPr>
                <w:sz w:val="15"/>
                <w:szCs w:val="15"/>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55</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5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r>
      <w:tr>
        <w:trPr>
          <w:trHeight w:val="184"/>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Interest rate swaps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r>
      <w:tr>
        <w:trPr>
          <w:trHeight w:val="204"/>
        </w:trPr>
        <w:tc>
          <w:tcPr>
            <w:tcW w:w="54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Foreign currency transactions</w:t>
            </w:r>
          </w:p>
        </w:tc>
        <w:tc>
          <w:tcPr>
            <w:tcW w:w="400" w:type="dxa"/>
            <w:vAlign w:val="bottom"/>
            <w:shd w:val="clear" w:color="auto" w:fill="CFEDF9"/>
          </w:tcPr>
          <w:p>
            <w:pPr>
              <w:spacing w:after="0"/>
              <w:rPr>
                <w:sz w:val="17"/>
                <w:szCs w:val="17"/>
                <w:color w:val="auto"/>
              </w:rPr>
            </w:pPr>
          </w:p>
        </w:tc>
        <w:tc>
          <w:tcPr>
            <w:tcW w:w="180" w:type="dxa"/>
            <w:vAlign w:val="bottom"/>
            <w:shd w:val="clear" w:color="auto" w:fill="CFEDF9"/>
          </w:tcPr>
          <w:p>
            <w:pPr>
              <w:spacing w:after="0"/>
              <w:rPr>
                <w:sz w:val="17"/>
                <w:szCs w:val="17"/>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180</w:t>
            </w:r>
          </w:p>
        </w:tc>
        <w:tc>
          <w:tcPr>
            <w:tcW w:w="140" w:type="dxa"/>
            <w:vAlign w:val="bottom"/>
            <w:shd w:val="clear" w:color="auto" w:fill="CFEDF9"/>
          </w:tcPr>
          <w:p>
            <w:pPr>
              <w:spacing w:after="0"/>
              <w:rPr>
                <w:sz w:val="17"/>
                <w:szCs w:val="17"/>
                <w:color w:val="auto"/>
              </w:rPr>
            </w:pPr>
          </w:p>
        </w:tc>
        <w:tc>
          <w:tcPr>
            <w:tcW w:w="10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152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(291)</w:t>
            </w:r>
          </w:p>
        </w:tc>
        <w:tc>
          <w:tcPr>
            <w:tcW w:w="120" w:type="dxa"/>
            <w:vAlign w:val="bottom"/>
            <w:shd w:val="clear" w:color="auto" w:fill="CFEDF9"/>
          </w:tcPr>
          <w:p>
            <w:pPr>
              <w:spacing w:after="0"/>
              <w:rPr>
                <w:sz w:val="17"/>
                <w:szCs w:val="17"/>
                <w:color w:val="auto"/>
              </w:rPr>
            </w:pPr>
          </w:p>
        </w:tc>
        <w:tc>
          <w:tcPr>
            <w:tcW w:w="100" w:type="dxa"/>
            <w:vAlign w:val="bottom"/>
            <w:shd w:val="clear" w:color="auto" w:fill="CFEDF9"/>
          </w:tcPr>
          <w:p>
            <w:pPr>
              <w:spacing w:after="0"/>
              <w:rPr>
                <w:sz w:val="17"/>
                <w:szCs w:val="17"/>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59</w:t>
            </w:r>
          </w:p>
        </w:tc>
        <w:tc>
          <w:tcPr>
            <w:tcW w:w="100" w:type="dxa"/>
            <w:vAlign w:val="bottom"/>
            <w:shd w:val="clear" w:color="auto" w:fill="CFEDF9"/>
          </w:tcPr>
          <w:p>
            <w:pPr>
              <w:spacing w:after="0"/>
              <w:rPr>
                <w:sz w:val="17"/>
                <w:szCs w:val="17"/>
                <w:color w:val="auto"/>
              </w:rPr>
            </w:pPr>
          </w:p>
        </w:tc>
      </w:tr>
      <w:tr>
        <w:trPr>
          <w:trHeight w:val="154"/>
        </w:trPr>
        <w:tc>
          <w:tcPr>
            <w:tcW w:w="5460" w:type="dxa"/>
            <w:vAlign w:val="bottom"/>
            <w:tcBorders>
              <w:top w:val="single" w:sz="8" w:color="CFEDF9"/>
              <w:bottom w:val="single" w:sz="8" w:color="CFEDF9"/>
            </w:tcBorders>
          </w:tcPr>
          <w:p>
            <w:pPr>
              <w:ind w:left="600"/>
              <w:spacing w:after="0" w:line="154" w:lineRule="exact"/>
              <w:rPr>
                <w:sz w:val="20"/>
                <w:szCs w:val="20"/>
                <w:color w:val="auto"/>
              </w:rPr>
            </w:pPr>
            <w:r>
              <w:rPr>
                <w:rFonts w:ascii="Times New Roman" w:cs="Times New Roman" w:eastAsia="Times New Roman" w:hAnsi="Times New Roman"/>
                <w:sz w:val="16"/>
                <w:szCs w:val="16"/>
                <w:color w:val="231F20"/>
              </w:rPr>
              <w:t>Total net realized gains (losses)</w:t>
            </w:r>
          </w:p>
        </w:tc>
        <w:tc>
          <w:tcPr>
            <w:tcW w:w="400" w:type="dxa"/>
            <w:vAlign w:val="bottom"/>
            <w:tcBorders>
              <w:top w:val="single" w:sz="8" w:color="CFEDF9"/>
              <w:bottom w:val="single" w:sz="8" w:color="CFEDF9"/>
            </w:tcBorders>
          </w:tcPr>
          <w:p>
            <w:pPr>
              <w:spacing w:after="0"/>
              <w:rPr>
                <w:sz w:val="13"/>
                <w:szCs w:val="13"/>
                <w:color w:val="auto"/>
              </w:rPr>
            </w:pPr>
          </w:p>
        </w:tc>
        <w:tc>
          <w:tcPr>
            <w:tcW w:w="180" w:type="dxa"/>
            <w:vAlign w:val="bottom"/>
            <w:tcBorders>
              <w:top w:val="single" w:sz="8" w:color="231F20"/>
              <w:bottom w:val="single" w:sz="8" w:color="231F20"/>
            </w:tcBorders>
          </w:tcPr>
          <w:p>
            <w:pPr>
              <w:spacing w:after="0"/>
              <w:rPr>
                <w:sz w:val="13"/>
                <w:szCs w:val="13"/>
                <w:color w:val="auto"/>
              </w:rPr>
            </w:pPr>
          </w:p>
        </w:tc>
        <w:tc>
          <w:tcPr>
            <w:tcW w:w="120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12,433</w:t>
            </w:r>
          </w:p>
        </w:tc>
        <w:tc>
          <w:tcPr>
            <w:tcW w:w="140" w:type="dxa"/>
            <w:vAlign w:val="bottom"/>
            <w:tcBorders>
              <w:top w:val="single" w:sz="8" w:color="CFEDF9"/>
              <w:bottom w:val="single" w:sz="8" w:color="CFEDF9"/>
            </w:tcBorders>
          </w:tcPr>
          <w:p>
            <w:pPr>
              <w:spacing w:after="0"/>
              <w:rPr>
                <w:sz w:val="13"/>
                <w:szCs w:val="13"/>
                <w:color w:val="auto"/>
              </w:rPr>
            </w:pPr>
          </w:p>
        </w:tc>
        <w:tc>
          <w:tcPr>
            <w:tcW w:w="100" w:type="dxa"/>
            <w:vAlign w:val="bottom"/>
            <w:tcBorders>
              <w:top w:val="single" w:sz="8" w:color="CFEDF9"/>
              <w:bottom w:val="single" w:sz="8" w:color="CFEDF9"/>
            </w:tcBorders>
          </w:tcPr>
          <w:p>
            <w:pPr>
              <w:spacing w:after="0"/>
              <w:rPr>
                <w:sz w:val="13"/>
                <w:szCs w:val="13"/>
                <w:color w:val="auto"/>
              </w:rPr>
            </w:pPr>
          </w:p>
        </w:tc>
        <w:tc>
          <w:tcPr>
            <w:tcW w:w="80" w:type="dxa"/>
            <w:vAlign w:val="bottom"/>
            <w:tcBorders>
              <w:top w:val="single" w:sz="8" w:color="231F20"/>
              <w:bottom w:val="single" w:sz="8" w:color="231F20"/>
            </w:tcBorders>
          </w:tcPr>
          <w:p>
            <w:pPr>
              <w:spacing w:after="0"/>
              <w:rPr>
                <w:sz w:val="13"/>
                <w:szCs w:val="13"/>
                <w:color w:val="auto"/>
              </w:rPr>
            </w:pPr>
          </w:p>
        </w:tc>
        <w:tc>
          <w:tcPr>
            <w:tcW w:w="140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16,695</w:t>
            </w:r>
          </w:p>
        </w:tc>
        <w:tc>
          <w:tcPr>
            <w:tcW w:w="120" w:type="dxa"/>
            <w:vAlign w:val="bottom"/>
            <w:tcBorders>
              <w:top w:val="single" w:sz="8" w:color="CFEDF9"/>
              <w:bottom w:val="single" w:sz="8" w:color="CFEDF9"/>
            </w:tcBorders>
          </w:tcPr>
          <w:p>
            <w:pPr>
              <w:spacing w:after="0"/>
              <w:rPr>
                <w:sz w:val="13"/>
                <w:szCs w:val="13"/>
                <w:color w:val="auto"/>
              </w:rPr>
            </w:pPr>
          </w:p>
        </w:tc>
        <w:tc>
          <w:tcPr>
            <w:tcW w:w="120" w:type="dxa"/>
            <w:vAlign w:val="bottom"/>
            <w:tcBorders>
              <w:top w:val="single" w:sz="8" w:color="CFEDF9"/>
              <w:bottom w:val="single" w:sz="8" w:color="CFEDF9"/>
            </w:tcBorders>
          </w:tcPr>
          <w:p>
            <w:pPr>
              <w:spacing w:after="0"/>
              <w:rPr>
                <w:sz w:val="13"/>
                <w:szCs w:val="13"/>
                <w:color w:val="auto"/>
              </w:rPr>
            </w:pPr>
          </w:p>
        </w:tc>
        <w:tc>
          <w:tcPr>
            <w:tcW w:w="100" w:type="dxa"/>
            <w:vAlign w:val="bottom"/>
            <w:tcBorders>
              <w:top w:val="single" w:sz="8" w:color="231F20"/>
              <w:bottom w:val="single" w:sz="8" w:color="231F20"/>
            </w:tcBorders>
          </w:tcPr>
          <w:p>
            <w:pPr>
              <w:spacing w:after="0"/>
              <w:rPr>
                <w:sz w:val="13"/>
                <w:szCs w:val="13"/>
                <w:color w:val="auto"/>
              </w:rPr>
            </w:pPr>
          </w:p>
        </w:tc>
        <w:tc>
          <w:tcPr>
            <w:tcW w:w="140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28,875</w:t>
            </w:r>
          </w:p>
        </w:tc>
        <w:tc>
          <w:tcPr>
            <w:tcW w:w="100" w:type="dxa"/>
            <w:vAlign w:val="bottom"/>
            <w:tcBorders>
              <w:top w:val="single" w:sz="8" w:color="CFEDF9"/>
              <w:bottom w:val="single" w:sz="8" w:color="CFEDF9"/>
            </w:tcBorders>
          </w:tcPr>
          <w:p>
            <w:pPr>
              <w:spacing w:after="0"/>
              <w:rPr>
                <w:sz w:val="13"/>
                <w:szCs w:val="13"/>
                <w:color w:val="auto"/>
              </w:rPr>
            </w:pPr>
          </w:p>
        </w:tc>
      </w:tr>
      <w:tr>
        <w:trPr>
          <w:trHeight w:val="194"/>
        </w:trPr>
        <w:tc>
          <w:tcPr>
            <w:tcW w:w="5460" w:type="dxa"/>
            <w:vAlign w:val="bottom"/>
            <w:tcBorders>
              <w:bottom w:val="single" w:sz="8" w:color="CFEDF9"/>
            </w:tcBorders>
            <w:shd w:val="clear" w:color="auto" w:fill="CFEDF9"/>
          </w:tcPr>
          <w:p>
            <w:pPr>
              <w:ind w:left="800"/>
              <w:spacing w:after="0" w:line="174" w:lineRule="exact"/>
              <w:rPr>
                <w:sz w:val="20"/>
                <w:szCs w:val="20"/>
                <w:color w:val="auto"/>
              </w:rPr>
            </w:pPr>
            <w:r>
              <w:rPr>
                <w:rFonts w:ascii="Times New Roman" w:cs="Times New Roman" w:eastAsia="Times New Roman" w:hAnsi="Times New Roman"/>
                <w:sz w:val="16"/>
                <w:szCs w:val="16"/>
                <w:b w:val="1"/>
                <w:bCs w:val="1"/>
                <w:color w:val="231F20"/>
              </w:rPr>
              <w:t>Total Net Unrealized and Realized Gains (Losses)</w:t>
            </w:r>
          </w:p>
        </w:tc>
        <w:tc>
          <w:tcPr>
            <w:tcW w:w="400" w:type="dxa"/>
            <w:vAlign w:val="bottom"/>
            <w:tcBorders>
              <w:bottom w:val="single" w:sz="8" w:color="CFEDF9"/>
            </w:tcBorders>
            <w:shd w:val="clear" w:color="auto" w:fill="CFEDF9"/>
          </w:tcPr>
          <w:p>
            <w:pPr>
              <w:spacing w:after="0"/>
              <w:rPr>
                <w:sz w:val="16"/>
                <w:szCs w:val="16"/>
                <w:color w:val="auto"/>
              </w:rPr>
            </w:pPr>
          </w:p>
        </w:tc>
        <w:tc>
          <w:tcPr>
            <w:tcW w:w="180" w:type="dxa"/>
            <w:vAlign w:val="bottom"/>
            <w:tcBorders>
              <w:bottom w:val="single" w:sz="8" w:color="231F20"/>
            </w:tcBorders>
            <w:shd w:val="clear" w:color="auto" w:fill="CFEDF9"/>
          </w:tcPr>
          <w:p>
            <w:pPr>
              <w:spacing w:after="0"/>
              <w:rPr>
                <w:sz w:val="16"/>
                <w:szCs w:val="16"/>
                <w:color w:val="auto"/>
              </w:rPr>
            </w:pPr>
          </w:p>
        </w:tc>
        <w:tc>
          <w:tcPr>
            <w:tcW w:w="12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25,624</w:t>
            </w:r>
          </w:p>
        </w:tc>
        <w:tc>
          <w:tcPr>
            <w:tcW w:w="140" w:type="dxa"/>
            <w:vAlign w:val="bottom"/>
            <w:tcBorders>
              <w:bottom w:val="single" w:sz="8" w:color="CFEDF9"/>
            </w:tcBorders>
            <w:shd w:val="clear" w:color="auto" w:fill="CFEDF9"/>
          </w:tcPr>
          <w:p>
            <w:pPr>
              <w:spacing w:after="0"/>
              <w:rPr>
                <w:sz w:val="16"/>
                <w:szCs w:val="16"/>
                <w:color w:val="auto"/>
              </w:rPr>
            </w:pPr>
          </w:p>
        </w:tc>
        <w:tc>
          <w:tcPr>
            <w:tcW w:w="100" w:type="dxa"/>
            <w:vAlign w:val="bottom"/>
            <w:tcBorders>
              <w:bottom w:val="single" w:sz="8" w:color="CFEDF9"/>
            </w:tcBorders>
            <w:shd w:val="clear" w:color="auto" w:fill="CFEDF9"/>
          </w:tcPr>
          <w:p>
            <w:pPr>
              <w:spacing w:after="0"/>
              <w:rPr>
                <w:sz w:val="16"/>
                <w:szCs w:val="16"/>
                <w:color w:val="auto"/>
              </w:rPr>
            </w:pPr>
          </w:p>
        </w:tc>
        <w:tc>
          <w:tcPr>
            <w:tcW w:w="80" w:type="dxa"/>
            <w:vAlign w:val="bottom"/>
            <w:tcBorders>
              <w:bottom w:val="single" w:sz="8" w:color="231F20"/>
            </w:tcBorders>
            <w:shd w:val="clear" w:color="auto" w:fill="CFEDF9"/>
          </w:tcPr>
          <w:p>
            <w:pPr>
              <w:spacing w:after="0"/>
              <w:rPr>
                <w:sz w:val="16"/>
                <w:szCs w:val="16"/>
                <w:color w:val="auto"/>
              </w:rPr>
            </w:pP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(58,274)</w:t>
            </w:r>
          </w:p>
        </w:tc>
        <w:tc>
          <w:tcPr>
            <w:tcW w:w="120" w:type="dxa"/>
            <w:vAlign w:val="bottom"/>
            <w:tcBorders>
              <w:bottom w:val="single" w:sz="8" w:color="CFEDF9"/>
            </w:tcBorders>
            <w:shd w:val="clear" w:color="auto" w:fill="CFEDF9"/>
          </w:tcPr>
          <w:p>
            <w:pPr>
              <w:spacing w:after="0"/>
              <w:rPr>
                <w:sz w:val="16"/>
                <w:szCs w:val="16"/>
                <w:color w:val="auto"/>
              </w:rPr>
            </w:pPr>
          </w:p>
        </w:tc>
        <w:tc>
          <w:tcPr>
            <w:tcW w:w="120" w:type="dxa"/>
            <w:vAlign w:val="bottom"/>
            <w:tcBorders>
              <w:bottom w:val="single" w:sz="8" w:color="CFEDF9"/>
            </w:tcBorders>
            <w:shd w:val="clear" w:color="auto" w:fill="CFEDF9"/>
          </w:tcPr>
          <w:p>
            <w:pPr>
              <w:spacing w:after="0"/>
              <w:rPr>
                <w:sz w:val="16"/>
                <w:szCs w:val="16"/>
                <w:color w:val="auto"/>
              </w:rPr>
            </w:pPr>
          </w:p>
        </w:tc>
        <w:tc>
          <w:tcPr>
            <w:tcW w:w="100" w:type="dxa"/>
            <w:vAlign w:val="bottom"/>
            <w:tcBorders>
              <w:bottom w:val="single" w:sz="8" w:color="231F20"/>
            </w:tcBorders>
            <w:shd w:val="clear" w:color="auto" w:fill="CFEDF9"/>
          </w:tcPr>
          <w:p>
            <w:pPr>
              <w:spacing w:after="0"/>
              <w:rPr>
                <w:sz w:val="16"/>
                <w:szCs w:val="16"/>
                <w:color w:val="auto"/>
              </w:rPr>
            </w:pP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69,421</w:t>
            </w:r>
          </w:p>
        </w:tc>
        <w:tc>
          <w:tcPr>
            <w:tcW w:w="100" w:type="dxa"/>
            <w:vAlign w:val="bottom"/>
            <w:tcBorders>
              <w:bottom w:val="single" w:sz="8" w:color="CFEDF9"/>
            </w:tcBorders>
            <w:shd w:val="clear" w:color="auto" w:fill="CFEDF9"/>
          </w:tcPr>
          <w:p>
            <w:pPr>
              <w:spacing w:after="0"/>
              <w:rPr>
                <w:sz w:val="16"/>
                <w:szCs w:val="16"/>
                <w:color w:val="auto"/>
              </w:rPr>
            </w:pPr>
          </w:p>
        </w:tc>
      </w:tr>
      <w:tr>
        <w:trPr>
          <w:trHeight w:val="194"/>
        </w:trPr>
        <w:tc>
          <w:tcPr>
            <w:tcW w:w="5460" w:type="dxa"/>
            <w:vAlign w:val="bottom"/>
            <w:tcBorders>
              <w:bottom w:val="single" w:sz="8" w:color="CFEDF9"/>
            </w:tcBorders>
          </w:tcPr>
          <w:p>
            <w:pPr>
              <w:ind w:left="800"/>
              <w:spacing w:after="0" w:line="154" w:lineRule="exact"/>
              <w:rPr>
                <w:sz w:val="20"/>
                <w:szCs w:val="20"/>
                <w:color w:val="auto"/>
              </w:rPr>
            </w:pPr>
            <w:r>
              <w:rPr>
                <w:rFonts w:ascii="Times New Roman" w:cs="Times New Roman" w:eastAsia="Times New Roman" w:hAnsi="Times New Roman"/>
                <w:sz w:val="16"/>
                <w:szCs w:val="16"/>
                <w:b w:val="1"/>
                <w:bCs w:val="1"/>
                <w:color w:val="231F20"/>
              </w:rPr>
              <w:t>Increase (Decrease) in Net Assets Resulting from Operations</w:t>
            </w:r>
          </w:p>
        </w:tc>
        <w:tc>
          <w:tcPr>
            <w:tcW w:w="400" w:type="dxa"/>
            <w:vAlign w:val="bottom"/>
            <w:tcBorders>
              <w:bottom w:val="single" w:sz="8" w:color="CFEDF9"/>
            </w:tcBorders>
          </w:tcPr>
          <w:p>
            <w:pPr>
              <w:spacing w:after="0"/>
              <w:rPr>
                <w:sz w:val="16"/>
                <w:szCs w:val="16"/>
                <w:color w:val="auto"/>
              </w:rPr>
            </w:pPr>
          </w:p>
        </w:tc>
        <w:tc>
          <w:tcPr>
            <w:tcW w:w="180" w:type="dxa"/>
            <w:vAlign w:val="bottom"/>
            <w:tcBorders>
              <w:bottom w:val="single" w:sz="8" w:color="231F20"/>
            </w:tcBorders>
          </w:tcPr>
          <w:p>
            <w:pPr>
              <w:jc w:val="right"/>
              <w:ind w:right="20"/>
              <w:spacing w:after="0" w:line="154" w:lineRule="exact"/>
              <w:rPr>
                <w:sz w:val="20"/>
                <w:szCs w:val="20"/>
                <w:color w:val="auto"/>
              </w:rPr>
            </w:pPr>
            <w:r>
              <w:rPr>
                <w:rFonts w:ascii="Times New Roman" w:cs="Times New Roman" w:eastAsia="Times New Roman" w:hAnsi="Times New Roman"/>
                <w:sz w:val="16"/>
                <w:szCs w:val="16"/>
                <w:color w:val="231F20"/>
                <w:w w:val="74"/>
              </w:rPr>
              <w:t>$</w:t>
            </w:r>
          </w:p>
        </w:tc>
        <w:tc>
          <w:tcPr>
            <w:tcW w:w="1200" w:type="dxa"/>
            <w:vAlign w:val="bottom"/>
            <w:tcBorders>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222,023</w:t>
            </w:r>
          </w:p>
        </w:tc>
        <w:tc>
          <w:tcPr>
            <w:tcW w:w="140" w:type="dxa"/>
            <w:vAlign w:val="bottom"/>
            <w:tcBorders>
              <w:bottom w:val="single" w:sz="8" w:color="CFEDF9"/>
            </w:tcBorders>
          </w:tcPr>
          <w:p>
            <w:pPr>
              <w:spacing w:after="0"/>
              <w:rPr>
                <w:sz w:val="16"/>
                <w:szCs w:val="16"/>
                <w:color w:val="auto"/>
              </w:rPr>
            </w:pPr>
          </w:p>
        </w:tc>
        <w:tc>
          <w:tcPr>
            <w:tcW w:w="100" w:type="dxa"/>
            <w:vAlign w:val="bottom"/>
            <w:tcBorders>
              <w:bottom w:val="single" w:sz="8" w:color="CFEDF9"/>
            </w:tcBorders>
          </w:tcPr>
          <w:p>
            <w:pPr>
              <w:spacing w:after="0"/>
              <w:rPr>
                <w:sz w:val="16"/>
                <w:szCs w:val="16"/>
                <w:color w:val="auto"/>
              </w:rPr>
            </w:pPr>
          </w:p>
        </w:tc>
        <w:tc>
          <w:tcPr>
            <w:tcW w:w="80" w:type="dxa"/>
            <w:vAlign w:val="bottom"/>
            <w:tcBorders>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w w:val="74"/>
              </w:rPr>
              <w:t>$</w:t>
            </w:r>
          </w:p>
        </w:tc>
        <w:tc>
          <w:tcPr>
            <w:tcW w:w="1400" w:type="dxa"/>
            <w:vAlign w:val="bottom"/>
            <w:tcBorders>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108,053</w:t>
            </w:r>
          </w:p>
        </w:tc>
        <w:tc>
          <w:tcPr>
            <w:tcW w:w="120" w:type="dxa"/>
            <w:vAlign w:val="bottom"/>
            <w:tcBorders>
              <w:bottom w:val="single" w:sz="8" w:color="CFEDF9"/>
            </w:tcBorders>
          </w:tcPr>
          <w:p>
            <w:pPr>
              <w:spacing w:after="0"/>
              <w:rPr>
                <w:sz w:val="16"/>
                <w:szCs w:val="16"/>
                <w:color w:val="auto"/>
              </w:rPr>
            </w:pPr>
          </w:p>
        </w:tc>
        <w:tc>
          <w:tcPr>
            <w:tcW w:w="120" w:type="dxa"/>
            <w:vAlign w:val="bottom"/>
            <w:tcBorders>
              <w:bottom w:val="single" w:sz="8" w:color="CFEDF9"/>
            </w:tcBorders>
          </w:tcPr>
          <w:p>
            <w:pPr>
              <w:spacing w:after="0"/>
              <w:rPr>
                <w:sz w:val="16"/>
                <w:szCs w:val="16"/>
                <w:color w:val="auto"/>
              </w:rPr>
            </w:pPr>
          </w:p>
        </w:tc>
        <w:tc>
          <w:tcPr>
            <w:tcW w:w="100" w:type="dxa"/>
            <w:vAlign w:val="bottom"/>
            <w:tcBorders>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w w:val="74"/>
              </w:rPr>
              <w:t>$</w:t>
            </w:r>
          </w:p>
        </w:tc>
        <w:tc>
          <w:tcPr>
            <w:tcW w:w="1400" w:type="dxa"/>
            <w:vAlign w:val="bottom"/>
            <w:tcBorders>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211,780</w:t>
            </w:r>
          </w:p>
        </w:tc>
        <w:tc>
          <w:tcPr>
            <w:tcW w:w="100" w:type="dxa"/>
            <w:vAlign w:val="bottom"/>
            <w:tcBorders>
              <w:bottom w:val="single" w:sz="8" w:color="CFEDF9"/>
            </w:tcBorders>
          </w:tcPr>
          <w:p>
            <w:pPr>
              <w:spacing w:after="0"/>
              <w:rPr>
                <w:sz w:val="16"/>
                <w:szCs w:val="16"/>
                <w:color w:val="auto"/>
              </w:rPr>
            </w:pPr>
          </w:p>
        </w:tc>
      </w:tr>
      <w:tr>
        <w:trPr>
          <w:trHeight w:val="169"/>
        </w:trPr>
        <w:tc>
          <w:tcPr>
            <w:tcW w:w="5460" w:type="dxa"/>
            <w:vAlign w:val="bottom"/>
            <w:shd w:val="clear" w:color="auto" w:fill="CFEDF9"/>
          </w:tcPr>
          <w:p>
            <w:pPr>
              <w:spacing w:after="0" w:line="169" w:lineRule="exact"/>
              <w:rPr>
                <w:sz w:val="20"/>
                <w:szCs w:val="20"/>
                <w:color w:val="auto"/>
              </w:rPr>
            </w:pPr>
            <w:r>
              <w:rPr>
                <w:rFonts w:ascii="Times New Roman" w:cs="Times New Roman" w:eastAsia="Times New Roman" w:hAnsi="Times New Roman"/>
                <w:sz w:val="16"/>
                <w:szCs w:val="16"/>
                <w:color w:val="231F20"/>
              </w:rPr>
              <w:t>Earnings per common share—basic</w:t>
            </w:r>
          </w:p>
        </w:tc>
        <w:tc>
          <w:tcPr>
            <w:tcW w:w="400" w:type="dxa"/>
            <w:vAlign w:val="bottom"/>
            <w:shd w:val="clear" w:color="auto" w:fill="CFEDF9"/>
          </w:tcPr>
          <w:p>
            <w:pPr>
              <w:spacing w:after="0"/>
              <w:rPr>
                <w:sz w:val="14"/>
                <w:szCs w:val="14"/>
                <w:color w:val="auto"/>
              </w:rPr>
            </w:pPr>
          </w:p>
        </w:tc>
        <w:tc>
          <w:tcPr>
            <w:tcW w:w="180" w:type="dxa"/>
            <w:vAlign w:val="bottom"/>
            <w:tcBorders>
              <w:bottom w:val="single" w:sz="8" w:color="231F20"/>
            </w:tcBorders>
            <w:shd w:val="clear" w:color="auto" w:fill="CFEDF9"/>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1200" w:type="dxa"/>
            <w:vAlign w:val="bottom"/>
            <w:tcBorders>
              <w:bottom w:val="single" w:sz="8" w:color="231F20"/>
            </w:tcBorders>
            <w:shd w:val="clear" w:color="auto" w:fill="CFEDF9"/>
          </w:tcPr>
          <w:p>
            <w:pPr>
              <w:jc w:val="right"/>
              <w:spacing w:after="0" w:line="169" w:lineRule="exact"/>
              <w:rPr>
                <w:sz w:val="20"/>
                <w:szCs w:val="20"/>
                <w:color w:val="auto"/>
              </w:rPr>
            </w:pPr>
            <w:r>
              <w:rPr>
                <w:rFonts w:ascii="Times New Roman" w:cs="Times New Roman" w:eastAsia="Times New Roman" w:hAnsi="Times New Roman"/>
                <w:sz w:val="16"/>
                <w:szCs w:val="16"/>
                <w:color w:val="231F20"/>
              </w:rPr>
              <w:t>2.61</w:t>
            </w:r>
          </w:p>
        </w:tc>
        <w:tc>
          <w:tcPr>
            <w:tcW w:w="14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80" w:type="dxa"/>
            <w:vAlign w:val="bottom"/>
            <w:tcBorders>
              <w:bottom w:val="single" w:sz="8" w:color="231F20"/>
            </w:tcBorders>
            <w:shd w:val="clear" w:color="auto" w:fill="CFEDF9"/>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1400" w:type="dxa"/>
            <w:vAlign w:val="bottom"/>
            <w:tcBorders>
              <w:bottom w:val="single" w:sz="8" w:color="231F20"/>
            </w:tcBorders>
            <w:shd w:val="clear" w:color="auto" w:fill="CFEDF9"/>
          </w:tcPr>
          <w:p>
            <w:pPr>
              <w:jc w:val="right"/>
              <w:spacing w:after="0" w:line="169" w:lineRule="exact"/>
              <w:rPr>
                <w:sz w:val="20"/>
                <w:szCs w:val="20"/>
                <w:color w:val="auto"/>
              </w:rPr>
            </w:pPr>
            <w:r>
              <w:rPr>
                <w:rFonts w:ascii="Times New Roman" w:cs="Times New Roman" w:eastAsia="Times New Roman" w:hAnsi="Times New Roman"/>
                <w:sz w:val="16"/>
                <w:szCs w:val="16"/>
                <w:color w:val="231F20"/>
              </w:rPr>
              <w:t>1.38</w:t>
            </w:r>
          </w:p>
        </w:tc>
        <w:tc>
          <w:tcPr>
            <w:tcW w:w="12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100" w:type="dxa"/>
            <w:vAlign w:val="bottom"/>
            <w:tcBorders>
              <w:bottom w:val="single" w:sz="8" w:color="231F20"/>
            </w:tcBorders>
            <w:shd w:val="clear" w:color="auto" w:fill="CFEDF9"/>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1400" w:type="dxa"/>
            <w:vAlign w:val="bottom"/>
            <w:tcBorders>
              <w:bottom w:val="single" w:sz="8" w:color="231F20"/>
            </w:tcBorders>
            <w:shd w:val="clear" w:color="auto" w:fill="CFEDF9"/>
          </w:tcPr>
          <w:p>
            <w:pPr>
              <w:jc w:val="right"/>
              <w:spacing w:after="0" w:line="169" w:lineRule="exact"/>
              <w:rPr>
                <w:sz w:val="20"/>
                <w:szCs w:val="20"/>
                <w:color w:val="auto"/>
              </w:rPr>
            </w:pPr>
            <w:r>
              <w:rPr>
                <w:rFonts w:ascii="Times New Roman" w:cs="Times New Roman" w:eastAsia="Times New Roman" w:hAnsi="Times New Roman"/>
                <w:sz w:val="16"/>
                <w:szCs w:val="16"/>
                <w:color w:val="231F20"/>
              </w:rPr>
              <w:t>2.93</w:t>
            </w:r>
          </w:p>
        </w:tc>
        <w:tc>
          <w:tcPr>
            <w:tcW w:w="100" w:type="dxa"/>
            <w:vAlign w:val="bottom"/>
            <w:shd w:val="clear" w:color="auto" w:fill="CFEDF9"/>
          </w:tcPr>
          <w:p>
            <w:pPr>
              <w:spacing w:after="0"/>
              <w:rPr>
                <w:sz w:val="14"/>
                <w:szCs w:val="14"/>
                <w:color w:val="auto"/>
              </w:rPr>
            </w:pPr>
          </w:p>
        </w:tc>
      </w:tr>
      <w:tr>
        <w:trPr>
          <w:trHeight w:val="174"/>
        </w:trPr>
        <w:tc>
          <w:tcPr>
            <w:tcW w:w="5460" w:type="dxa"/>
            <w:vAlign w:val="bottom"/>
            <w:tcBorders>
              <w:bottom w:val="single" w:sz="8" w:color="CFEDF9"/>
            </w:tcBorders>
          </w:tcPr>
          <w:p>
            <w:pPr>
              <w:spacing w:after="0" w:line="174" w:lineRule="exact"/>
              <w:rPr>
                <w:sz w:val="20"/>
                <w:szCs w:val="20"/>
                <w:color w:val="auto"/>
              </w:rPr>
            </w:pPr>
            <w:r>
              <w:rPr>
                <w:rFonts w:ascii="Times New Roman" w:cs="Times New Roman" w:eastAsia="Times New Roman" w:hAnsi="Times New Roman"/>
                <w:sz w:val="16"/>
                <w:szCs w:val="16"/>
                <w:color w:val="231F20"/>
              </w:rPr>
              <w:t>Weighted average shares of common stock outstanding—basic</w:t>
            </w:r>
          </w:p>
        </w:tc>
        <w:tc>
          <w:tcPr>
            <w:tcW w:w="400" w:type="dxa"/>
            <w:vAlign w:val="bottom"/>
            <w:tcBorders>
              <w:bottom w:val="single" w:sz="8" w:color="CFEDF9"/>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85,131,264</w:t>
            </w:r>
          </w:p>
        </w:tc>
        <w:tc>
          <w:tcPr>
            <w:tcW w:w="140" w:type="dxa"/>
            <w:vAlign w:val="bottom"/>
            <w:tcBorders>
              <w:bottom w:val="single" w:sz="8" w:color="CFEDF9"/>
            </w:tcBorders>
          </w:tcPr>
          <w:p>
            <w:pPr>
              <w:spacing w:after="0"/>
              <w:rPr>
                <w:sz w:val="15"/>
                <w:szCs w:val="15"/>
                <w:color w:val="auto"/>
              </w:rPr>
            </w:pPr>
          </w:p>
        </w:tc>
        <w:tc>
          <w:tcPr>
            <w:tcW w:w="100" w:type="dxa"/>
            <w:vAlign w:val="bottom"/>
            <w:tcBorders>
              <w:bottom w:val="single" w:sz="8" w:color="CFEDF9"/>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78,197,826</w:t>
            </w:r>
          </w:p>
        </w:tc>
        <w:tc>
          <w:tcPr>
            <w:tcW w:w="120" w:type="dxa"/>
            <w:vAlign w:val="bottom"/>
            <w:tcBorders>
              <w:bottom w:val="single" w:sz="8" w:color="CFEDF9"/>
            </w:tcBorders>
          </w:tcPr>
          <w:p>
            <w:pPr>
              <w:spacing w:after="0"/>
              <w:rPr>
                <w:sz w:val="15"/>
                <w:szCs w:val="15"/>
                <w:color w:val="auto"/>
              </w:rPr>
            </w:pPr>
          </w:p>
        </w:tc>
        <w:tc>
          <w:tcPr>
            <w:tcW w:w="120" w:type="dxa"/>
            <w:vAlign w:val="bottom"/>
            <w:tcBorders>
              <w:bottom w:val="single" w:sz="8" w:color="CFEDF9"/>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72,169,488</w:t>
            </w:r>
          </w:p>
        </w:tc>
        <w:tc>
          <w:tcPr>
            <w:tcW w:w="100" w:type="dxa"/>
            <w:vAlign w:val="bottom"/>
            <w:tcBorders>
              <w:bottom w:val="single" w:sz="8" w:color="CFEDF9"/>
            </w:tcBorders>
          </w:tcPr>
          <w:p>
            <w:pPr>
              <w:spacing w:after="0"/>
              <w:rPr>
                <w:sz w:val="15"/>
                <w:szCs w:val="15"/>
                <w:color w:val="auto"/>
              </w:rPr>
            </w:pPr>
          </w:p>
        </w:tc>
      </w:tr>
      <w:tr>
        <w:trPr>
          <w:trHeight w:val="174"/>
        </w:trPr>
        <w:tc>
          <w:tcPr>
            <w:tcW w:w="5460" w:type="dxa"/>
            <w:vAlign w:val="bottom"/>
            <w:shd w:val="clear" w:color="auto" w:fill="CFEDF9"/>
          </w:tcPr>
          <w:p>
            <w:pPr>
              <w:spacing w:after="0" w:line="174" w:lineRule="exact"/>
              <w:rPr>
                <w:sz w:val="20"/>
                <w:szCs w:val="20"/>
                <w:color w:val="auto"/>
              </w:rPr>
            </w:pPr>
            <w:r>
              <w:rPr>
                <w:rFonts w:ascii="Times New Roman" w:cs="Times New Roman" w:eastAsia="Times New Roman" w:hAnsi="Times New Roman"/>
                <w:sz w:val="16"/>
                <w:szCs w:val="16"/>
                <w:color w:val="231F20"/>
              </w:rPr>
              <w:t>Earnings per common share—diluted</w:t>
            </w:r>
          </w:p>
        </w:tc>
        <w:tc>
          <w:tcPr>
            <w:tcW w:w="400" w:type="dxa"/>
            <w:vAlign w:val="bottom"/>
            <w:shd w:val="clear" w:color="auto" w:fill="CFEDF9"/>
          </w:tcPr>
          <w:p>
            <w:pPr>
              <w:spacing w:after="0"/>
              <w:rPr>
                <w:sz w:val="15"/>
                <w:szCs w:val="15"/>
                <w:color w:val="auto"/>
              </w:rPr>
            </w:pPr>
          </w:p>
        </w:tc>
        <w:tc>
          <w:tcPr>
            <w:tcW w:w="180" w:type="dxa"/>
            <w:vAlign w:val="bottom"/>
            <w:tcBorders>
              <w:bottom w:val="single" w:sz="8" w:color="231F20"/>
            </w:tcBorders>
            <w:shd w:val="clear" w:color="auto" w:fill="CFEDF9"/>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2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2.61</w:t>
            </w:r>
          </w:p>
        </w:tc>
        <w:tc>
          <w:tcPr>
            <w:tcW w:w="14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8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1.38</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2.79</w:t>
            </w:r>
          </w:p>
        </w:tc>
        <w:tc>
          <w:tcPr>
            <w:tcW w:w="100" w:type="dxa"/>
            <w:vAlign w:val="bottom"/>
            <w:shd w:val="clear" w:color="auto" w:fill="CFEDF9"/>
          </w:tcPr>
          <w:p>
            <w:pPr>
              <w:spacing w:after="0"/>
              <w:rPr>
                <w:sz w:val="15"/>
                <w:szCs w:val="15"/>
                <w:color w:val="auto"/>
              </w:rPr>
            </w:pPr>
          </w:p>
        </w:tc>
      </w:tr>
      <w:tr>
        <w:trPr>
          <w:trHeight w:val="174"/>
        </w:trPr>
        <w:tc>
          <w:tcPr>
            <w:tcW w:w="54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231F20"/>
              </w:rPr>
              <w:t>Weighted average shares of common stock outstanding—diluted</w:t>
            </w:r>
          </w:p>
        </w:tc>
        <w:tc>
          <w:tcPr>
            <w:tcW w:w="400" w:type="dxa"/>
            <w:vAlign w:val="bottom"/>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85,131,264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78,197,826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77,702,258</w:t>
            </w:r>
          </w:p>
        </w:tc>
        <w:tc>
          <w:tcPr>
            <w:tcW w:w="100" w:type="dxa"/>
            <w:vAlign w:val="bottom"/>
          </w:tcPr>
          <w:p>
            <w:pPr>
              <w:spacing w:after="0"/>
              <w:rPr>
                <w:sz w:val="15"/>
                <w:szCs w:val="15"/>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F-5</w:t>
      </w:r>
    </w:p>
    <w:p>
      <w:pPr>
        <w:sectPr>
          <w:pgSz w:w="12240" w:h="15840" w:orient="portrait"/>
          <w:cols w:equalWidth="0" w:num="1">
            <w:col w:w="10800"/>
          </w:cols>
          <w:pgMar w:left="720" w:top="926" w:right="720" w:bottom="175"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231F20"/>
        </w:rPr>
        <w:t>Sixth Street Specialty Lending,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Schedule of Investments as of December 31, 2023</w:t>
      </w: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 except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Initial</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7"/>
              </w:rPr>
              <w:t>Reference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Acquisition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9"/>
              </w:rPr>
              <w:t>Rate and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231F20"/>
                <w:w w:val="98"/>
              </w:rPr>
              <w:t>Amortized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231F20"/>
              </w:rPr>
              <w:t>Percentage</w:t>
            </w:r>
          </w:p>
        </w:tc>
      </w:tr>
      <w:tr>
        <w:trPr>
          <w:trHeight w:val="151"/>
        </w:trPr>
        <w:tc>
          <w:tcPr>
            <w:tcW w:w="1560" w:type="dxa"/>
            <w:vAlign w:val="bottom"/>
          </w:tcPr>
          <w:p>
            <w:pPr>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Company </w:t>
            </w:r>
            <w:r>
              <w:rPr>
                <w:rFonts w:ascii="Times New Roman" w:cs="Times New Roman" w:eastAsia="Times New Roman" w:hAnsi="Times New Roman"/>
                <w:sz w:val="16"/>
                <w:szCs w:val="16"/>
                <w:b w:val="1"/>
                <w:bCs w:val="1"/>
                <w:color w:val="231F20"/>
                <w:vertAlign w:val="superscript"/>
              </w:rPr>
              <w:t>(1)</w:t>
            </w:r>
          </w:p>
        </w:tc>
        <w:tc>
          <w:tcPr>
            <w:tcW w:w="100" w:type="dxa"/>
            <w:vAlign w:val="bottom"/>
          </w:tcPr>
          <w:p>
            <w:pPr>
              <w:spacing w:after="0"/>
              <w:rPr>
                <w:sz w:val="13"/>
                <w:szCs w:val="13"/>
                <w:color w:val="auto"/>
              </w:rPr>
            </w:pPr>
          </w:p>
        </w:tc>
        <w:tc>
          <w:tcPr>
            <w:tcW w:w="26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231F20"/>
              </w:rPr>
              <w:t>Investment</w:t>
            </w:r>
          </w:p>
        </w:tc>
        <w:tc>
          <w:tcPr>
            <w:tcW w:w="12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9"/>
              </w:rPr>
              <w:t>Date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Spread</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231F20"/>
              </w:rPr>
              <w:t>Interest Rate</w:t>
            </w:r>
          </w:p>
        </w:tc>
        <w:tc>
          <w:tcPr>
            <w:tcW w:w="240" w:type="dxa"/>
            <w:vAlign w:val="bottom"/>
          </w:tcPr>
          <w:p>
            <w:pPr>
              <w:spacing w:after="0"/>
              <w:rPr>
                <w:sz w:val="13"/>
                <w:szCs w:val="13"/>
                <w:color w:val="auto"/>
              </w:rPr>
            </w:pPr>
          </w:p>
        </w:tc>
        <w:tc>
          <w:tcPr>
            <w:tcW w:w="11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7"/>
                <w:szCs w:val="17"/>
                <w:b w:val="1"/>
                <w:bCs w:val="1"/>
                <w:color w:val="231F20"/>
                <w:vertAlign w:val="subscript"/>
              </w:rPr>
              <w:t>Cost</w:t>
            </w:r>
            <w:r>
              <w:rPr>
                <w:rFonts w:ascii="Times New Roman" w:cs="Times New Roman" w:eastAsia="Times New Roman" w:hAnsi="Times New Roman"/>
                <w:sz w:val="7"/>
                <w:szCs w:val="7"/>
                <w:b w:val="1"/>
                <w:bCs w:val="1"/>
                <w:color w:val="231F20"/>
              </w:rPr>
              <w:t xml:space="preserve"> (2)(8)</w:t>
            </w:r>
          </w:p>
        </w:tc>
        <w:tc>
          <w:tcPr>
            <w:tcW w:w="140" w:type="dxa"/>
            <w:vAlign w:val="bottom"/>
          </w:tcPr>
          <w:p>
            <w:pPr>
              <w:spacing w:after="0"/>
              <w:rPr>
                <w:sz w:val="13"/>
                <w:szCs w:val="13"/>
                <w:color w:val="auto"/>
              </w:rPr>
            </w:pPr>
          </w:p>
        </w:tc>
        <w:tc>
          <w:tcPr>
            <w:tcW w:w="96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Fair Value </w:t>
            </w:r>
            <w:r>
              <w:rPr>
                <w:rFonts w:ascii="Times New Roman" w:cs="Times New Roman" w:eastAsia="Times New Roman" w:hAnsi="Times New Roman"/>
                <w:sz w:val="16"/>
                <w:szCs w:val="16"/>
                <w:b w:val="1"/>
                <w:bCs w:val="1"/>
                <w:color w:val="231F20"/>
                <w:vertAlign w:val="superscript"/>
              </w:rPr>
              <w:t>(9)</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231F20"/>
              </w:rPr>
              <w:t>of Net Assets</w:t>
            </w:r>
          </w:p>
        </w:tc>
      </w:tr>
      <w:tr>
        <w:trPr>
          <w:trHeight w:val="128"/>
        </w:trPr>
        <w:tc>
          <w:tcPr>
            <w:tcW w:w="1560" w:type="dxa"/>
            <w:vAlign w:val="bottom"/>
            <w:tcBorders>
              <w:top w:val="single" w:sz="8" w:color="231F20"/>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Debt Investments</w:t>
            </w:r>
          </w:p>
        </w:tc>
        <w:tc>
          <w:tcPr>
            <w:tcW w:w="100" w:type="dxa"/>
            <w:vAlign w:val="bottom"/>
            <w:tcBorders>
              <w:top w:val="single" w:sz="8" w:color="CFEDF9"/>
            </w:tcBorders>
            <w:shd w:val="clear" w:color="auto" w:fill="CFEDF9"/>
          </w:tcPr>
          <w:p>
            <w:pPr>
              <w:spacing w:after="0"/>
              <w:rPr>
                <w:sz w:val="11"/>
                <w:szCs w:val="11"/>
                <w:color w:val="auto"/>
              </w:rPr>
            </w:pPr>
          </w:p>
        </w:tc>
        <w:tc>
          <w:tcPr>
            <w:tcW w:w="2600" w:type="dxa"/>
            <w:vAlign w:val="bottom"/>
            <w:tcBorders>
              <w:top w:val="single" w:sz="8" w:color="231F20"/>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880" w:type="dxa"/>
            <w:vAlign w:val="bottom"/>
            <w:tcBorders>
              <w:top w:val="single" w:sz="8" w:color="231F20"/>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940" w:type="dxa"/>
            <w:vAlign w:val="bottom"/>
            <w:tcBorders>
              <w:top w:val="single" w:sz="8" w:color="231F20"/>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920" w:type="dxa"/>
            <w:vAlign w:val="bottom"/>
            <w:tcBorders>
              <w:top w:val="single" w:sz="8" w:color="231F20"/>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240" w:type="dxa"/>
            <w:vAlign w:val="bottom"/>
            <w:tcBorders>
              <w:top w:val="single" w:sz="8" w:color="231F20"/>
            </w:tcBorders>
            <w:shd w:val="clear" w:color="auto" w:fill="CFEDF9"/>
          </w:tcPr>
          <w:p>
            <w:pPr>
              <w:spacing w:after="0"/>
              <w:rPr>
                <w:sz w:val="11"/>
                <w:szCs w:val="11"/>
                <w:color w:val="auto"/>
              </w:rPr>
            </w:pPr>
          </w:p>
        </w:tc>
        <w:tc>
          <w:tcPr>
            <w:tcW w:w="1020" w:type="dxa"/>
            <w:vAlign w:val="bottom"/>
            <w:tcBorders>
              <w:top w:val="single" w:sz="8" w:color="231F20"/>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140" w:type="dxa"/>
            <w:vAlign w:val="bottom"/>
            <w:tcBorders>
              <w:top w:val="single" w:sz="8" w:color="231F20"/>
            </w:tcBorders>
            <w:shd w:val="clear" w:color="auto" w:fill="CFEDF9"/>
          </w:tcPr>
          <w:p>
            <w:pPr>
              <w:spacing w:after="0"/>
              <w:rPr>
                <w:sz w:val="11"/>
                <w:szCs w:val="11"/>
                <w:color w:val="auto"/>
              </w:rPr>
            </w:pPr>
          </w:p>
        </w:tc>
        <w:tc>
          <w:tcPr>
            <w:tcW w:w="860" w:type="dxa"/>
            <w:vAlign w:val="bottom"/>
            <w:tcBorders>
              <w:top w:val="single" w:sz="8" w:color="231F20"/>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880" w:type="dxa"/>
            <w:vAlign w:val="bottom"/>
            <w:tcBorders>
              <w:top w:val="single" w:sz="8" w:color="231F20"/>
            </w:tcBorders>
            <w:shd w:val="clear" w:color="auto" w:fill="CFEDF9"/>
          </w:tcPr>
          <w:p>
            <w:pPr>
              <w:spacing w:after="0"/>
              <w:rPr>
                <w:sz w:val="11"/>
                <w:szCs w:val="11"/>
                <w:color w:val="auto"/>
              </w:rPr>
            </w:pPr>
          </w:p>
        </w:tc>
      </w:tr>
      <w:tr>
        <w:trPr>
          <w:trHeight w:val="138"/>
        </w:trPr>
        <w:tc>
          <w:tcPr>
            <w:tcW w:w="156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Automotive</w:t>
            </w: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Bestpass,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($44,800 par, due 5/2029)</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5/26/2023</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+ 5.75%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11.11%</w:t>
            </w:r>
          </w:p>
        </w:tc>
        <w:tc>
          <w:tcPr>
            <w:tcW w:w="240" w:type="dxa"/>
            <w:vAlign w:val="bottom"/>
            <w:shd w:val="clear" w:color="auto" w:fill="CFEDF9"/>
          </w:tcPr>
          <w:p>
            <w:pPr>
              <w:jc w:val="right"/>
              <w:ind w:right="125"/>
              <w:spacing w:after="0"/>
              <w:rPr>
                <w:sz w:val="20"/>
                <w:szCs w:val="20"/>
                <w:color w:val="auto"/>
              </w:rPr>
            </w:pPr>
            <w:r>
              <w:rPr>
                <w:rFonts w:ascii="Times New Roman" w:cs="Times New Roman" w:eastAsia="Times New Roman" w:hAnsi="Times New Roman"/>
                <w:sz w:val="11"/>
                <w:szCs w:val="11"/>
                <w:color w:val="231F20"/>
                <w:w w:val="71"/>
              </w:rPr>
              <w:t>$</w:t>
            </w: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43,571</w:t>
            </w:r>
          </w:p>
        </w:tc>
        <w:tc>
          <w:tcPr>
            <w:tcW w:w="140" w:type="dxa"/>
            <w:vAlign w:val="bottom"/>
            <w:shd w:val="clear" w:color="auto" w:fill="CFEDF9"/>
          </w:tcPr>
          <w:p>
            <w:pPr>
              <w:jc w:val="right"/>
              <w:ind w:right="25"/>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44,240</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3.0%</w:t>
            </w:r>
          </w:p>
        </w:tc>
      </w:tr>
      <w:tr>
        <w:trPr>
          <w:trHeight w:val="138"/>
        </w:trPr>
        <w:tc>
          <w:tcPr>
            <w:tcW w:w="156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Business Services</w:t>
            </w: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Acceo Solutions, Inc. </w:t>
            </w:r>
            <w:r>
              <w:rPr>
                <w:rFonts w:ascii="Times New Roman" w:cs="Times New Roman" w:eastAsia="Times New Roman" w:hAnsi="Times New Roman"/>
                <w:sz w:val="14"/>
                <w:szCs w:val="14"/>
                <w:color w:val="231F20"/>
                <w:vertAlign w:val="superscript"/>
              </w:rPr>
              <w:t>(3)(4)(5)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(CAD 52,941 par, due 10/2025)</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7/6/2018</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C + 4.75%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10.21%</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40,026</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40,150</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2.7%</w:t>
            </w: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(CAD 52,941)</w:t>
            </w:r>
          </w:p>
        </w:tc>
        <w:tc>
          <w:tcPr>
            <w:tcW w:w="880" w:type="dxa"/>
            <w:vAlign w:val="bottom"/>
            <w:shd w:val="clear" w:color="auto" w:fill="CFEDF9"/>
          </w:tcPr>
          <w:p>
            <w:pPr>
              <w:spacing w:after="0"/>
              <w:rPr>
                <w:sz w:val="12"/>
                <w:szCs w:val="12"/>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Alpha Midco, Inc.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($68,885 par, due 8/2025)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8/15/2019</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+ 7.63%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12.97%</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68,287</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69,751</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4.7%</w:t>
            </w: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Artisan Bidco, Inc.</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($38,112 par, due 11/2029)</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11/7/2023</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+ 7.00%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12.38%</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37,250</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37,563</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2.5%</w:t>
            </w:r>
          </w:p>
        </w:tc>
      </w:tr>
      <w:tr>
        <w:trPr>
          <w:trHeight w:val="127"/>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17,735 par, due 11/2029)</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11/7/2023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+ 7.00%</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10.96%</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18,681</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19,346</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1.3%</w:t>
            </w:r>
          </w:p>
        </w:tc>
      </w:t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(EUR 17,513)</w:t>
            </w:r>
          </w:p>
        </w:tc>
        <w:tc>
          <w:tcPr>
            <w:tcW w:w="880" w:type="dxa"/>
            <w:vAlign w:val="bottom"/>
          </w:tcPr>
          <w:p>
            <w:pPr>
              <w:spacing w:after="0"/>
              <w:rPr>
                <w:sz w:val="12"/>
                <w:szCs w:val="12"/>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BCTO Ignition Purchaser,</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holdco loan ($31,935 par, due 10/2030)</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4/18/2023</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+ 9.00%</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14.40% PIK</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31,086</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31,775</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2.1%</w:t>
            </w: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Inc. </w:t>
            </w:r>
            <w:r>
              <w:rPr>
                <w:rFonts w:ascii="Times New Roman" w:cs="Times New Roman" w:eastAsia="Times New Roman" w:hAnsi="Times New Roman"/>
                <w:sz w:val="16"/>
                <w:szCs w:val="16"/>
                <w:color w:val="231F20"/>
                <w:vertAlign w:val="superscript"/>
              </w:rPr>
              <w:t>(3)</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Crewline Buyer, Inc.</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($56,324 par, due 11/2030)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11/8/2023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+ 6.75%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12.10%</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54,781</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55,236</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3.7%</w:t>
            </w: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Dye &amp; Durham Corp. </w:t>
            </w:r>
            <w:r>
              <w:rPr>
                <w:rFonts w:ascii="Times New Roman" w:cs="Times New Roman" w:eastAsia="Times New Roman" w:hAnsi="Times New Roman"/>
                <w:sz w:val="14"/>
                <w:szCs w:val="14"/>
                <w:color w:val="231F20"/>
                <w:vertAlign w:val="superscript"/>
              </w:rPr>
              <w:t>(3)(4)</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(CAD 37,874 par, due 12/2027)</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12/3/2021</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C + 5.75%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11.20%</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28,873</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28,938</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1.9%</w:t>
            </w: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(CAD 38,158)</w:t>
            </w:r>
          </w:p>
        </w:tc>
        <w:tc>
          <w:tcPr>
            <w:tcW w:w="880" w:type="dxa"/>
            <w:vAlign w:val="bottom"/>
            <w:shd w:val="clear" w:color="auto" w:fill="CFEDF9"/>
          </w:tcPr>
          <w:p>
            <w:pPr>
              <w:spacing w:after="0"/>
              <w:rPr>
                <w:sz w:val="12"/>
                <w:szCs w:val="12"/>
                <w:color w:val="auto"/>
              </w:rPr>
            </w:pPr>
          </w:p>
        </w:tc>
      </w:tr>
      <w:tr>
        <w:trPr>
          <w:trHeight w:val="127"/>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revolving loan (CAD 1,086 par, due</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12/3/2021</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C + 5.75%</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11.20%</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693</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824</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r>
      <w:tr>
        <w:trPr>
          <w:trHeight w:val="149"/>
        </w:trPr>
        <w:tc>
          <w:tcPr>
            <w:tcW w:w="1560" w:type="dxa"/>
            <w:vAlign w:val="bottom"/>
          </w:tcPr>
          <w:p>
            <w:pPr>
              <w:spacing w:after="0"/>
              <w:rPr>
                <w:sz w:val="12"/>
                <w:szCs w:val="12"/>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231F20"/>
              </w:rPr>
              <w:t>12/2026)</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(CAD 1,086)</w:t>
            </w:r>
          </w:p>
        </w:tc>
        <w:tc>
          <w:tcPr>
            <w:tcW w:w="88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ExtraHop Networks,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($66,197 par, due 7/2027)</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7/22/2021</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+ 7.60%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12.96%</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65,245</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65,866</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4.4%</w:t>
            </w: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ForeScout Technologies,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($5,476 par, due 8/2026)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7/1/2022</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+ 8.10%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13.45%</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5,420</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5,498</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0.4%</w:t>
            </w: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Galileo Parent, Inc.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($64,742 par, due 5/2030)</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5/3/2023</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12.60%</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62,920</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63,770</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4.3%</w:t>
            </w: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revolving loan ($3,317 par, due 5/2029)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5/3/2023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12.60%</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3,048</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3,166</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0.2%</w:t>
            </w: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Hornetsecurity Holding GmbH</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3,150 par, due 11/2029)</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11/14/2022</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+ 6.50%</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10.50%</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3,154</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3,536</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0.2%</w:t>
            </w:r>
          </w:p>
        </w:tc>
      </w:tr>
      <w:tr>
        <w:trPr>
          <w:trHeight w:val="149"/>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8"/>
                <w:szCs w:val="8"/>
                <w:color w:val="231F20"/>
              </w:rPr>
              <w:t>(3)(4)</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(EUR 3,201)</w:t>
            </w:r>
          </w:p>
        </w:tc>
        <w:tc>
          <w:tcPr>
            <w:tcW w:w="880" w:type="dxa"/>
            <w:vAlign w:val="bottom"/>
            <w:shd w:val="clear" w:color="auto" w:fill="CFEDF9"/>
          </w:tcPr>
          <w:p>
            <w:pPr>
              <w:spacing w:after="0"/>
              <w:rPr>
                <w:sz w:val="12"/>
                <w:szCs w:val="12"/>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Information Clearinghouse,</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($17,640 par, due 12/2026)</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12/20/2021</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+ 6.65%</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12.02%</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17,342</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17,598</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w:t>
            </w:r>
          </w:p>
        </w:tc>
      </w:tr>
      <w:tr>
        <w:trPr>
          <w:trHeight w:val="138"/>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231F20"/>
              </w:rPr>
              <w:t>LLC and MS Market Service,</w:t>
            </w: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 xml:space="preserve"> (3)(5)</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Mitnick Corporate Purchaser,</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($329 par, due 5/2029)</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5/2/2022</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+ 4.50%</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9.98%</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329</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310</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Inc.</w:t>
            </w:r>
            <w:r>
              <w:rPr>
                <w:rFonts w:ascii="Times New Roman" w:cs="Times New Roman" w:eastAsia="Times New Roman" w:hAnsi="Times New Roman"/>
                <w:sz w:val="7"/>
                <w:szCs w:val="7"/>
                <w:color w:val="231F20"/>
              </w:rPr>
              <w:t xml:space="preserve"> (3)(9)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Netwrix Corp.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($36,594 par, due 6/2029)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6/9/2022</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+ 5.00%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10.39%</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36,074</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36,842</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2.4%</w:t>
            </w: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OutSystems Luxco SARL</w:t>
            </w:r>
            <w:r>
              <w:rPr>
                <w:rFonts w:ascii="Times New Roman" w:cs="Times New Roman" w:eastAsia="Times New Roman" w:hAnsi="Times New Roman"/>
                <w:sz w:val="14"/>
                <w:szCs w:val="14"/>
                <w:color w:val="231F20"/>
                <w:vertAlign w:val="superscript"/>
              </w:rPr>
              <w:t>(3)(4)(5)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3,004 par, due 12/2028)</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12/8/2022</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+ 5.75%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9.59%</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3,091</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3,332</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0.2%</w:t>
            </w: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(EUR 3,016)</w:t>
            </w:r>
          </w:p>
        </w:tc>
        <w:tc>
          <w:tcPr>
            <w:tcW w:w="880" w:type="dxa"/>
            <w:vAlign w:val="bottom"/>
            <w:shd w:val="clear" w:color="auto" w:fill="CFEDF9"/>
          </w:tcPr>
          <w:p>
            <w:pPr>
              <w:spacing w:after="0"/>
              <w:rPr>
                <w:sz w:val="12"/>
                <w:szCs w:val="12"/>
                <w:color w:val="auto"/>
              </w:rPr>
            </w:pPr>
          </w:p>
        </w:tc>
      </w:tr>
      <w:tr>
        <w:trPr>
          <w:trHeight w:val="127"/>
        </w:trPr>
        <w:tc>
          <w:tcPr>
            <w:tcW w:w="1560" w:type="dxa"/>
            <w:vAlign w:val="bottom"/>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Price Fx Inc. </w:t>
            </w:r>
            <w:r>
              <w:rPr>
                <w:rFonts w:ascii="Times New Roman" w:cs="Times New Roman" w:eastAsia="Times New Roman" w:hAnsi="Times New Roman"/>
                <w:sz w:val="14"/>
                <w:szCs w:val="14"/>
                <w:color w:val="231F20"/>
                <w:vertAlign w:val="superscript"/>
              </w:rPr>
              <w:t>(3)(4)</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910 par, due 10/2029)</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10/27/2023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+ 7.00%</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10.94%</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962</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983</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(EUR 890)</w:t>
            </w:r>
          </w:p>
        </w:tc>
        <w:tc>
          <w:tcPr>
            <w:tcW w:w="88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ReliaQuest Holdings, LLC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($82,626 par, due 10/2026)</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10/8/2020</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12.63%</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81,711</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83,658</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5.6%</w:t>
            </w: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Wrangler TopCo, LLC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($4,043,546 par, due 7/2029)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7/7/2023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+ 7.50%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12.88%</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4,044</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4,118</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0.3%</w:t>
            </w:r>
          </w:p>
        </w:tc>
      </w:tr>
      <w:tr>
        <w:trPr>
          <w:trHeight w:val="148"/>
        </w:trPr>
        <w:tc>
          <w:tcPr>
            <w:tcW w:w="156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2600" w:type="dxa"/>
            <w:vAlign w:val="bottom"/>
            <w:tcBorders>
              <w:top w:val="single" w:sz="8" w:color="CFEDF9"/>
              <w:bottom w:val="single" w:sz="8" w:color="CFEDF9"/>
            </w:tcBorders>
            <w:shd w:val="clear" w:color="auto" w:fill="CFEDF9"/>
          </w:tcPr>
          <w:p>
            <w:pPr>
              <w:spacing w:after="0"/>
              <w:rPr>
                <w:sz w:val="12"/>
                <w:szCs w:val="12"/>
                <w:color w:val="auto"/>
              </w:rPr>
            </w:pPr>
          </w:p>
        </w:tc>
        <w:tc>
          <w:tcPr>
            <w:tcW w:w="120" w:type="dxa"/>
            <w:vAlign w:val="bottom"/>
            <w:tcBorders>
              <w:top w:val="single" w:sz="8" w:color="CFEDF9"/>
              <w:bottom w:val="single" w:sz="8" w:color="CFEDF9"/>
            </w:tcBorders>
            <w:shd w:val="clear" w:color="auto" w:fill="CFEDF9"/>
          </w:tcPr>
          <w:p>
            <w:pPr>
              <w:spacing w:after="0"/>
              <w:rPr>
                <w:sz w:val="12"/>
                <w:szCs w:val="12"/>
                <w:color w:val="auto"/>
              </w:rPr>
            </w:pPr>
          </w:p>
        </w:tc>
        <w:tc>
          <w:tcPr>
            <w:tcW w:w="88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94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92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240" w:type="dxa"/>
            <w:vAlign w:val="bottom"/>
            <w:tcBorders>
              <w:top w:val="single" w:sz="8" w:color="231F20"/>
              <w:bottom w:val="single" w:sz="8" w:color="231F20"/>
            </w:tcBorders>
            <w:shd w:val="clear" w:color="auto" w:fill="CFEDF9"/>
          </w:tcPr>
          <w:p>
            <w:pPr>
              <w:spacing w:after="0"/>
              <w:rPr>
                <w:sz w:val="12"/>
                <w:szCs w:val="12"/>
                <w:color w:val="auto"/>
              </w:rPr>
            </w:pPr>
          </w:p>
        </w:tc>
        <w:tc>
          <w:tcPr>
            <w:tcW w:w="1020" w:type="dxa"/>
            <w:vAlign w:val="bottom"/>
            <w:tcBorders>
              <w:top w:val="single" w:sz="8" w:color="231F20"/>
              <w:bottom w:val="single" w:sz="8" w:color="231F20"/>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563,017</w:t>
            </w: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140" w:type="dxa"/>
            <w:vAlign w:val="bottom"/>
            <w:tcBorders>
              <w:top w:val="single" w:sz="8" w:color="231F20"/>
              <w:bottom w:val="single" w:sz="8" w:color="231F20"/>
            </w:tcBorders>
            <w:shd w:val="clear" w:color="auto" w:fill="CFEDF9"/>
          </w:tcPr>
          <w:p>
            <w:pPr>
              <w:spacing w:after="0"/>
              <w:rPr>
                <w:sz w:val="12"/>
                <w:szCs w:val="12"/>
                <w:color w:val="auto"/>
              </w:rPr>
            </w:pPr>
          </w:p>
        </w:tc>
        <w:tc>
          <w:tcPr>
            <w:tcW w:w="860" w:type="dxa"/>
            <w:vAlign w:val="bottom"/>
            <w:tcBorders>
              <w:top w:val="single" w:sz="8" w:color="231F20"/>
              <w:bottom w:val="single" w:sz="8" w:color="231F20"/>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572,260</w:t>
            </w: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880" w:type="dxa"/>
            <w:vAlign w:val="bottom"/>
            <w:tcBorders>
              <w:top w:val="single" w:sz="8" w:color="231F20"/>
              <w:bottom w:val="single" w:sz="8" w:color="231F20"/>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38.3%</w:t>
            </w:r>
          </w:p>
        </w:tc>
      </w:tr>
      <w:tr>
        <w:trPr>
          <w:trHeight w:val="108"/>
        </w:trPr>
        <w:tc>
          <w:tcPr>
            <w:tcW w:w="1560" w:type="dxa"/>
            <w:vAlign w:val="bottom"/>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Chemicals</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Erling Lux Bidco SARL</w:t>
            </w:r>
            <w:r>
              <w:rPr>
                <w:rFonts w:ascii="Times New Roman" w:cs="Times New Roman" w:eastAsia="Times New Roman" w:hAnsi="Times New Roman"/>
                <w:sz w:val="14"/>
                <w:szCs w:val="14"/>
                <w:color w:val="231F20"/>
                <w:vertAlign w:val="superscript"/>
              </w:rPr>
              <w:t>(3)(4)</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7,239 par, due 9/2028)</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9/6/2022</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+ 6.75%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10.70%</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6,954</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8,053</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0.5%</w:t>
            </w: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(EUR 7,290)</w:t>
            </w:r>
          </w:p>
        </w:tc>
        <w:tc>
          <w:tcPr>
            <w:tcW w:w="880" w:type="dxa"/>
            <w:vAlign w:val="bottom"/>
            <w:shd w:val="clear" w:color="auto" w:fill="CFEDF9"/>
          </w:tcPr>
          <w:p>
            <w:pPr>
              <w:spacing w:after="0"/>
              <w:rPr>
                <w:sz w:val="12"/>
                <w:szCs w:val="12"/>
                <w:color w:val="auto"/>
              </w:rPr>
            </w:pPr>
          </w:p>
        </w:tc>
      </w:tr>
      <w:tr>
        <w:trPr>
          <w:trHeight w:val="127"/>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(GBP 12,287 par, due 9/2028)</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9/6/2022</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 + 6.75%</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11.98%</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13,860</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15,742</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w:t>
            </w:r>
          </w:p>
        </w:tc>
      </w:t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(GBP 12,349)</w:t>
            </w:r>
          </w:p>
        </w:tc>
        <w:tc>
          <w:tcPr>
            <w:tcW w:w="880" w:type="dxa"/>
            <w:vAlign w:val="bottom"/>
          </w:tcPr>
          <w:p>
            <w:pPr>
              <w:spacing w:after="0"/>
              <w:rPr>
                <w:sz w:val="12"/>
                <w:szCs w:val="12"/>
                <w:color w:val="auto"/>
              </w:rPr>
            </w:pPr>
          </w:p>
        </w:tc>
      </w:tr>
      <w:tr>
        <w:trPr>
          <w:trHeight w:val="127"/>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revolving loan (GBP 312 par, due 9/2028)</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9/6/2022</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 + 6.75%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11.98%</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400</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399</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r>
      <w:tr>
        <w:trPr>
          <w:trHeight w:val="169"/>
        </w:trPr>
        <w:tc>
          <w:tcPr>
            <w:tcW w:w="15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60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8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94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92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40" w:type="dxa"/>
            <w:vAlign w:val="bottom"/>
            <w:shd w:val="clear" w:color="auto" w:fill="CFEDF9"/>
          </w:tcPr>
          <w:p>
            <w:pPr>
              <w:spacing w:after="0"/>
              <w:rPr>
                <w:sz w:val="14"/>
                <w:szCs w:val="14"/>
                <w:color w:val="auto"/>
              </w:rPr>
            </w:pPr>
          </w:p>
        </w:tc>
        <w:tc>
          <w:tcPr>
            <w:tcW w:w="102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140" w:type="dxa"/>
            <w:vAlign w:val="bottom"/>
            <w:shd w:val="clear" w:color="auto" w:fill="CFEDF9"/>
          </w:tcPr>
          <w:p>
            <w:pPr>
              <w:spacing w:after="0"/>
              <w:rPr>
                <w:sz w:val="14"/>
                <w:szCs w:val="14"/>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(GBP 313)</w:t>
            </w:r>
          </w:p>
        </w:tc>
        <w:tc>
          <w:tcPr>
            <w:tcW w:w="880" w:type="dxa"/>
            <w:vAlign w:val="bottom"/>
            <w:shd w:val="clear" w:color="auto" w:fill="CFEDF9"/>
          </w:tcPr>
          <w:p>
            <w:pPr>
              <w:spacing w:after="0"/>
              <w:rPr>
                <w:sz w:val="14"/>
                <w:szCs w:val="14"/>
                <w:color w:val="auto"/>
              </w:rPr>
            </w:pP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40" w:type="dxa"/>
            <w:vAlign w:val="bottom"/>
            <w:tcBorders>
              <w:top w:val="single" w:sz="8" w:color="231F20"/>
              <w:bottom w:val="single" w:sz="8" w:color="231F20"/>
            </w:tcBorders>
          </w:tcPr>
          <w:p>
            <w:pPr>
              <w:spacing w:after="0"/>
              <w:rPr>
                <w:sz w:val="9"/>
                <w:szCs w:val="9"/>
                <w:color w:val="auto"/>
              </w:rPr>
            </w:pPr>
          </w:p>
        </w:tc>
        <w:tc>
          <w:tcPr>
            <w:tcW w:w="102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21,214</w:t>
            </w:r>
          </w:p>
        </w:tc>
        <w:tc>
          <w:tcPr>
            <w:tcW w:w="100" w:type="dxa"/>
            <w:vAlign w:val="bottom"/>
            <w:tcBorders>
              <w:top w:val="single" w:sz="8" w:color="CFEDF9"/>
              <w:bottom w:val="single" w:sz="8" w:color="CFEDF9"/>
            </w:tcBorders>
          </w:tcPr>
          <w:p>
            <w:pPr>
              <w:spacing w:after="0"/>
              <w:rPr>
                <w:sz w:val="9"/>
                <w:szCs w:val="9"/>
                <w:color w:val="auto"/>
              </w:rPr>
            </w:pPr>
          </w:p>
        </w:tc>
        <w:tc>
          <w:tcPr>
            <w:tcW w:w="140" w:type="dxa"/>
            <w:vAlign w:val="bottom"/>
            <w:tcBorders>
              <w:top w:val="single" w:sz="8" w:color="231F20"/>
              <w:bottom w:val="single" w:sz="8" w:color="231F20"/>
            </w:tcBorders>
          </w:tcPr>
          <w:p>
            <w:pPr>
              <w:spacing w:after="0"/>
              <w:rPr>
                <w:sz w:val="9"/>
                <w:szCs w:val="9"/>
                <w:color w:val="auto"/>
              </w:rPr>
            </w:pPr>
          </w:p>
        </w:tc>
        <w:tc>
          <w:tcPr>
            <w:tcW w:w="86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24,194</w:t>
            </w:r>
          </w:p>
        </w:tc>
        <w:tc>
          <w:tcPr>
            <w:tcW w:w="10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1.6%</w:t>
            </w: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Communications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40" w:type="dxa"/>
            <w:vAlign w:val="bottom"/>
            <w:shd w:val="clear" w:color="auto" w:fill="CFEDF9"/>
          </w:tcPr>
          <w:p>
            <w:pPr>
              <w:spacing w:after="0"/>
              <w:rPr>
                <w:sz w:val="11"/>
                <w:szCs w:val="11"/>
                <w:color w:val="auto"/>
              </w:rPr>
            </w:pPr>
          </w:p>
        </w:tc>
        <w:tc>
          <w:tcPr>
            <w:tcW w:w="10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8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Banyan Software Holdings,</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($29,739 par, due 10/2026)</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1/27/2023</w:t>
            </w: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+ 7.35%</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12.71%</w:t>
            </w:r>
          </w:p>
        </w:tc>
        <w:tc>
          <w:tcPr>
            <w:tcW w:w="24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28,771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29,739</w:t>
            </w:r>
          </w:p>
        </w:tc>
        <w:tc>
          <w:tcPr>
            <w:tcW w:w="10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2.0%</w:t>
            </w: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 xml:space="preserve"> (3)(4)</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Celtra Technologies,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($34,038 par, due 11/2026)</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11/19/2021</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+ 6.35%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11.71%</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33,357</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34,038</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2.3%</w:t>
            </w:r>
          </w:p>
        </w:tc>
      </w:tr>
      <w:tr>
        <w:trPr>
          <w:trHeight w:val="138"/>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231F20"/>
              </w:rPr>
              <w:t>IntelePeer Holdings, Inc.</w:t>
            </w:r>
          </w:p>
        </w:tc>
        <w:tc>
          <w:tcPr>
            <w:tcW w:w="10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First-lien loan ($33,646 par, due 12/2024) </w:t>
            </w:r>
            <w:r>
              <w:rPr>
                <w:rFonts w:ascii="Times New Roman" w:cs="Times New Roman" w:eastAsia="Times New Roman" w:hAnsi="Times New Roman"/>
                <w:sz w:val="15"/>
                <w:szCs w:val="15"/>
                <w:color w:val="231F20"/>
                <w:vertAlign w:val="superscript"/>
              </w:rPr>
              <w:t>(3)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12/2/2019</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+ 8.40%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13.75%</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33,625</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33,394</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2.2%</w:t>
            </w:r>
          </w:p>
        </w:tc>
      </w:tr>
      <w:tr>
        <w:trPr>
          <w:trHeight w:val="158"/>
        </w:trPr>
        <w:tc>
          <w:tcPr>
            <w:tcW w:w="156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Convertible note ($4,700 par, due 5/2028)</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5/12/2021</w:t>
            </w:r>
          </w:p>
        </w:tc>
        <w:tc>
          <w:tcPr>
            <w:tcW w:w="100" w:type="dxa"/>
            <w:vAlign w:val="bottom"/>
            <w:shd w:val="clear" w:color="auto" w:fill="CFEDF9"/>
          </w:tcPr>
          <w:p>
            <w:pPr>
              <w:spacing w:after="0"/>
              <w:rPr>
                <w:sz w:val="13"/>
                <w:szCs w:val="13"/>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7.50%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7.50% PIK</w:t>
            </w:r>
          </w:p>
        </w:tc>
        <w:tc>
          <w:tcPr>
            <w:tcW w:w="240" w:type="dxa"/>
            <w:vAlign w:val="bottom"/>
            <w:shd w:val="clear" w:color="auto" w:fill="CFEDF9"/>
          </w:tcPr>
          <w:p>
            <w:pPr>
              <w:spacing w:after="0"/>
              <w:rPr>
                <w:sz w:val="13"/>
                <w:szCs w:val="13"/>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4,674</w:t>
            </w:r>
          </w:p>
        </w:tc>
        <w:tc>
          <w:tcPr>
            <w:tcW w:w="140" w:type="dxa"/>
            <w:vAlign w:val="bottom"/>
            <w:shd w:val="clear" w:color="auto" w:fill="CFEDF9"/>
          </w:tcPr>
          <w:p>
            <w:pPr>
              <w:spacing w:after="0"/>
              <w:rPr>
                <w:sz w:val="13"/>
                <w:szCs w:val="13"/>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4,994</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0.3%</w:t>
            </w: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40" w:type="dxa"/>
            <w:vAlign w:val="bottom"/>
            <w:tcBorders>
              <w:top w:val="single" w:sz="8" w:color="231F20"/>
              <w:bottom w:val="single" w:sz="8" w:color="231F20"/>
            </w:tcBorders>
          </w:tcPr>
          <w:p>
            <w:pPr>
              <w:spacing w:after="0"/>
              <w:rPr>
                <w:sz w:val="9"/>
                <w:szCs w:val="9"/>
                <w:color w:val="auto"/>
              </w:rPr>
            </w:pPr>
          </w:p>
        </w:tc>
        <w:tc>
          <w:tcPr>
            <w:tcW w:w="102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100,427</w:t>
            </w:r>
          </w:p>
        </w:tc>
        <w:tc>
          <w:tcPr>
            <w:tcW w:w="100" w:type="dxa"/>
            <w:vAlign w:val="bottom"/>
            <w:tcBorders>
              <w:top w:val="single" w:sz="8" w:color="CFEDF9"/>
              <w:bottom w:val="single" w:sz="8" w:color="CFEDF9"/>
            </w:tcBorders>
          </w:tcPr>
          <w:p>
            <w:pPr>
              <w:spacing w:after="0"/>
              <w:rPr>
                <w:sz w:val="9"/>
                <w:szCs w:val="9"/>
                <w:color w:val="auto"/>
              </w:rPr>
            </w:pPr>
          </w:p>
        </w:tc>
        <w:tc>
          <w:tcPr>
            <w:tcW w:w="140" w:type="dxa"/>
            <w:vAlign w:val="bottom"/>
            <w:tcBorders>
              <w:top w:val="single" w:sz="8" w:color="231F20"/>
              <w:bottom w:val="single" w:sz="8" w:color="231F20"/>
            </w:tcBorders>
          </w:tcPr>
          <w:p>
            <w:pPr>
              <w:spacing w:after="0"/>
              <w:rPr>
                <w:sz w:val="9"/>
                <w:szCs w:val="9"/>
                <w:color w:val="auto"/>
              </w:rPr>
            </w:pPr>
          </w:p>
        </w:tc>
        <w:tc>
          <w:tcPr>
            <w:tcW w:w="86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102,165</w:t>
            </w:r>
          </w:p>
        </w:tc>
        <w:tc>
          <w:tcPr>
            <w:tcW w:w="10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6.8%</w:t>
            </w: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Education</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40" w:type="dxa"/>
            <w:vAlign w:val="bottom"/>
            <w:shd w:val="clear" w:color="auto" w:fill="CFEDF9"/>
          </w:tcPr>
          <w:p>
            <w:pPr>
              <w:spacing w:after="0"/>
              <w:rPr>
                <w:sz w:val="11"/>
                <w:szCs w:val="11"/>
                <w:color w:val="auto"/>
              </w:rPr>
            </w:pPr>
          </w:p>
        </w:tc>
        <w:tc>
          <w:tcPr>
            <w:tcW w:w="10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8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Astra Acquisition Corp.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Second-lien loan ($43,479 par, due 10/2029)</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10/22/2021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+ 9.14%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14.48%</w:t>
            </w: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42,814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27,174</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1.8%</w:t>
            </w: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Destiny Solutions Parent</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($59,550 par, due 6/2026)</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6/8/2021</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+ 5.85%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11.21%</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58,858</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59,252</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4.0%</w:t>
            </w: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Holding Company </w:t>
            </w:r>
            <w:r>
              <w:rPr>
                <w:rFonts w:ascii="Times New Roman" w:cs="Times New Roman" w:eastAsia="Times New Roman" w:hAnsi="Times New Roman"/>
                <w:sz w:val="16"/>
                <w:szCs w:val="16"/>
                <w:color w:val="231F20"/>
                <w:vertAlign w:val="superscript"/>
              </w:rPr>
              <w:t>(3)(5)</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EMS Linq,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($56,216 par, due 12/2027)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12/22/2021</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+ 6.35%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11.71%</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55,288</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55,079</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3.7%</w:t>
            </w:r>
          </w:p>
        </w:tc>
      </w:tr>
      <w:tr>
        <w:trPr>
          <w:trHeight w:val="15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Kangaroo Bidco AS </w:t>
            </w:r>
            <w:r>
              <w:rPr>
                <w:rFonts w:ascii="Times New Roman" w:cs="Times New Roman" w:eastAsia="Times New Roman" w:hAnsi="Times New Roman"/>
                <w:sz w:val="15"/>
                <w:szCs w:val="15"/>
                <w:color w:val="231F20"/>
                <w:vertAlign w:val="superscript"/>
              </w:rPr>
              <w:t>(3)(4)</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($25,582 par, due 11/2030)</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11/2/2023</w:t>
            </w:r>
          </w:p>
        </w:tc>
        <w:tc>
          <w:tcPr>
            <w:tcW w:w="100" w:type="dxa"/>
            <w:vAlign w:val="bottom"/>
            <w:shd w:val="clear" w:color="auto" w:fill="CFEDF9"/>
          </w:tcPr>
          <w:p>
            <w:pPr>
              <w:spacing w:after="0"/>
              <w:rPr>
                <w:sz w:val="13"/>
                <w:szCs w:val="13"/>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+ 7.50%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12.94%</w:t>
            </w:r>
          </w:p>
        </w:tc>
        <w:tc>
          <w:tcPr>
            <w:tcW w:w="240" w:type="dxa"/>
            <w:vAlign w:val="bottom"/>
            <w:shd w:val="clear" w:color="auto" w:fill="CFEDF9"/>
          </w:tcPr>
          <w:p>
            <w:pPr>
              <w:spacing w:after="0"/>
              <w:rPr>
                <w:sz w:val="13"/>
                <w:szCs w:val="13"/>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24,621</w:t>
            </w:r>
          </w:p>
        </w:tc>
        <w:tc>
          <w:tcPr>
            <w:tcW w:w="140" w:type="dxa"/>
            <w:vAlign w:val="bottom"/>
            <w:shd w:val="clear" w:color="auto" w:fill="CFEDF9"/>
          </w:tcPr>
          <w:p>
            <w:pPr>
              <w:spacing w:after="0"/>
              <w:rPr>
                <w:sz w:val="13"/>
                <w:szCs w:val="13"/>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24,794</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1.7%</w:t>
            </w: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40" w:type="dxa"/>
            <w:vAlign w:val="bottom"/>
            <w:tcBorders>
              <w:top w:val="single" w:sz="8" w:color="231F20"/>
              <w:bottom w:val="single" w:sz="8" w:color="231F20"/>
            </w:tcBorders>
          </w:tcPr>
          <w:p>
            <w:pPr>
              <w:spacing w:after="0"/>
              <w:rPr>
                <w:sz w:val="9"/>
                <w:szCs w:val="9"/>
                <w:color w:val="auto"/>
              </w:rPr>
            </w:pPr>
          </w:p>
        </w:tc>
        <w:tc>
          <w:tcPr>
            <w:tcW w:w="102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181,581</w:t>
            </w:r>
          </w:p>
        </w:tc>
        <w:tc>
          <w:tcPr>
            <w:tcW w:w="100" w:type="dxa"/>
            <w:vAlign w:val="bottom"/>
            <w:tcBorders>
              <w:top w:val="single" w:sz="8" w:color="CFEDF9"/>
              <w:bottom w:val="single" w:sz="8" w:color="CFEDF9"/>
            </w:tcBorders>
          </w:tcPr>
          <w:p>
            <w:pPr>
              <w:spacing w:after="0"/>
              <w:rPr>
                <w:sz w:val="9"/>
                <w:szCs w:val="9"/>
                <w:color w:val="auto"/>
              </w:rPr>
            </w:pPr>
          </w:p>
        </w:tc>
        <w:tc>
          <w:tcPr>
            <w:tcW w:w="140" w:type="dxa"/>
            <w:vAlign w:val="bottom"/>
            <w:tcBorders>
              <w:top w:val="single" w:sz="8" w:color="231F20"/>
              <w:bottom w:val="single" w:sz="8" w:color="231F20"/>
            </w:tcBorders>
          </w:tcPr>
          <w:p>
            <w:pPr>
              <w:spacing w:after="0"/>
              <w:rPr>
                <w:sz w:val="9"/>
                <w:szCs w:val="9"/>
                <w:color w:val="auto"/>
              </w:rPr>
            </w:pPr>
          </w:p>
        </w:tc>
        <w:tc>
          <w:tcPr>
            <w:tcW w:w="86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166,299</w:t>
            </w:r>
          </w:p>
        </w:tc>
        <w:tc>
          <w:tcPr>
            <w:tcW w:w="10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11.2%</w:t>
            </w: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Financial Services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40" w:type="dxa"/>
            <w:vAlign w:val="bottom"/>
            <w:shd w:val="clear" w:color="auto" w:fill="CFEDF9"/>
          </w:tcPr>
          <w:p>
            <w:pPr>
              <w:spacing w:after="0"/>
              <w:rPr>
                <w:sz w:val="11"/>
                <w:szCs w:val="11"/>
                <w:color w:val="auto"/>
              </w:rPr>
            </w:pPr>
          </w:p>
        </w:tc>
        <w:tc>
          <w:tcPr>
            <w:tcW w:w="10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8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r>
      <w:tr>
        <w:trPr>
          <w:trHeight w:val="127"/>
        </w:trPr>
        <w:tc>
          <w:tcPr>
            <w:tcW w:w="1560" w:type="dxa"/>
            <w:vAlign w:val="bottom"/>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Alaska Bidco Oy </w:t>
            </w:r>
            <w:r>
              <w:rPr>
                <w:rFonts w:ascii="Times New Roman" w:cs="Times New Roman" w:eastAsia="Times New Roman" w:hAnsi="Times New Roman"/>
                <w:sz w:val="14"/>
                <w:szCs w:val="14"/>
                <w:color w:val="231F20"/>
                <w:vertAlign w:val="superscript"/>
              </w:rPr>
              <w:t>(3)(4)</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727 par, due 5/2030)</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5/30/2023</w:t>
            </w: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+ 6.25%</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10.39%</w:t>
            </w:r>
          </w:p>
        </w:tc>
        <w:tc>
          <w:tcPr>
            <w:tcW w:w="24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755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796</w:t>
            </w:r>
          </w:p>
        </w:tc>
        <w:tc>
          <w:tcPr>
            <w:tcW w:w="10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(EUR 720)</w:t>
            </w:r>
          </w:p>
        </w:tc>
        <w:tc>
          <w:tcPr>
            <w:tcW w:w="880" w:type="dxa"/>
            <w:vAlign w:val="bottom"/>
          </w:tcPr>
          <w:p>
            <w:pPr>
              <w:spacing w:after="0"/>
              <w:rPr>
                <w:sz w:val="12"/>
                <w:szCs w:val="12"/>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BCTO Bluebill Buyer,</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($28,640 par, due 7/2029)</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7/20/2023</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12.60%</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27,635</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27,996</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1.9%</w:t>
            </w: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Inc.</w:t>
            </w:r>
            <w:r>
              <w:rPr>
                <w:rFonts w:ascii="Times New Roman" w:cs="Times New Roman" w:eastAsia="Times New Roman" w:hAnsi="Times New Roman"/>
                <w:sz w:val="7"/>
                <w:szCs w:val="7"/>
                <w:color w:val="231F20"/>
              </w:rPr>
              <w:t xml:space="preserve"> (3)(5)</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BTRS Holdings, Inc.</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($47,051 par, due 12/2028)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12/16/2022</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+ 8.00%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13.38%</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45,931</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47,168</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3.2%</w:t>
            </w: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revolving loan ($1,205 par, due 12/2028)</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12/16/2022</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12.63%</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1,085</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1,217</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0.1%</w:t>
            </w: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Bear OpCo,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($21,392 par, due 10/2024)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10/10/2019</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+ 7.65%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13.01%</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21,294</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21,713</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1.5%</w:t>
            </w: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BlueSnap,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($41,895 par, due 10/2025)</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10/25/2019</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+ 7.15%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12.50%</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41,516</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42,117</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2.8%</w:t>
            </w: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CLGF Holdco 2, LLC</w:t>
            </w:r>
            <w:r>
              <w:rPr>
                <w:rFonts w:ascii="Times New Roman" w:cs="Times New Roman" w:eastAsia="Times New Roman" w:hAnsi="Times New Roman"/>
                <w:sz w:val="15"/>
                <w:szCs w:val="15"/>
                <w:color w:val="231F20"/>
                <w:vertAlign w:val="superscript"/>
              </w:rPr>
              <w:t>(3)(4)</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($3,916 par, due 11/2027)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11/7/2023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+ 8.50%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13.85%</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3,845</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3,867</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0.3%</w:t>
            </w: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Second-lien loan ($3,357 par, due 11/2028)</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11/7/2023</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+ 12.00%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17.35%</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3,116</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3,164</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0.2%</w:t>
            </w: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Fullsteam Operations, LLC</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($29,663 par, due 11/2029)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11/27/2023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+ 8.40%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13.78%</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28,611</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29,049</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1.9%</w:t>
            </w: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Ibis Intermediate Co.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($1,201 par, due 5/2027)</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5/28/2021</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+ 4.65%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10.04%</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1,066</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1,257</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0.1%</w:t>
            </w: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Ibis US Blocker Co.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($15,958 par, due 5/2028)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5/28/2021</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+ 8.40%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13.79% PIK</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15,743</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15,838</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1.1%</w:t>
            </w: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Kyriba Corp. </w:t>
            </w:r>
            <w:r>
              <w:rPr>
                <w:rFonts w:ascii="Times New Roman" w:cs="Times New Roman" w:eastAsia="Times New Roman" w:hAnsi="Times New Roman"/>
                <w:sz w:val="14"/>
                <w:szCs w:val="14"/>
                <w:color w:val="231F20"/>
                <w:vertAlign w:val="superscript"/>
              </w:rPr>
              <w:t>(3)</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($35,634 par, due 4/2028)</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12/21/2023</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+ 8.50%</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13.87% (incl.</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34,875</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34,871</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2.3%</w:t>
            </w: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8.50% PIK)</w:t>
            </w: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r>
      <w:tr>
        <w:trPr>
          <w:trHeight w:val="127"/>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10,924 par, due 4/2028)</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12/21/2023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+ 8.50%</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12.42% (incl.</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11,766</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11,825</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0.8%</w:t>
            </w:r>
          </w:p>
        </w:tc>
      </w:t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8.50% PIK)</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(EUR 10,705)</w:t>
            </w:r>
          </w:p>
        </w:tc>
        <w:tc>
          <w:tcPr>
            <w:tcW w:w="88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Passport Labs, Inc.</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First-lien loan ($24,603 par, due 4/2026) </w:t>
            </w:r>
            <w:r>
              <w:rPr>
                <w:rFonts w:ascii="Times New Roman" w:cs="Times New Roman" w:eastAsia="Times New Roman" w:hAnsi="Times New Roman"/>
                <w:sz w:val="15"/>
                <w:szCs w:val="15"/>
                <w:color w:val="231F20"/>
                <w:vertAlign w:val="superscript"/>
              </w:rPr>
              <w:t>(3)</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4/28/2021</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+ 8.40%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13.75%</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24,444</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24,555</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1.6%</w:t>
            </w:r>
          </w:p>
        </w:tc>
      </w:tr>
      <w:tr>
        <w:trPr>
          <w:trHeight w:val="127"/>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Convertible Promissory Note A ($1,086 par, due</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3/2/2023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8.00%</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8.00%</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1,086</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2,025</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r>
      <w:tr>
        <w:trPr>
          <w:trHeight w:val="149"/>
        </w:trPr>
        <w:tc>
          <w:tcPr>
            <w:tcW w:w="1560" w:type="dxa"/>
            <w:vAlign w:val="bottom"/>
          </w:tcPr>
          <w:p>
            <w:pPr>
              <w:spacing w:after="0"/>
              <w:rPr>
                <w:sz w:val="12"/>
                <w:szCs w:val="12"/>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231F20"/>
              </w:rPr>
              <w:t>8/2026)</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Ping Identity Holding Corp.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($22,727 par, due 10/2029)</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10/17/2022</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+ 7.00%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12.36%</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22,183</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23,165</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1.5%</w:t>
            </w: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PrimeRevenue,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($9,007 par, due 12/2024)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12/31/2018</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12.46%</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8,996</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9,083</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0.6%</w:t>
            </w: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TradingScreen,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($47,198 par, due 4/2027)</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4/30/2021</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+ 6.35%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11.73%</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46,360</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47,080</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3.1%</w:t>
            </w:r>
          </w:p>
        </w:tc>
      </w:tr>
      <w:tr>
        <w:trPr>
          <w:trHeight w:val="138"/>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231F20"/>
              </w:rPr>
              <w:t>Volante Technologies, Inc.</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($2,604 par, due 9/2028)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9/29/2023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16.50%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16.50% PIK</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2,578</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2,598</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0.2%</w:t>
            </w:r>
          </w:p>
        </w:tc>
      </w:tr>
      <w:tr>
        <w:trPr>
          <w:trHeight w:val="148"/>
        </w:trPr>
        <w:tc>
          <w:tcPr>
            <w:tcW w:w="156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2600" w:type="dxa"/>
            <w:vAlign w:val="bottom"/>
            <w:tcBorders>
              <w:top w:val="single" w:sz="8" w:color="CFEDF9"/>
              <w:bottom w:val="single" w:sz="8" w:color="CFEDF9"/>
            </w:tcBorders>
            <w:shd w:val="clear" w:color="auto" w:fill="CFEDF9"/>
          </w:tcPr>
          <w:p>
            <w:pPr>
              <w:spacing w:after="0"/>
              <w:rPr>
                <w:sz w:val="12"/>
                <w:szCs w:val="12"/>
                <w:color w:val="auto"/>
              </w:rPr>
            </w:pPr>
          </w:p>
        </w:tc>
        <w:tc>
          <w:tcPr>
            <w:tcW w:w="120" w:type="dxa"/>
            <w:vAlign w:val="bottom"/>
            <w:tcBorders>
              <w:top w:val="single" w:sz="8" w:color="CFEDF9"/>
              <w:bottom w:val="single" w:sz="8" w:color="CFEDF9"/>
            </w:tcBorders>
            <w:shd w:val="clear" w:color="auto" w:fill="CFEDF9"/>
          </w:tcPr>
          <w:p>
            <w:pPr>
              <w:spacing w:after="0"/>
              <w:rPr>
                <w:sz w:val="12"/>
                <w:szCs w:val="12"/>
                <w:color w:val="auto"/>
              </w:rPr>
            </w:pPr>
          </w:p>
        </w:tc>
        <w:tc>
          <w:tcPr>
            <w:tcW w:w="88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94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92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240" w:type="dxa"/>
            <w:vAlign w:val="bottom"/>
            <w:tcBorders>
              <w:top w:val="single" w:sz="8" w:color="231F20"/>
              <w:bottom w:val="single" w:sz="8" w:color="231F20"/>
            </w:tcBorders>
            <w:shd w:val="clear" w:color="auto" w:fill="CFEDF9"/>
          </w:tcPr>
          <w:p>
            <w:pPr>
              <w:spacing w:after="0"/>
              <w:rPr>
                <w:sz w:val="12"/>
                <w:szCs w:val="12"/>
                <w:color w:val="auto"/>
              </w:rPr>
            </w:pPr>
          </w:p>
        </w:tc>
        <w:tc>
          <w:tcPr>
            <w:tcW w:w="1020" w:type="dxa"/>
            <w:vAlign w:val="bottom"/>
            <w:tcBorders>
              <w:top w:val="single" w:sz="8" w:color="231F20"/>
              <w:bottom w:val="single" w:sz="8" w:color="231F20"/>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342,885</w:t>
            </w: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140" w:type="dxa"/>
            <w:vAlign w:val="bottom"/>
            <w:tcBorders>
              <w:top w:val="single" w:sz="8" w:color="231F20"/>
              <w:bottom w:val="single" w:sz="8" w:color="231F20"/>
            </w:tcBorders>
            <w:shd w:val="clear" w:color="auto" w:fill="CFEDF9"/>
          </w:tcPr>
          <w:p>
            <w:pPr>
              <w:spacing w:after="0"/>
              <w:rPr>
                <w:sz w:val="12"/>
                <w:szCs w:val="12"/>
                <w:color w:val="auto"/>
              </w:rPr>
            </w:pPr>
          </w:p>
        </w:tc>
        <w:tc>
          <w:tcPr>
            <w:tcW w:w="860" w:type="dxa"/>
            <w:vAlign w:val="bottom"/>
            <w:tcBorders>
              <w:top w:val="single" w:sz="8" w:color="231F20"/>
              <w:bottom w:val="single" w:sz="8" w:color="231F20"/>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349,384</w:t>
            </w: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880" w:type="dxa"/>
            <w:vAlign w:val="bottom"/>
            <w:tcBorders>
              <w:top w:val="single" w:sz="8" w:color="231F20"/>
              <w:bottom w:val="single" w:sz="8" w:color="231F20"/>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23.4%</w:t>
            </w:r>
          </w:p>
        </w:tc>
      </w:tr>
      <w:tr>
        <w:trPr>
          <w:trHeight w:val="108"/>
        </w:trPr>
        <w:tc>
          <w:tcPr>
            <w:tcW w:w="1560" w:type="dxa"/>
            <w:vAlign w:val="bottom"/>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Healthcare</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BCTO Ace Purchaser, Inc.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First-lien loan ($69,231 par, due 11/2027) </w:t>
            </w:r>
            <w:r>
              <w:rPr>
                <w:rFonts w:ascii="Times New Roman" w:cs="Times New Roman" w:eastAsia="Times New Roman" w:hAnsi="Times New Roman"/>
                <w:sz w:val="15"/>
                <w:szCs w:val="15"/>
                <w:color w:val="231F20"/>
                <w:vertAlign w:val="superscript"/>
              </w:rPr>
              <w:t>(5)</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11/23/2020</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+ 7.45%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12.84%</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68,325</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69,746</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4.7%</w:t>
            </w: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Second-lien loan ($5,623 par, due 1/2030)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1/23/2023</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+ 10.70%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16.10%</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5,493</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5,637</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0.4%</w:t>
            </w: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Edge Bidco B.V. </w:t>
            </w:r>
            <w:r>
              <w:rPr>
                <w:rFonts w:ascii="Times New Roman" w:cs="Times New Roman" w:eastAsia="Times New Roman" w:hAnsi="Times New Roman"/>
                <w:sz w:val="14"/>
                <w:szCs w:val="14"/>
                <w:color w:val="231F20"/>
                <w:vertAlign w:val="superscript"/>
              </w:rPr>
              <w:t>(3)(4)(5)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3,850 par, due 2/2029)</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2/24/2023</w:t>
            </w:r>
          </w:p>
        </w:tc>
        <w:tc>
          <w:tcPr>
            <w:tcW w:w="10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+ 7.00%</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16.10% (incl.</w:t>
            </w:r>
          </w:p>
        </w:tc>
        <w:tc>
          <w:tcPr>
            <w:tcW w:w="240" w:type="dxa"/>
            <w:vAlign w:val="bottom"/>
            <w:shd w:val="clear" w:color="auto" w:fill="CFEDF9"/>
          </w:tcPr>
          <w:p>
            <w:pPr>
              <w:spacing w:after="0"/>
              <w:rPr>
                <w:sz w:val="11"/>
                <w:szCs w:val="11"/>
                <w:color w:val="auto"/>
              </w:rPr>
            </w:pPr>
          </w:p>
        </w:tc>
        <w:tc>
          <w:tcPr>
            <w:tcW w:w="11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3,951</w:t>
            </w:r>
          </w:p>
        </w:tc>
        <w:tc>
          <w:tcPr>
            <w:tcW w:w="140" w:type="dxa"/>
            <w:vAlign w:val="bottom"/>
            <w:shd w:val="clear" w:color="auto" w:fill="CFEDF9"/>
          </w:tcPr>
          <w:p>
            <w:pPr>
              <w:spacing w:after="0"/>
              <w:rPr>
                <w:sz w:val="11"/>
                <w:szCs w:val="11"/>
                <w:color w:val="auto"/>
              </w:rPr>
            </w:pPr>
          </w:p>
        </w:tc>
        <w:tc>
          <w:tcPr>
            <w:tcW w:w="96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4,266</w:t>
            </w: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0.3%</w:t>
            </w: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3.25% PIK)</w:t>
            </w: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9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(EUR 3,862)</w:t>
            </w:r>
          </w:p>
        </w:tc>
        <w:tc>
          <w:tcPr>
            <w:tcW w:w="880" w:type="dxa"/>
            <w:vAlign w:val="bottom"/>
            <w:shd w:val="clear" w:color="auto" w:fill="CFEDF9"/>
          </w:tcPr>
          <w:p>
            <w:pPr>
              <w:spacing w:after="0"/>
              <w:rPr>
                <w:sz w:val="12"/>
                <w:szCs w:val="12"/>
                <w:color w:val="auto"/>
              </w:rPr>
            </w:pPr>
          </w:p>
        </w:tc>
      </w:tr>
    </w:tbl>
    <w:p>
      <w:pPr>
        <w:spacing w:after="0" w:line="200" w:lineRule="exact"/>
        <w:rPr>
          <w:sz w:val="20"/>
          <w:szCs w:val="20"/>
          <w:color w:val="auto"/>
        </w:rPr>
      </w:pPr>
    </w:p>
    <w:p>
      <w:pPr>
        <w:sectPr>
          <w:pgSz w:w="12240" w:h="15840" w:orient="portrait"/>
          <w:cols w:equalWidth="0" w:num="1">
            <w:col w:w="10760"/>
          </w:cols>
          <w:pgMar w:left="740" w:top="926" w:right="740" w:bottom="175"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F-6</w:t>
      </w:r>
    </w:p>
    <w:p>
      <w:pPr>
        <w:sectPr>
          <w:pgSz w:w="12240" w:h="15840" w:orient="portrait"/>
          <w:cols w:equalWidth="0" w:num="1">
            <w:col w:w="10760"/>
          </w:cols>
          <w:pgMar w:left="740" w:top="926" w:right="740" w:bottom="175"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Initial</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7"/>
              </w:rPr>
              <w:t>Reference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Acquisition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9"/>
              </w:rPr>
              <w:t>Rate and</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8"/>
              </w:rPr>
              <w:t>Amortized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231F20"/>
                <w:w w:val="98"/>
              </w:rPr>
              <w:t>Percentage</w:t>
            </w:r>
          </w:p>
        </w:tc>
      </w:tr>
      <w:tr>
        <w:trPr>
          <w:trHeight w:val="151"/>
        </w:trPr>
        <w:tc>
          <w:tcPr>
            <w:tcW w:w="1560" w:type="dxa"/>
            <w:vAlign w:val="bottom"/>
          </w:tcPr>
          <w:p>
            <w:pPr>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Company </w:t>
            </w:r>
            <w:r>
              <w:rPr>
                <w:rFonts w:ascii="Times New Roman" w:cs="Times New Roman" w:eastAsia="Times New Roman" w:hAnsi="Times New Roman"/>
                <w:sz w:val="16"/>
                <w:szCs w:val="16"/>
                <w:b w:val="1"/>
                <w:bCs w:val="1"/>
                <w:color w:val="231F20"/>
                <w:vertAlign w:val="superscript"/>
              </w:rPr>
              <w:t>(1)</w:t>
            </w:r>
          </w:p>
        </w:tc>
        <w:tc>
          <w:tcPr>
            <w:tcW w:w="100" w:type="dxa"/>
            <w:vAlign w:val="bottom"/>
          </w:tcPr>
          <w:p>
            <w:pPr>
              <w:spacing w:after="0"/>
              <w:rPr>
                <w:sz w:val="13"/>
                <w:szCs w:val="13"/>
                <w:color w:val="auto"/>
              </w:rPr>
            </w:pPr>
          </w:p>
        </w:tc>
        <w:tc>
          <w:tcPr>
            <w:tcW w:w="26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231F20"/>
              </w:rPr>
              <w:t>Investment</w:t>
            </w:r>
          </w:p>
        </w:tc>
        <w:tc>
          <w:tcPr>
            <w:tcW w:w="1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9"/>
              </w:rPr>
              <w:t>Date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Spread</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231F20"/>
              </w:rPr>
              <w:t>Interest Rate</w:t>
            </w: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7"/>
                <w:szCs w:val="17"/>
                <w:b w:val="1"/>
                <w:bCs w:val="1"/>
                <w:color w:val="231F20"/>
                <w:vertAlign w:val="subscript"/>
              </w:rPr>
              <w:t>Cost</w:t>
            </w:r>
            <w:r>
              <w:rPr>
                <w:rFonts w:ascii="Times New Roman" w:cs="Times New Roman" w:eastAsia="Times New Roman" w:hAnsi="Times New Roman"/>
                <w:sz w:val="7"/>
                <w:szCs w:val="7"/>
                <w:b w:val="1"/>
                <w:bCs w:val="1"/>
                <w:color w:val="231F20"/>
              </w:rPr>
              <w:t xml:space="preserve"> (2)(8)</w:t>
            </w:r>
          </w:p>
        </w:tc>
        <w:tc>
          <w:tcPr>
            <w:tcW w:w="100" w:type="dxa"/>
            <w:vAlign w:val="bottom"/>
          </w:tcPr>
          <w:p>
            <w:pPr>
              <w:spacing w:after="0"/>
              <w:rPr>
                <w:sz w:val="13"/>
                <w:szCs w:val="13"/>
                <w:color w:val="auto"/>
              </w:rPr>
            </w:pPr>
          </w:p>
        </w:tc>
        <w:tc>
          <w:tcPr>
            <w:tcW w:w="100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Fair Value </w:t>
            </w:r>
            <w:r>
              <w:rPr>
                <w:rFonts w:ascii="Times New Roman" w:cs="Times New Roman" w:eastAsia="Times New Roman" w:hAnsi="Times New Roman"/>
                <w:sz w:val="16"/>
                <w:szCs w:val="16"/>
                <w:b w:val="1"/>
                <w:bCs w:val="1"/>
                <w:color w:val="231F20"/>
                <w:vertAlign w:val="superscript"/>
              </w:rPr>
              <w:t>(9)</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231F20"/>
                <w:w w:val="99"/>
              </w:rPr>
              <w:t>of Net Assets</w:t>
            </w:r>
          </w:p>
        </w:tc>
      </w:tr>
      <w:tr>
        <w:trPr>
          <w:trHeight w:val="117"/>
        </w:trPr>
        <w:tc>
          <w:tcPr>
            <w:tcW w:w="1560" w:type="dxa"/>
            <w:vAlign w:val="bottom"/>
            <w:tcBorders>
              <w:top w:val="single" w:sz="8" w:color="231F20"/>
            </w:tcBorders>
          </w:tcPr>
          <w:p>
            <w:pPr>
              <w:spacing w:after="0" w:line="117" w:lineRule="exact"/>
              <w:rPr>
                <w:sz w:val="20"/>
                <w:szCs w:val="20"/>
                <w:color w:val="auto"/>
              </w:rPr>
            </w:pPr>
            <w:r>
              <w:rPr>
                <w:rFonts w:ascii="Times New Roman" w:cs="Times New Roman" w:eastAsia="Times New Roman" w:hAnsi="Times New Roman"/>
                <w:sz w:val="12"/>
                <w:szCs w:val="12"/>
                <w:color w:val="231F20"/>
              </w:rPr>
              <w:t>Homecare Software Solutions,</w:t>
            </w:r>
          </w:p>
        </w:tc>
        <w:tc>
          <w:tcPr>
            <w:tcW w:w="100" w:type="dxa"/>
            <w:vAlign w:val="bottom"/>
          </w:tcPr>
          <w:p>
            <w:pPr>
              <w:spacing w:after="0"/>
              <w:rPr>
                <w:sz w:val="10"/>
                <w:szCs w:val="10"/>
                <w:color w:val="auto"/>
              </w:rPr>
            </w:pPr>
          </w:p>
        </w:tc>
        <w:tc>
          <w:tcPr>
            <w:tcW w:w="2600" w:type="dxa"/>
            <w:vAlign w:val="bottom"/>
            <w:tcBorders>
              <w:top w:val="single" w:sz="8" w:color="231F20"/>
            </w:tcBorders>
          </w:tcPr>
          <w:p>
            <w:pPr>
              <w:spacing w:after="0" w:line="117" w:lineRule="exact"/>
              <w:rPr>
                <w:sz w:val="20"/>
                <w:szCs w:val="20"/>
                <w:color w:val="auto"/>
              </w:rPr>
            </w:pPr>
            <w:r>
              <w:rPr>
                <w:rFonts w:ascii="Times New Roman" w:cs="Times New Roman" w:eastAsia="Times New Roman" w:hAnsi="Times New Roman"/>
                <w:sz w:val="12"/>
                <w:szCs w:val="12"/>
                <w:color w:val="231F20"/>
              </w:rPr>
              <w:t>First-lien loan ($65,000 par, due 10/2026)</w:t>
            </w:r>
          </w:p>
        </w:tc>
        <w:tc>
          <w:tcPr>
            <w:tcW w:w="120" w:type="dxa"/>
            <w:vAlign w:val="bottom"/>
          </w:tcPr>
          <w:p>
            <w:pPr>
              <w:spacing w:after="0"/>
              <w:rPr>
                <w:sz w:val="10"/>
                <w:szCs w:val="10"/>
                <w:color w:val="auto"/>
              </w:rPr>
            </w:pPr>
          </w:p>
        </w:tc>
        <w:tc>
          <w:tcPr>
            <w:tcW w:w="880" w:type="dxa"/>
            <w:vAlign w:val="bottom"/>
            <w:tcBorders>
              <w:top w:val="single" w:sz="8" w:color="231F20"/>
            </w:tcBorders>
          </w:tcPr>
          <w:p>
            <w:pPr>
              <w:jc w:val="right"/>
              <w:spacing w:after="0" w:line="117" w:lineRule="exact"/>
              <w:rPr>
                <w:sz w:val="20"/>
                <w:szCs w:val="20"/>
                <w:color w:val="auto"/>
              </w:rPr>
            </w:pPr>
            <w:r>
              <w:rPr>
                <w:rFonts w:ascii="Times New Roman" w:cs="Times New Roman" w:eastAsia="Times New Roman" w:hAnsi="Times New Roman"/>
                <w:sz w:val="12"/>
                <w:szCs w:val="12"/>
                <w:color w:val="231F20"/>
              </w:rPr>
              <w:t>10/6/2021</w:t>
            </w:r>
          </w:p>
        </w:tc>
        <w:tc>
          <w:tcPr>
            <w:tcW w:w="100" w:type="dxa"/>
            <w:vAlign w:val="bottom"/>
            <w:gridSpan w:val="2"/>
          </w:tcPr>
          <w:p>
            <w:pPr>
              <w:spacing w:after="0"/>
              <w:rPr>
                <w:sz w:val="10"/>
                <w:szCs w:val="10"/>
                <w:color w:val="auto"/>
              </w:rPr>
            </w:pPr>
          </w:p>
        </w:tc>
        <w:tc>
          <w:tcPr>
            <w:tcW w:w="940" w:type="dxa"/>
            <w:vAlign w:val="bottom"/>
            <w:tcBorders>
              <w:top w:val="single" w:sz="8" w:color="231F20"/>
            </w:tcBorders>
          </w:tcPr>
          <w:p>
            <w:pPr>
              <w:jc w:val="right"/>
              <w:spacing w:after="0" w:line="117" w:lineRule="exact"/>
              <w:rPr>
                <w:sz w:val="20"/>
                <w:szCs w:val="20"/>
                <w:color w:val="auto"/>
              </w:rPr>
            </w:pPr>
            <w:r>
              <w:rPr>
                <w:rFonts w:ascii="Times New Roman" w:cs="Times New Roman" w:eastAsia="Times New Roman" w:hAnsi="Times New Roman"/>
                <w:sz w:val="12"/>
                <w:szCs w:val="12"/>
                <w:color w:val="231F20"/>
              </w:rPr>
              <w:t>SOFR + 5.70%</w:t>
            </w:r>
          </w:p>
        </w:tc>
        <w:tc>
          <w:tcPr>
            <w:tcW w:w="100" w:type="dxa"/>
            <w:vAlign w:val="bottom"/>
          </w:tcPr>
          <w:p>
            <w:pPr>
              <w:spacing w:after="0"/>
              <w:rPr>
                <w:sz w:val="10"/>
                <w:szCs w:val="10"/>
                <w:color w:val="auto"/>
              </w:rPr>
            </w:pPr>
          </w:p>
        </w:tc>
        <w:tc>
          <w:tcPr>
            <w:tcW w:w="920" w:type="dxa"/>
            <w:vAlign w:val="bottom"/>
            <w:tcBorders>
              <w:top w:val="single" w:sz="8" w:color="231F20"/>
            </w:tcBorders>
          </w:tcPr>
          <w:p>
            <w:pPr>
              <w:jc w:val="right"/>
              <w:spacing w:after="0" w:line="117" w:lineRule="exact"/>
              <w:rPr>
                <w:sz w:val="20"/>
                <w:szCs w:val="20"/>
                <w:color w:val="auto"/>
              </w:rPr>
            </w:pPr>
            <w:r>
              <w:rPr>
                <w:rFonts w:ascii="Times New Roman" w:cs="Times New Roman" w:eastAsia="Times New Roman" w:hAnsi="Times New Roman"/>
                <w:sz w:val="12"/>
                <w:szCs w:val="12"/>
                <w:color w:val="231F20"/>
              </w:rPr>
              <w:t>11.06%</w:t>
            </w:r>
          </w:p>
        </w:tc>
        <w:tc>
          <w:tcPr>
            <w:tcW w:w="100" w:type="dxa"/>
            <w:vAlign w:val="bottom"/>
          </w:tcPr>
          <w:p>
            <w:pPr>
              <w:spacing w:after="0"/>
              <w:rPr>
                <w:sz w:val="10"/>
                <w:szCs w:val="10"/>
                <w:color w:val="auto"/>
              </w:rPr>
            </w:pPr>
          </w:p>
        </w:tc>
        <w:tc>
          <w:tcPr>
            <w:tcW w:w="1260" w:type="dxa"/>
            <w:vAlign w:val="bottom"/>
            <w:tcBorders>
              <w:top w:val="single" w:sz="8" w:color="231F20"/>
            </w:tcBorders>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231F20"/>
              </w:rPr>
              <w:t>64,017</w:t>
            </w:r>
          </w:p>
        </w:tc>
        <w:tc>
          <w:tcPr>
            <w:tcW w:w="100" w:type="dxa"/>
            <w:vAlign w:val="bottom"/>
          </w:tcPr>
          <w:p>
            <w:pPr>
              <w:spacing w:after="0"/>
              <w:rPr>
                <w:sz w:val="10"/>
                <w:szCs w:val="10"/>
                <w:color w:val="auto"/>
              </w:rPr>
            </w:pPr>
          </w:p>
        </w:tc>
        <w:tc>
          <w:tcPr>
            <w:tcW w:w="1000" w:type="dxa"/>
            <w:vAlign w:val="bottom"/>
            <w:tcBorders>
              <w:top w:val="single" w:sz="8" w:color="231F20"/>
            </w:tcBorders>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231F20"/>
              </w:rPr>
              <w:t>64,838</w:t>
            </w:r>
          </w:p>
        </w:tc>
        <w:tc>
          <w:tcPr>
            <w:tcW w:w="100" w:type="dxa"/>
            <w:vAlign w:val="bottom"/>
          </w:tcPr>
          <w:p>
            <w:pPr>
              <w:spacing w:after="0"/>
              <w:rPr>
                <w:sz w:val="10"/>
                <w:szCs w:val="10"/>
                <w:color w:val="auto"/>
              </w:rPr>
            </w:pPr>
          </w:p>
        </w:tc>
        <w:tc>
          <w:tcPr>
            <w:tcW w:w="900" w:type="dxa"/>
            <w:vAlign w:val="bottom"/>
            <w:tcBorders>
              <w:top w:val="single" w:sz="8" w:color="231F20"/>
            </w:tcBorders>
          </w:tcPr>
          <w:p>
            <w:pPr>
              <w:jc w:val="right"/>
              <w:spacing w:after="0" w:line="117" w:lineRule="exact"/>
              <w:rPr>
                <w:sz w:val="20"/>
                <w:szCs w:val="20"/>
                <w:color w:val="auto"/>
              </w:rPr>
            </w:pPr>
            <w:r>
              <w:rPr>
                <w:rFonts w:ascii="Times New Roman" w:cs="Times New Roman" w:eastAsia="Times New Roman" w:hAnsi="Times New Roman"/>
                <w:sz w:val="12"/>
                <w:szCs w:val="12"/>
                <w:color w:val="231F20"/>
              </w:rPr>
              <w:t>4.3%</w:t>
            </w:r>
          </w:p>
        </w:tc>
        <w:tc>
          <w:tcPr>
            <w:tcW w:w="20" w:type="dxa"/>
            <w:vAlign w:val="bottom"/>
          </w:tcPr>
          <w:p>
            <w:pPr>
              <w:spacing w:after="0"/>
              <w:rPr>
                <w:sz w:val="10"/>
                <w:szCs w:val="10"/>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 xml:space="preserve"> (3)(5)</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Merative L.P.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($70,103 par, due 6/2028)</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6/30/2022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12.60%</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68,205</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69,753</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4.7%</w:t>
            </w: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Raptor US Buyer II Corp.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($15,569 par, due 3/2029)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3/24/2023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+ 6.75%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12.10%</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15,070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15,491</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1.0%</w:t>
            </w:r>
          </w:p>
        </w:tc>
        <w:tc>
          <w:tcPr>
            <w:tcW w:w="20" w:type="dxa"/>
            <w:vAlign w:val="bottom"/>
          </w:tcPr>
          <w:p>
            <w:pPr>
              <w:spacing w:after="0"/>
              <w:rPr>
                <w:sz w:val="11"/>
                <w:szCs w:val="1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SL Buyer Corp.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($31,475 par, due 7/2029)</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7/7/2023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+ 7.00%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12.36%</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30,139</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30,902</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2.1%</w:t>
            </w:r>
          </w:p>
        </w:tc>
        <w:tc>
          <w:tcPr>
            <w:tcW w:w="20" w:type="dxa"/>
            <w:vAlign w:val="bottom"/>
          </w:tcPr>
          <w:p>
            <w:pPr>
              <w:spacing w:after="0"/>
              <w:rPr>
                <w:sz w:val="11"/>
                <w:szCs w:val="11"/>
                <w:color w:val="auto"/>
              </w:rPr>
            </w:pPr>
          </w:p>
        </w:tc>
      </w:tr>
      <w:tr>
        <w:trPr>
          <w:trHeight w:val="128"/>
        </w:trPr>
        <w:tc>
          <w:tcPr>
            <w:tcW w:w="156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2600" w:type="dxa"/>
            <w:vAlign w:val="bottom"/>
            <w:tcBorders>
              <w:bottom w:val="single" w:sz="8" w:color="CFEDF9"/>
            </w:tcBorders>
          </w:tcPr>
          <w:p>
            <w:pPr>
              <w:spacing w:after="0"/>
              <w:rPr>
                <w:sz w:val="11"/>
                <w:szCs w:val="11"/>
                <w:color w:val="auto"/>
              </w:rPr>
            </w:pPr>
          </w:p>
        </w:tc>
        <w:tc>
          <w:tcPr>
            <w:tcW w:w="120" w:type="dxa"/>
            <w:vAlign w:val="bottom"/>
            <w:tcBorders>
              <w:bottom w:val="single" w:sz="8" w:color="CFEDF9"/>
            </w:tcBorders>
          </w:tcPr>
          <w:p>
            <w:pPr>
              <w:spacing w:after="0"/>
              <w:rPr>
                <w:sz w:val="11"/>
                <w:szCs w:val="11"/>
                <w:color w:val="auto"/>
              </w:rPr>
            </w:pPr>
          </w:p>
        </w:tc>
        <w:tc>
          <w:tcPr>
            <w:tcW w:w="880" w:type="dxa"/>
            <w:vAlign w:val="bottom"/>
            <w:tcBorders>
              <w:bottom w:val="single" w:sz="8" w:color="CFEDF9"/>
            </w:tcBorders>
          </w:tcPr>
          <w:p>
            <w:pPr>
              <w:spacing w:after="0"/>
              <w:rPr>
                <w:sz w:val="11"/>
                <w:szCs w:val="11"/>
                <w:color w:val="auto"/>
              </w:rPr>
            </w:pP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94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92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1260" w:type="dxa"/>
            <w:vAlign w:val="bottom"/>
            <w:tcBorders>
              <w:top w:val="single" w:sz="8" w:color="231F20"/>
              <w:bottom w:val="single" w:sz="8" w:color="231F20"/>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255,200</w:t>
            </w:r>
          </w:p>
        </w:tc>
        <w:tc>
          <w:tcPr>
            <w:tcW w:w="100" w:type="dxa"/>
            <w:vAlign w:val="bottom"/>
            <w:tcBorders>
              <w:bottom w:val="single" w:sz="8" w:color="CFEDF9"/>
            </w:tcBorders>
          </w:tcPr>
          <w:p>
            <w:pPr>
              <w:spacing w:after="0"/>
              <w:rPr>
                <w:sz w:val="11"/>
                <w:szCs w:val="11"/>
                <w:color w:val="auto"/>
              </w:rPr>
            </w:pPr>
          </w:p>
        </w:tc>
        <w:tc>
          <w:tcPr>
            <w:tcW w:w="1000" w:type="dxa"/>
            <w:vAlign w:val="bottom"/>
            <w:tcBorders>
              <w:top w:val="single" w:sz="8" w:color="231F20"/>
              <w:bottom w:val="single" w:sz="8" w:color="231F20"/>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260,633</w:t>
            </w:r>
          </w:p>
        </w:tc>
        <w:tc>
          <w:tcPr>
            <w:tcW w:w="100" w:type="dxa"/>
            <w:vAlign w:val="bottom"/>
            <w:tcBorders>
              <w:bottom w:val="single" w:sz="8" w:color="CFEDF9"/>
            </w:tcBorders>
          </w:tcPr>
          <w:p>
            <w:pPr>
              <w:spacing w:after="0"/>
              <w:rPr>
                <w:sz w:val="11"/>
                <w:szCs w:val="11"/>
                <w:color w:val="auto"/>
              </w:rPr>
            </w:pPr>
          </w:p>
        </w:tc>
        <w:tc>
          <w:tcPr>
            <w:tcW w:w="900" w:type="dxa"/>
            <w:vAlign w:val="bottom"/>
            <w:tcBorders>
              <w:top w:val="single" w:sz="8" w:color="231F20"/>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17.5%</w:t>
            </w:r>
          </w:p>
        </w:tc>
        <w:tc>
          <w:tcPr>
            <w:tcW w:w="20" w:type="dxa"/>
            <w:vAlign w:val="bottom"/>
          </w:tcPr>
          <w:p>
            <w:pPr>
              <w:spacing w:after="0"/>
              <w:rPr>
                <w:sz w:val="11"/>
                <w:szCs w:val="11"/>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Hotel, Gaming and Leisure</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ASG II,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($61,609 par, due 5/2028)</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5/25/2022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+ 6.40%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11.77%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60,383</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61,934</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4.1%</w:t>
            </w:r>
          </w:p>
        </w:tc>
        <w:tc>
          <w:tcPr>
            <w:tcW w:w="20" w:type="dxa"/>
            <w:vAlign w:val="bottom"/>
          </w:tcPr>
          <w:p>
            <w:pPr>
              <w:spacing w:after="0"/>
              <w:rPr>
                <w:sz w:val="11"/>
                <w:szCs w:val="1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IRGSE Holding Corp. </w:t>
            </w:r>
            <w:r>
              <w:rPr>
                <w:rFonts w:ascii="Times New Roman" w:cs="Times New Roman" w:eastAsia="Times New Roman" w:hAnsi="Times New Roman"/>
                <w:sz w:val="15"/>
                <w:szCs w:val="15"/>
                <w:color w:val="231F20"/>
                <w:vertAlign w:val="superscript"/>
              </w:rPr>
              <w:t>(3)(6)</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($30,261 par, due 6/2024)</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12/21/2018</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+ 9.65%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15.00%</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28,594</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30,109</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2.0%</w:t>
            </w:r>
          </w:p>
        </w:tc>
        <w:tc>
          <w:tcPr>
            <w:tcW w:w="20" w:type="dxa"/>
            <w:vAlign w:val="bottom"/>
          </w:tcPr>
          <w:p>
            <w:pPr>
              <w:spacing w:after="0"/>
              <w:rPr>
                <w:sz w:val="11"/>
                <w:szCs w:val="11"/>
                <w:color w:val="auto"/>
              </w:rPr>
            </w:pPr>
          </w:p>
        </w:tc>
      </w:tr>
      <w:tr>
        <w:trPr>
          <w:trHeight w:val="138"/>
        </w:trPr>
        <w:tc>
          <w:tcPr>
            <w:tcW w:w="156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260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2"/>
                <w:szCs w:val="12"/>
                <w:color w:val="231F20"/>
              </w:rPr>
              <w:t>First-lien revolving loan ($27,622 par, due 6/2024)</w:t>
            </w:r>
          </w:p>
        </w:tc>
        <w:tc>
          <w:tcPr>
            <w:tcW w:w="1000" w:type="dxa"/>
            <w:vAlign w:val="bottom"/>
            <w:tcBorders>
              <w:bottom w:val="single" w:sz="8" w:color="CFEDF9"/>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12/21/2018</w:t>
            </w: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1040" w:type="dxa"/>
            <w:vAlign w:val="bottom"/>
            <w:tcBorders>
              <w:bottom w:val="single" w:sz="8" w:color="CFEDF9"/>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+ 9.65%</w:t>
            </w:r>
          </w:p>
        </w:tc>
        <w:tc>
          <w:tcPr>
            <w:tcW w:w="1020" w:type="dxa"/>
            <w:vAlign w:val="bottom"/>
            <w:tcBorders>
              <w:bottom w:val="single" w:sz="8" w:color="CFEDF9"/>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15.03%</w:t>
            </w:r>
          </w:p>
        </w:tc>
        <w:tc>
          <w:tcPr>
            <w:tcW w:w="12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27,622</w:t>
            </w:r>
          </w:p>
        </w:tc>
        <w:tc>
          <w:tcPr>
            <w:tcW w:w="100" w:type="dxa"/>
            <w:vAlign w:val="bottom"/>
            <w:tcBorders>
              <w:bottom w:val="single" w:sz="8" w:color="CFEDF9"/>
            </w:tcBorders>
          </w:tcPr>
          <w:p>
            <w:pPr>
              <w:spacing w:after="0"/>
              <w:rPr>
                <w:sz w:val="11"/>
                <w:szCs w:val="11"/>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27,480</w:t>
            </w:r>
          </w:p>
        </w:tc>
        <w:tc>
          <w:tcPr>
            <w:tcW w:w="100" w:type="dxa"/>
            <w:vAlign w:val="bottom"/>
            <w:tcBorders>
              <w:bottom w:val="single" w:sz="8" w:color="CFEDF9"/>
            </w:tcBorders>
          </w:tcPr>
          <w:p>
            <w:pPr>
              <w:spacing w:after="0"/>
              <w:rPr>
                <w:sz w:val="11"/>
                <w:szCs w:val="1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1.8%</w:t>
            </w:r>
          </w:p>
        </w:tc>
        <w:tc>
          <w:tcPr>
            <w:tcW w:w="20" w:type="dxa"/>
            <w:vAlign w:val="bottom"/>
          </w:tcPr>
          <w:p>
            <w:pPr>
              <w:spacing w:after="0"/>
              <w:rPr>
                <w:sz w:val="11"/>
                <w:szCs w:val="11"/>
                <w:color w:val="auto"/>
              </w:rPr>
            </w:pPr>
          </w:p>
        </w:tc>
      </w:tr>
      <w:tr>
        <w:trPr>
          <w:trHeight w:val="12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6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116,599</w:t>
            </w: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119,523</w:t>
            </w: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7.9%</w:t>
            </w:r>
          </w:p>
        </w:tc>
        <w:tc>
          <w:tcPr>
            <w:tcW w:w="20" w:type="dxa"/>
            <w:vAlign w:val="bottom"/>
          </w:tcPr>
          <w:p>
            <w:pPr>
              <w:spacing w:after="0"/>
              <w:rPr>
                <w:sz w:val="11"/>
                <w:szCs w:val="11"/>
                <w:color w:val="auto"/>
              </w:rPr>
            </w:pPr>
          </w:p>
        </w:tc>
      </w:tr>
      <w:tr>
        <w:trPr>
          <w:trHeight w:val="115"/>
        </w:trPr>
        <w:tc>
          <w:tcPr>
            <w:tcW w:w="1560" w:type="dxa"/>
            <w:vAlign w:val="bottom"/>
          </w:tcPr>
          <w:p>
            <w:pPr>
              <w:spacing w:after="0" w:line="115" w:lineRule="exact"/>
              <w:rPr>
                <w:sz w:val="20"/>
                <w:szCs w:val="20"/>
                <w:color w:val="auto"/>
              </w:rPr>
            </w:pPr>
            <w:r>
              <w:rPr>
                <w:rFonts w:ascii="Times New Roman" w:cs="Times New Roman" w:eastAsia="Times New Roman" w:hAnsi="Times New Roman"/>
                <w:sz w:val="12"/>
                <w:szCs w:val="12"/>
                <w:b w:val="1"/>
                <w:bCs w:val="1"/>
                <w:color w:val="231F20"/>
              </w:rPr>
              <w:t>Human Resource Support</w:t>
            </w:r>
          </w:p>
        </w:tc>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231F20"/>
            </w:tcBorders>
          </w:tcPr>
          <w:p>
            <w:pPr>
              <w:spacing w:after="0"/>
              <w:rPr>
                <w:sz w:val="10"/>
                <w:szCs w:val="10"/>
                <w:color w:val="auto"/>
              </w:rPr>
            </w:pPr>
          </w:p>
        </w:tc>
        <w:tc>
          <w:tcPr>
            <w:tcW w:w="1140" w:type="dxa"/>
            <w:vAlign w:val="bottom"/>
            <w:tcBorders>
              <w:top w:val="single" w:sz="8" w:color="231F2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231F20"/>
            </w:tcBorders>
          </w:tcPr>
          <w:p>
            <w:pPr>
              <w:spacing w:after="0"/>
              <w:rPr>
                <w:sz w:val="10"/>
                <w:szCs w:val="10"/>
                <w:color w:val="auto"/>
              </w:rPr>
            </w:pPr>
          </w:p>
        </w:tc>
        <w:tc>
          <w:tcPr>
            <w:tcW w:w="900" w:type="dxa"/>
            <w:vAlign w:val="bottom"/>
            <w:tcBorders>
              <w:top w:val="single" w:sz="8" w:color="231F20"/>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231F20"/>
            </w:tcBorders>
          </w:tcPr>
          <w:p>
            <w:pPr>
              <w:spacing w:after="0"/>
              <w:rPr>
                <w:sz w:val="10"/>
                <w:szCs w:val="10"/>
                <w:color w:val="auto"/>
              </w:rPr>
            </w:pPr>
          </w:p>
        </w:tc>
        <w:tc>
          <w:tcPr>
            <w:tcW w:w="20" w:type="dxa"/>
            <w:vAlign w:val="bottom"/>
          </w:tcPr>
          <w:p>
            <w:pPr>
              <w:spacing w:after="0"/>
              <w:rPr>
                <w:sz w:val="10"/>
                <w:szCs w:val="10"/>
                <w:color w:val="auto"/>
              </w:rPr>
            </w:pPr>
          </w:p>
        </w:tc>
      </w:tr>
      <w:tr>
        <w:trPr>
          <w:trHeight w:val="151"/>
        </w:trPr>
        <w:tc>
          <w:tcPr>
            <w:tcW w:w="156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Services</w:t>
            </w:r>
          </w:p>
        </w:tc>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Axonify, Inc. </w:t>
            </w:r>
            <w:r>
              <w:rPr>
                <w:rFonts w:ascii="Times New Roman" w:cs="Times New Roman" w:eastAsia="Times New Roman" w:hAnsi="Times New Roman"/>
                <w:sz w:val="15"/>
                <w:szCs w:val="15"/>
                <w:color w:val="231F20"/>
                <w:vertAlign w:val="superscript"/>
              </w:rPr>
              <w:t>(3)(4)(5)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($41,607 par, due 5/2027)</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5/5/2021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+ 7.65%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13.04%</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41,035</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41,718</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2.7%</w:t>
            </w: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bswift,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($44,358 par, due 11/2028)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11/7/2022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+ 6.63%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12.03%</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43,236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44,802</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3.0%</w:t>
            </w:r>
          </w:p>
        </w:tc>
        <w:tc>
          <w:tcPr>
            <w:tcW w:w="20" w:type="dxa"/>
            <w:vAlign w:val="bottom"/>
          </w:tcPr>
          <w:p>
            <w:pPr>
              <w:spacing w:after="0"/>
              <w:rPr>
                <w:sz w:val="11"/>
                <w:szCs w:val="11"/>
                <w:color w:val="auto"/>
              </w:rPr>
            </w:pP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Elysian Finco Ltd. </w:t>
            </w:r>
            <w:r>
              <w:rPr>
                <w:rFonts w:ascii="Times New Roman" w:cs="Times New Roman" w:eastAsia="Times New Roman" w:hAnsi="Times New Roman"/>
                <w:sz w:val="14"/>
                <w:szCs w:val="14"/>
                <w:color w:val="231F20"/>
                <w:vertAlign w:val="superscript"/>
              </w:rPr>
              <w:t>(3)(4)(5)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($19,519 par, due 1/2028)</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1/31/2021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+ 6.65%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12.03% (incl.</w:t>
            </w: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19,112</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19,987</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1.3%</w:t>
            </w:r>
          </w:p>
        </w:tc>
        <w:tc>
          <w:tcPr>
            <w:tcW w:w="20" w:type="dxa"/>
            <w:vAlign w:val="bottom"/>
          </w:tcPr>
          <w:p>
            <w:pPr>
              <w:spacing w:after="0"/>
              <w:rPr>
                <w:sz w:val="11"/>
                <w:szCs w:val="11"/>
                <w:color w:val="auto"/>
              </w:rPr>
            </w:pP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6.50% PIK)</w:t>
            </w:r>
          </w:p>
        </w:tc>
        <w:tc>
          <w:tcPr>
            <w:tcW w:w="120" w:type="dxa"/>
            <w:vAlign w:val="bottom"/>
            <w:shd w:val="clear" w:color="auto" w:fill="CFEDF9"/>
          </w:tcPr>
          <w:p>
            <w:pPr>
              <w:spacing w:after="0"/>
              <w:rPr>
                <w:sz w:val="12"/>
                <w:szCs w:val="12"/>
                <w:color w:val="auto"/>
              </w:rPr>
            </w:pPr>
          </w:p>
        </w:tc>
        <w:tc>
          <w:tcPr>
            <w:tcW w:w="11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w w:val="99"/>
              </w:rPr>
              <w:t>Employment Hero Holdings Pty</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(AUD 50,000 par, due 12/2026)</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12/6/2021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B + 6.25%</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10.67%</w:t>
            </w:r>
          </w:p>
        </w:tc>
        <w:tc>
          <w:tcPr>
            <w:tcW w:w="13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34,834</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34,117</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2.3%</w:t>
            </w:r>
          </w:p>
        </w:tc>
        <w:tc>
          <w:tcPr>
            <w:tcW w:w="20" w:type="dxa"/>
            <w:vAlign w:val="bottom"/>
          </w:tcPr>
          <w:p>
            <w:pPr>
              <w:spacing w:after="0"/>
              <w:rPr>
                <w:sz w:val="11"/>
                <w:szCs w:val="1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Ltd.</w:t>
            </w:r>
            <w:r>
              <w:rPr>
                <w:rFonts w:ascii="Times New Roman" w:cs="Times New Roman" w:eastAsia="Times New Roman" w:hAnsi="Times New Roman"/>
                <w:sz w:val="7"/>
                <w:szCs w:val="7"/>
                <w:color w:val="231F20"/>
              </w:rPr>
              <w:t xml:space="preserve"> (3)(4)</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(AUD 50,000)</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HireVue, Inc.</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($54,113 par, due 5/2029)</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5/3/2023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12.63%</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52,478</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53,808</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3.6%</w:t>
            </w:r>
          </w:p>
        </w:tc>
        <w:tc>
          <w:tcPr>
            <w:tcW w:w="20" w:type="dxa"/>
            <w:vAlign w:val="bottom"/>
          </w:tcPr>
          <w:p>
            <w:pPr>
              <w:spacing w:after="0"/>
              <w:rPr>
                <w:sz w:val="11"/>
                <w:szCs w:val="11"/>
                <w:color w:val="auto"/>
              </w:rPr>
            </w:pPr>
          </w:p>
        </w:tc>
      </w:tr>
      <w:tr>
        <w:trPr>
          <w:trHeight w:val="161"/>
        </w:trPr>
        <w:tc>
          <w:tcPr>
            <w:tcW w:w="1560" w:type="dxa"/>
            <w:vAlign w:val="bottom"/>
          </w:tcPr>
          <w:p>
            <w:pPr>
              <w:spacing w:after="0" w:line="161" w:lineRule="exact"/>
              <w:rPr>
                <w:sz w:val="20"/>
                <w:szCs w:val="20"/>
                <w:color w:val="auto"/>
              </w:rPr>
            </w:pPr>
            <w:r>
              <w:rPr>
                <w:rFonts w:ascii="Times New Roman" w:cs="Times New Roman" w:eastAsia="Times New Roman" w:hAnsi="Times New Roman"/>
                <w:sz w:val="12"/>
                <w:szCs w:val="12"/>
                <w:color w:val="231F20"/>
              </w:rPr>
              <w:t>Madcap Software, Inc.</w:t>
            </w:r>
            <w:r>
              <w:rPr>
                <w:rFonts w:ascii="Times New Roman" w:cs="Times New Roman" w:eastAsia="Times New Roman" w:hAnsi="Times New Roman"/>
                <w:sz w:val="16"/>
                <w:szCs w:val="16"/>
                <w:color w:val="231F20"/>
                <w:vertAlign w:val="superscript"/>
              </w:rPr>
              <w:t>(3)(5)</w:t>
            </w:r>
          </w:p>
        </w:tc>
        <w:tc>
          <w:tcPr>
            <w:tcW w:w="100" w:type="dxa"/>
            <w:vAlign w:val="bottom"/>
          </w:tcPr>
          <w:p>
            <w:pPr>
              <w:spacing w:after="0"/>
              <w:rPr>
                <w:sz w:val="13"/>
                <w:szCs w:val="13"/>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($32,500 par, due 12/2026)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12/15/2023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11.46%</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31,713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31,769</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2.1%</w:t>
            </w:r>
          </w:p>
        </w:tc>
        <w:tc>
          <w:tcPr>
            <w:tcW w:w="20" w:type="dxa"/>
            <w:vAlign w:val="bottom"/>
          </w:tcPr>
          <w:p>
            <w:pPr>
              <w:spacing w:after="0"/>
              <w:rPr>
                <w:sz w:val="13"/>
                <w:szCs w:val="13"/>
                <w:color w:val="auto"/>
              </w:rPr>
            </w:pP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PageUp People, Ltd. </w:t>
            </w:r>
            <w:r>
              <w:rPr>
                <w:rFonts w:ascii="Times New Roman" w:cs="Times New Roman" w:eastAsia="Times New Roman" w:hAnsi="Times New Roman"/>
                <w:sz w:val="14"/>
                <w:szCs w:val="14"/>
                <w:color w:val="231F20"/>
                <w:vertAlign w:val="superscript"/>
              </w:rPr>
              <w:t>(3)(4)(5)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(AUD 13,400 par, due 12/2025)</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1/11/2018</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B + 5.00%</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9.36%</w:t>
            </w: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10,114</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9,143</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0.6%</w:t>
            </w:r>
          </w:p>
        </w:tc>
        <w:tc>
          <w:tcPr>
            <w:tcW w:w="20" w:type="dxa"/>
            <w:vAlign w:val="bottom"/>
          </w:tcPr>
          <w:p>
            <w:pPr>
              <w:spacing w:after="0"/>
              <w:rPr>
                <w:sz w:val="11"/>
                <w:szCs w:val="11"/>
                <w:color w:val="auto"/>
              </w:rPr>
            </w:pP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11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(AUD 13,400)</w:t>
            </w: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r>
      <w:tr>
        <w:trPr>
          <w:trHeight w:val="127"/>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(GBP 3,104 par, due 12/2025)</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10/28/2021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 + 5.03%</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10.22%</w:t>
            </w:r>
          </w:p>
        </w:tc>
        <w:tc>
          <w:tcPr>
            <w:tcW w:w="13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4,276</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3,957</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1"/>
                <w:szCs w:val="11"/>
                <w:color w:val="auto"/>
              </w:rPr>
            </w:pPr>
          </w:p>
        </w:tc>
      </w:t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(GBP 3,104)</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($10,557 par, due 12/2025)</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10/28/2021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+ 5.10%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10.45%</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10,549</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10,557</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0.7%</w:t>
            </w: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PayScale Holdings, Inc.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($71,196 par, due 5/2027)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5/3/2019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+ 6.35%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11.70%</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70,826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71,374</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4.8%</w:t>
            </w:r>
          </w:p>
        </w:tc>
        <w:tc>
          <w:tcPr>
            <w:tcW w:w="20" w:type="dxa"/>
            <w:vAlign w:val="bottom"/>
          </w:tcPr>
          <w:p>
            <w:pPr>
              <w:spacing w:after="0"/>
              <w:rPr>
                <w:sz w:val="11"/>
                <w:szCs w:val="11"/>
                <w:color w:val="auto"/>
              </w:rPr>
            </w:pPr>
          </w:p>
        </w:tc>
      </w:tr>
      <w:tr>
        <w:trPr>
          <w:trHeight w:val="132"/>
        </w:trPr>
        <w:tc>
          <w:tcPr>
            <w:tcW w:w="156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PrimePay Intermediate, LLC</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First-lien loan ($34,375 par, due 12/2026)</w:t>
            </w:r>
          </w:p>
        </w:tc>
        <w:tc>
          <w:tcPr>
            <w:tcW w:w="10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12/17/2021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SOFR + 7.15%</w:t>
            </w:r>
          </w:p>
        </w:tc>
        <w:tc>
          <w:tcPr>
            <w:tcW w:w="1020" w:type="dxa"/>
            <w:vAlign w:val="bottom"/>
            <w:gridSpan w:val="2"/>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12.54%</w:t>
            </w:r>
          </w:p>
        </w:tc>
        <w:tc>
          <w:tcPr>
            <w:tcW w:w="136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33,672</w:t>
            </w:r>
          </w:p>
        </w:tc>
        <w:tc>
          <w:tcPr>
            <w:tcW w:w="110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34,375</w:t>
            </w:r>
          </w:p>
        </w:tc>
        <w:tc>
          <w:tcPr>
            <w:tcW w:w="900" w:type="dxa"/>
            <w:vAlign w:val="bottom"/>
            <w:tcBorders>
              <w:right w:val="single" w:sz="8" w:color="CFEDF9"/>
            </w:tcBorders>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2.3%</w:t>
            </w:r>
          </w:p>
        </w:tc>
        <w:tc>
          <w:tcPr>
            <w:tcW w:w="20" w:type="dxa"/>
            <w:vAlign w:val="bottom"/>
          </w:tcPr>
          <w:p>
            <w:pPr>
              <w:spacing w:after="0"/>
              <w:rPr>
                <w:sz w:val="11"/>
                <w:szCs w:val="11"/>
                <w:color w:val="auto"/>
              </w:rPr>
            </w:pPr>
          </w:p>
        </w:tc>
      </w:tr>
      <w:tr>
        <w:trPr>
          <w:trHeight w:val="144"/>
        </w:trPr>
        <w:tc>
          <w:tcPr>
            <w:tcW w:w="156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(3)(5)</w:t>
            </w:r>
          </w:p>
        </w:tc>
        <w:tc>
          <w:tcPr>
            <w:tcW w:w="100" w:type="dxa"/>
            <w:vAlign w:val="bottom"/>
            <w:tcBorders>
              <w:bottom w:val="single" w:sz="8" w:color="CFEDF9"/>
            </w:tcBorders>
            <w:shd w:val="clear" w:color="auto" w:fill="CFEDF9"/>
          </w:tcPr>
          <w:p>
            <w:pPr>
              <w:spacing w:after="0"/>
              <w:rPr>
                <w:sz w:val="12"/>
                <w:szCs w:val="12"/>
                <w:color w:val="auto"/>
              </w:rPr>
            </w:pPr>
          </w:p>
        </w:tc>
        <w:tc>
          <w:tcPr>
            <w:tcW w:w="2600" w:type="dxa"/>
            <w:vAlign w:val="bottom"/>
            <w:tcBorders>
              <w:bottom w:val="single" w:sz="8" w:color="CFEDF9"/>
            </w:tcBorders>
            <w:shd w:val="clear" w:color="auto" w:fill="CFEDF9"/>
          </w:tcPr>
          <w:p>
            <w:pPr>
              <w:spacing w:after="0"/>
              <w:rPr>
                <w:sz w:val="12"/>
                <w:szCs w:val="12"/>
                <w:color w:val="auto"/>
              </w:rPr>
            </w:pPr>
          </w:p>
        </w:tc>
        <w:tc>
          <w:tcPr>
            <w:tcW w:w="120" w:type="dxa"/>
            <w:vAlign w:val="bottom"/>
            <w:tcBorders>
              <w:bottom w:val="single" w:sz="8" w:color="CFEDF9"/>
            </w:tcBorders>
            <w:shd w:val="clear" w:color="auto" w:fill="CFEDF9"/>
          </w:tcPr>
          <w:p>
            <w:pPr>
              <w:spacing w:after="0"/>
              <w:rPr>
                <w:sz w:val="12"/>
                <w:szCs w:val="12"/>
                <w:color w:val="auto"/>
              </w:rPr>
            </w:pPr>
          </w:p>
        </w:tc>
        <w:tc>
          <w:tcPr>
            <w:tcW w:w="880" w:type="dxa"/>
            <w:vAlign w:val="bottom"/>
            <w:tcBorders>
              <w:bottom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CFEDF9"/>
            </w:tcBorders>
            <w:shd w:val="clear" w:color="auto" w:fill="CFEDF9"/>
          </w:tcPr>
          <w:p>
            <w:pPr>
              <w:spacing w:after="0"/>
              <w:rPr>
                <w:sz w:val="12"/>
                <w:szCs w:val="12"/>
                <w:color w:val="auto"/>
              </w:rPr>
            </w:pPr>
          </w:p>
        </w:tc>
        <w:tc>
          <w:tcPr>
            <w:tcW w:w="940" w:type="dxa"/>
            <w:vAlign w:val="bottom"/>
            <w:tcBorders>
              <w:bottom w:val="single" w:sz="8" w:color="CFEDF9"/>
            </w:tcBorders>
            <w:shd w:val="clear" w:color="auto" w:fill="CFEDF9"/>
          </w:tcPr>
          <w:p>
            <w:pPr>
              <w:spacing w:after="0"/>
              <w:rPr>
                <w:sz w:val="12"/>
                <w:szCs w:val="12"/>
                <w:color w:val="auto"/>
              </w:rPr>
            </w:pPr>
          </w:p>
        </w:tc>
        <w:tc>
          <w:tcPr>
            <w:tcW w:w="100" w:type="dxa"/>
            <w:vAlign w:val="bottom"/>
            <w:tcBorders>
              <w:bottom w:val="single" w:sz="8" w:color="CFEDF9"/>
            </w:tcBorders>
            <w:shd w:val="clear" w:color="auto" w:fill="CFEDF9"/>
          </w:tcPr>
          <w:p>
            <w:pPr>
              <w:spacing w:after="0"/>
              <w:rPr>
                <w:sz w:val="12"/>
                <w:szCs w:val="12"/>
                <w:color w:val="auto"/>
              </w:rPr>
            </w:pPr>
          </w:p>
        </w:tc>
        <w:tc>
          <w:tcPr>
            <w:tcW w:w="920" w:type="dxa"/>
            <w:vAlign w:val="bottom"/>
            <w:tcBorders>
              <w:bottom w:val="single" w:sz="8" w:color="CFEDF9"/>
            </w:tcBorders>
            <w:shd w:val="clear" w:color="auto" w:fill="CFEDF9"/>
          </w:tcPr>
          <w:p>
            <w:pPr>
              <w:spacing w:after="0"/>
              <w:rPr>
                <w:sz w:val="12"/>
                <w:szCs w:val="12"/>
                <w:color w:val="auto"/>
              </w:rPr>
            </w:pPr>
          </w:p>
        </w:tc>
        <w:tc>
          <w:tcPr>
            <w:tcW w:w="100" w:type="dxa"/>
            <w:vAlign w:val="bottom"/>
            <w:tcBorders>
              <w:bottom w:val="single" w:sz="8" w:color="CFEDF9"/>
            </w:tcBorders>
            <w:shd w:val="clear" w:color="auto" w:fill="CFEDF9"/>
          </w:tcPr>
          <w:p>
            <w:pPr>
              <w:spacing w:after="0"/>
              <w:rPr>
                <w:sz w:val="12"/>
                <w:szCs w:val="12"/>
                <w:color w:val="auto"/>
              </w:rPr>
            </w:pPr>
          </w:p>
        </w:tc>
        <w:tc>
          <w:tcPr>
            <w:tcW w:w="120" w:type="dxa"/>
            <w:vAlign w:val="bottom"/>
            <w:tcBorders>
              <w:bottom w:val="single" w:sz="8" w:color="CFEDF9"/>
            </w:tcBorders>
            <w:shd w:val="clear" w:color="auto" w:fill="CFEDF9"/>
          </w:tcPr>
          <w:p>
            <w:pPr>
              <w:spacing w:after="0"/>
              <w:rPr>
                <w:sz w:val="12"/>
                <w:szCs w:val="12"/>
                <w:color w:val="auto"/>
              </w:rPr>
            </w:pPr>
          </w:p>
        </w:tc>
        <w:tc>
          <w:tcPr>
            <w:tcW w:w="1140" w:type="dxa"/>
            <w:vAlign w:val="bottom"/>
            <w:tcBorders>
              <w:bottom w:val="single" w:sz="8" w:color="CFEDF9"/>
            </w:tcBorders>
            <w:shd w:val="clear" w:color="auto" w:fill="CFEDF9"/>
          </w:tcPr>
          <w:p>
            <w:pPr>
              <w:spacing w:after="0"/>
              <w:rPr>
                <w:sz w:val="12"/>
                <w:szCs w:val="12"/>
                <w:color w:val="auto"/>
              </w:rPr>
            </w:pPr>
          </w:p>
        </w:tc>
        <w:tc>
          <w:tcPr>
            <w:tcW w:w="100" w:type="dxa"/>
            <w:vAlign w:val="bottom"/>
            <w:tcBorders>
              <w:bottom w:val="single" w:sz="8" w:color="CFEDF9"/>
            </w:tcBorders>
            <w:shd w:val="clear" w:color="auto" w:fill="CFEDF9"/>
          </w:tcPr>
          <w:p>
            <w:pPr>
              <w:spacing w:after="0"/>
              <w:rPr>
                <w:sz w:val="12"/>
                <w:szCs w:val="12"/>
                <w:color w:val="auto"/>
              </w:rPr>
            </w:pPr>
          </w:p>
        </w:tc>
        <w:tc>
          <w:tcPr>
            <w:tcW w:w="100" w:type="dxa"/>
            <w:vAlign w:val="bottom"/>
            <w:tcBorders>
              <w:bottom w:val="single" w:sz="8" w:color="CFEDF9"/>
            </w:tcBorders>
            <w:shd w:val="clear" w:color="auto" w:fill="CFEDF9"/>
          </w:tcPr>
          <w:p>
            <w:pPr>
              <w:spacing w:after="0"/>
              <w:rPr>
                <w:sz w:val="12"/>
                <w:szCs w:val="12"/>
                <w:color w:val="auto"/>
              </w:rPr>
            </w:pPr>
          </w:p>
        </w:tc>
        <w:tc>
          <w:tcPr>
            <w:tcW w:w="900" w:type="dxa"/>
            <w:vAlign w:val="bottom"/>
            <w:tcBorders>
              <w:bottom w:val="single" w:sz="8" w:color="CFEDF9"/>
            </w:tcBorders>
            <w:shd w:val="clear" w:color="auto" w:fill="CFEDF9"/>
          </w:tcPr>
          <w:p>
            <w:pPr>
              <w:spacing w:after="0"/>
              <w:rPr>
                <w:sz w:val="12"/>
                <w:szCs w:val="12"/>
                <w:color w:val="auto"/>
              </w:rPr>
            </w:pPr>
          </w:p>
        </w:tc>
        <w:tc>
          <w:tcPr>
            <w:tcW w:w="100" w:type="dxa"/>
            <w:vAlign w:val="bottom"/>
            <w:tcBorders>
              <w:bottom w:val="single" w:sz="8" w:color="CFEDF9"/>
            </w:tcBorders>
            <w:shd w:val="clear" w:color="auto" w:fill="CFEDF9"/>
          </w:tcPr>
          <w:p>
            <w:pPr>
              <w:spacing w:after="0"/>
              <w:rPr>
                <w:sz w:val="12"/>
                <w:szCs w:val="12"/>
                <w:color w:val="auto"/>
              </w:rPr>
            </w:pPr>
          </w:p>
        </w:tc>
        <w:tc>
          <w:tcPr>
            <w:tcW w:w="900" w:type="dxa"/>
            <w:vAlign w:val="bottom"/>
            <w:tcBorders>
              <w:bottom w:val="single" w:sz="8" w:color="CFEDF9"/>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156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2600" w:type="dxa"/>
            <w:vAlign w:val="bottom"/>
            <w:tcBorders>
              <w:bottom w:val="single" w:sz="8" w:color="CFEDF9"/>
            </w:tcBorders>
          </w:tcPr>
          <w:p>
            <w:pPr>
              <w:spacing w:after="0"/>
              <w:rPr>
                <w:sz w:val="11"/>
                <w:szCs w:val="11"/>
                <w:color w:val="auto"/>
              </w:rPr>
            </w:pPr>
          </w:p>
        </w:tc>
        <w:tc>
          <w:tcPr>
            <w:tcW w:w="120" w:type="dxa"/>
            <w:vAlign w:val="bottom"/>
            <w:tcBorders>
              <w:bottom w:val="single" w:sz="8" w:color="CFEDF9"/>
            </w:tcBorders>
          </w:tcPr>
          <w:p>
            <w:pPr>
              <w:spacing w:after="0"/>
              <w:rPr>
                <w:sz w:val="11"/>
                <w:szCs w:val="11"/>
                <w:color w:val="auto"/>
              </w:rPr>
            </w:pPr>
          </w:p>
        </w:tc>
        <w:tc>
          <w:tcPr>
            <w:tcW w:w="880" w:type="dxa"/>
            <w:vAlign w:val="bottom"/>
            <w:tcBorders>
              <w:bottom w:val="single" w:sz="8" w:color="CFEDF9"/>
            </w:tcBorders>
          </w:tcPr>
          <w:p>
            <w:pPr>
              <w:spacing w:after="0"/>
              <w:rPr>
                <w:sz w:val="11"/>
                <w:szCs w:val="11"/>
                <w:color w:val="auto"/>
              </w:rPr>
            </w:pP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94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92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1260" w:type="dxa"/>
            <w:vAlign w:val="bottom"/>
            <w:tcBorders>
              <w:top w:val="single" w:sz="8" w:color="231F20"/>
              <w:bottom w:val="single" w:sz="8" w:color="231F20"/>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351,845</w:t>
            </w:r>
          </w:p>
        </w:tc>
        <w:tc>
          <w:tcPr>
            <w:tcW w:w="100" w:type="dxa"/>
            <w:vAlign w:val="bottom"/>
            <w:tcBorders>
              <w:bottom w:val="single" w:sz="8" w:color="CFEDF9"/>
            </w:tcBorders>
          </w:tcPr>
          <w:p>
            <w:pPr>
              <w:spacing w:after="0"/>
              <w:rPr>
                <w:sz w:val="11"/>
                <w:szCs w:val="11"/>
                <w:color w:val="auto"/>
              </w:rPr>
            </w:pPr>
          </w:p>
        </w:tc>
        <w:tc>
          <w:tcPr>
            <w:tcW w:w="1000" w:type="dxa"/>
            <w:vAlign w:val="bottom"/>
            <w:tcBorders>
              <w:top w:val="single" w:sz="8" w:color="231F20"/>
              <w:bottom w:val="single" w:sz="8" w:color="231F20"/>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355,607</w:t>
            </w:r>
          </w:p>
        </w:tc>
        <w:tc>
          <w:tcPr>
            <w:tcW w:w="100" w:type="dxa"/>
            <w:vAlign w:val="bottom"/>
            <w:tcBorders>
              <w:bottom w:val="single" w:sz="8" w:color="CFEDF9"/>
            </w:tcBorders>
          </w:tcPr>
          <w:p>
            <w:pPr>
              <w:spacing w:after="0"/>
              <w:rPr>
                <w:sz w:val="11"/>
                <w:szCs w:val="11"/>
                <w:color w:val="auto"/>
              </w:rPr>
            </w:pPr>
          </w:p>
        </w:tc>
        <w:tc>
          <w:tcPr>
            <w:tcW w:w="900" w:type="dxa"/>
            <w:vAlign w:val="bottom"/>
            <w:tcBorders>
              <w:top w:val="single" w:sz="8" w:color="231F20"/>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23.7%</w:t>
            </w:r>
          </w:p>
        </w:tc>
        <w:tc>
          <w:tcPr>
            <w:tcW w:w="20" w:type="dxa"/>
            <w:vAlign w:val="bottom"/>
          </w:tcPr>
          <w:p>
            <w:pPr>
              <w:spacing w:after="0"/>
              <w:rPr>
                <w:sz w:val="11"/>
                <w:szCs w:val="11"/>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Insurance</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Disco Parent,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($4,545 par, due 3/2029)</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3/30/2023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+ 7.50%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4,436</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4,533</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1"/>
                <w:szCs w:val="11"/>
                <w:color w:val="auto"/>
              </w:rPr>
            </w:pPr>
          </w:p>
        </w:tc>
      </w:tr>
      <w:tr>
        <w:trPr>
          <w:trHeight w:val="138"/>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Internet Services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Arrow Buyer,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($33,125 par, due 7/2030)</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6/30/2023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+ 6.50%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11.85%</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32,249</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32,820</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2.2%</w:t>
            </w:r>
          </w:p>
        </w:tc>
        <w:tc>
          <w:tcPr>
            <w:tcW w:w="20" w:type="dxa"/>
            <w:vAlign w:val="bottom"/>
          </w:tcPr>
          <w:p>
            <w:pPr>
              <w:spacing w:after="0"/>
              <w:rPr>
                <w:sz w:val="11"/>
                <w:szCs w:val="11"/>
                <w:color w:val="auto"/>
              </w:rPr>
            </w:pPr>
          </w:p>
        </w:tc>
      </w:tr>
      <w:tr>
        <w:trPr>
          <w:trHeight w:val="132"/>
        </w:trPr>
        <w:tc>
          <w:tcPr>
            <w:tcW w:w="156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Bayshore Intermediate #2, L.P.</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First-lien loan ($36,629 par, due 10/2028)</w:t>
            </w:r>
          </w:p>
        </w:tc>
        <w:tc>
          <w:tcPr>
            <w:tcW w:w="10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10/1/2021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SOFR + 7.60%</w:t>
            </w:r>
          </w:p>
        </w:tc>
        <w:tc>
          <w:tcPr>
            <w:tcW w:w="1020" w:type="dxa"/>
            <w:vAlign w:val="bottom"/>
            <w:gridSpan w:val="2"/>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12.96% PIK</w:t>
            </w:r>
          </w:p>
        </w:tc>
        <w:tc>
          <w:tcPr>
            <w:tcW w:w="136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36,129</w:t>
            </w:r>
          </w:p>
        </w:tc>
        <w:tc>
          <w:tcPr>
            <w:tcW w:w="110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36,446</w:t>
            </w:r>
          </w:p>
        </w:tc>
        <w:tc>
          <w:tcPr>
            <w:tcW w:w="900" w:type="dxa"/>
            <w:vAlign w:val="bottom"/>
            <w:tcBorders>
              <w:right w:val="single" w:sz="8" w:color="CFEDF9"/>
            </w:tcBorders>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2.4%</w:t>
            </w:r>
          </w:p>
        </w:tc>
        <w:tc>
          <w:tcPr>
            <w:tcW w:w="20" w:type="dxa"/>
            <w:vAlign w:val="bottom"/>
          </w:tcPr>
          <w:p>
            <w:pPr>
              <w:spacing w:after="0"/>
              <w:rPr>
                <w:sz w:val="11"/>
                <w:szCs w:val="11"/>
                <w:color w:val="auto"/>
              </w:rPr>
            </w:pPr>
          </w:p>
        </w:tc>
      </w:tr>
      <w:tr>
        <w:trPr>
          <w:trHeight w:val="124"/>
        </w:trPr>
        <w:tc>
          <w:tcPr>
            <w:tcW w:w="156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(3)</w:t>
            </w:r>
          </w:p>
        </w:tc>
        <w:tc>
          <w:tcPr>
            <w:tcW w:w="100" w:type="dxa"/>
            <w:vAlign w:val="bottom"/>
            <w:tcBorders>
              <w:bottom w:val="single" w:sz="8" w:color="CFEDF9"/>
            </w:tcBorders>
            <w:shd w:val="clear" w:color="auto" w:fill="CFEDF9"/>
          </w:tcPr>
          <w:p>
            <w:pPr>
              <w:spacing w:after="0"/>
              <w:rPr>
                <w:sz w:val="10"/>
                <w:szCs w:val="10"/>
                <w:color w:val="auto"/>
              </w:rPr>
            </w:pPr>
          </w:p>
        </w:tc>
        <w:tc>
          <w:tcPr>
            <w:tcW w:w="26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9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2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11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revolving loan ($480 par, due 10/2027)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10/1/2021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+ 6.60%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12.01%</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446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468</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Coupa Holdings, LLC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($43,191 par, due 2/2030)</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2/27/2023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+ 7.50%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12.86%</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42,135</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43,441</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2.9%</w:t>
            </w:r>
          </w:p>
        </w:tc>
        <w:tc>
          <w:tcPr>
            <w:tcW w:w="20" w:type="dxa"/>
            <w:vAlign w:val="bottom"/>
          </w:tcPr>
          <w:p>
            <w:pPr>
              <w:spacing w:after="0"/>
              <w:rPr>
                <w:sz w:val="11"/>
                <w:szCs w:val="1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CrunchTime Information,</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($59,500 par, due 6/2028)</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6/17/2022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+ 6.00%</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11.36%</w:t>
            </w:r>
          </w:p>
        </w:tc>
        <w:tc>
          <w:tcPr>
            <w:tcW w:w="13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58,477</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59,947</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4.0%</w:t>
            </w:r>
          </w:p>
        </w:tc>
        <w:tc>
          <w:tcPr>
            <w:tcW w:w="20" w:type="dxa"/>
            <w:vAlign w:val="bottom"/>
          </w:tcPr>
          <w:p>
            <w:pPr>
              <w:spacing w:after="0"/>
              <w:rPr>
                <w:sz w:val="11"/>
                <w:szCs w:val="1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Systems, Inc. </w:t>
            </w:r>
            <w:r>
              <w:rPr>
                <w:rFonts w:ascii="Times New Roman" w:cs="Times New Roman" w:eastAsia="Times New Roman" w:hAnsi="Times New Roman"/>
                <w:sz w:val="16"/>
                <w:szCs w:val="16"/>
                <w:color w:val="231F20"/>
                <w:vertAlign w:val="superscript"/>
              </w:rPr>
              <w:t>(3)(5)</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EDB Parent, LLC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($63,508 par, due 7/2028)</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7/7/2022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+ 6.75%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12.10%</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62,301</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63,032</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4.2%</w:t>
            </w: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Higher Logic,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($52,937 par, due 1/2025)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6/18/2018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+ 6.75%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12.10%</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52,781</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53,069</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3.5%</w:t>
            </w:r>
          </w:p>
        </w:tc>
        <w:tc>
          <w:tcPr>
            <w:tcW w:w="20" w:type="dxa"/>
            <w:vAlign w:val="bottom"/>
          </w:tcPr>
          <w:p>
            <w:pPr>
              <w:spacing w:after="0"/>
              <w:rPr>
                <w:sz w:val="11"/>
                <w:szCs w:val="1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LeanTaaS Holdings,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($36,966 par, due 7/2028)</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7/12/2022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+ 7.50%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12.85%</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36,190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37,411</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2.5%</w:t>
            </w:r>
          </w:p>
        </w:tc>
        <w:tc>
          <w:tcPr>
            <w:tcW w:w="20" w:type="dxa"/>
            <w:vAlign w:val="bottom"/>
          </w:tcPr>
          <w:p>
            <w:pPr>
              <w:spacing w:after="0"/>
              <w:rPr>
                <w:sz w:val="11"/>
                <w:szCs w:val="11"/>
                <w:color w:val="auto"/>
              </w:rPr>
            </w:pPr>
          </w:p>
        </w:tc>
      </w:tr>
      <w:tr>
        <w:trPr>
          <w:trHeight w:val="127"/>
        </w:trPr>
        <w:tc>
          <w:tcPr>
            <w:tcW w:w="1560" w:type="dxa"/>
            <w:vAlign w:val="bottom"/>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Lithium Technologies, LLC </w:t>
            </w:r>
            <w:r>
              <w:rPr>
                <w:rFonts w:ascii="Times New Roman" w:cs="Times New Roman" w:eastAsia="Times New Roman" w:hAnsi="Times New Roman"/>
                <w:sz w:val="14"/>
                <w:szCs w:val="14"/>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($57,665 par, due 1/2025)</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10/3/2017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+ 9.00%</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14.39% (incl.</w:t>
            </w:r>
          </w:p>
        </w:tc>
        <w:tc>
          <w:tcPr>
            <w:tcW w:w="13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57,673</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56,367</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3.8%</w:t>
            </w:r>
          </w:p>
        </w:tc>
        <w:tc>
          <w:tcPr>
            <w:tcW w:w="20" w:type="dxa"/>
            <w:vAlign w:val="bottom"/>
          </w:tcPr>
          <w:p>
            <w:pPr>
              <w:spacing w:after="0"/>
              <w:rPr>
                <w:sz w:val="11"/>
                <w:szCs w:val="11"/>
                <w:color w:val="auto"/>
              </w:rPr>
            </w:pPr>
          </w:p>
        </w:tc>
      </w:t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4.50% PIK)</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Lucidworks, Inc. </w:t>
            </w:r>
            <w:r>
              <w:rPr>
                <w:rFonts w:ascii="Times New Roman" w:cs="Times New Roman" w:eastAsia="Times New Roman" w:hAnsi="Times New Roman"/>
                <w:sz w:val="14"/>
                <w:szCs w:val="14"/>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($8,912 par, due 2/2027)</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2/11/2022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+ 7.50%</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12.86% (incl.</w:t>
            </w: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8,912</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8,912</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0.6%</w:t>
            </w:r>
          </w:p>
        </w:tc>
        <w:tc>
          <w:tcPr>
            <w:tcW w:w="20" w:type="dxa"/>
            <w:vAlign w:val="bottom"/>
          </w:tcPr>
          <w:p>
            <w:pPr>
              <w:spacing w:after="0"/>
              <w:rPr>
                <w:sz w:val="11"/>
                <w:szCs w:val="11"/>
                <w:color w:val="auto"/>
              </w:rPr>
            </w:pP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3.50% PIK)</w:t>
            </w:r>
          </w:p>
        </w:tc>
        <w:tc>
          <w:tcPr>
            <w:tcW w:w="120" w:type="dxa"/>
            <w:vAlign w:val="bottom"/>
            <w:shd w:val="clear" w:color="auto" w:fill="CFEDF9"/>
          </w:tcPr>
          <w:p>
            <w:pPr>
              <w:spacing w:after="0"/>
              <w:rPr>
                <w:sz w:val="12"/>
                <w:szCs w:val="12"/>
                <w:color w:val="auto"/>
              </w:rPr>
            </w:pPr>
          </w:p>
        </w:tc>
        <w:tc>
          <w:tcPr>
            <w:tcW w:w="11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Piano Software, Inc.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($50,889 par, due 2/2026)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2/25/2021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12.45%</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50,282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50,508</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3.3%</w:t>
            </w:r>
          </w:p>
        </w:tc>
        <w:tc>
          <w:tcPr>
            <w:tcW w:w="20" w:type="dxa"/>
            <w:vAlign w:val="bottom"/>
          </w:tcPr>
          <w:p>
            <w:pPr>
              <w:spacing w:after="0"/>
              <w:rPr>
                <w:sz w:val="11"/>
                <w:szCs w:val="1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SMA Technologies Holdings,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($36,833 par, due 10/2028)</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10/31/2022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+ 6.75%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12.11%</w:t>
            </w: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35,459</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37,110</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2.5%</w:t>
            </w:r>
          </w:p>
        </w:tc>
        <w:tc>
          <w:tcPr>
            <w:tcW w:w="20" w:type="dxa"/>
            <w:vAlign w:val="bottom"/>
          </w:tcPr>
          <w:p>
            <w:pPr>
              <w:spacing w:after="0"/>
              <w:rPr>
                <w:sz w:val="11"/>
                <w:szCs w:val="11"/>
                <w:color w:val="auto"/>
              </w:rPr>
            </w:pPr>
          </w:p>
        </w:tc>
      </w:tr>
      <w:tr>
        <w:trPr>
          <w:trHeight w:val="169"/>
        </w:trPr>
        <w:tc>
          <w:tcPr>
            <w:tcW w:w="1560" w:type="dxa"/>
            <w:vAlign w:val="bottom"/>
            <w:tcBorders>
              <w:bottom w:val="single" w:sz="8" w:color="CFEDF9"/>
            </w:tcBorders>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(3)(5)</w:t>
            </w:r>
          </w:p>
        </w:tc>
        <w:tc>
          <w:tcPr>
            <w:tcW w:w="100" w:type="dxa"/>
            <w:vAlign w:val="bottom"/>
            <w:tcBorders>
              <w:bottom w:val="single" w:sz="8" w:color="CFEDF9"/>
            </w:tcBorders>
            <w:shd w:val="clear" w:color="auto" w:fill="CFEDF9"/>
          </w:tcPr>
          <w:p>
            <w:pPr>
              <w:spacing w:after="0"/>
              <w:rPr>
                <w:sz w:val="14"/>
                <w:szCs w:val="14"/>
                <w:color w:val="auto"/>
              </w:rPr>
            </w:pPr>
          </w:p>
        </w:tc>
        <w:tc>
          <w:tcPr>
            <w:tcW w:w="2600" w:type="dxa"/>
            <w:vAlign w:val="bottom"/>
            <w:tcBorders>
              <w:bottom w:val="single" w:sz="8" w:color="CFEDF9"/>
            </w:tcBorders>
            <w:shd w:val="clear" w:color="auto" w:fill="CFEDF9"/>
          </w:tcPr>
          <w:p>
            <w:pPr>
              <w:spacing w:after="0"/>
              <w:rPr>
                <w:sz w:val="14"/>
                <w:szCs w:val="14"/>
                <w:color w:val="auto"/>
              </w:rPr>
            </w:pPr>
          </w:p>
        </w:tc>
        <w:tc>
          <w:tcPr>
            <w:tcW w:w="120" w:type="dxa"/>
            <w:vAlign w:val="bottom"/>
            <w:tcBorders>
              <w:bottom w:val="single" w:sz="8" w:color="CFEDF9"/>
            </w:tcBorders>
            <w:shd w:val="clear" w:color="auto" w:fill="CFEDF9"/>
          </w:tcPr>
          <w:p>
            <w:pPr>
              <w:spacing w:after="0"/>
              <w:rPr>
                <w:sz w:val="14"/>
                <w:szCs w:val="14"/>
                <w:color w:val="auto"/>
              </w:rPr>
            </w:pPr>
          </w:p>
        </w:tc>
        <w:tc>
          <w:tcPr>
            <w:tcW w:w="880" w:type="dxa"/>
            <w:vAlign w:val="bottom"/>
            <w:tcBorders>
              <w:bottom w:val="single" w:sz="8" w:color="CFEDF9"/>
            </w:tcBorders>
            <w:shd w:val="clear" w:color="auto" w:fill="CFEDF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CFEDF9"/>
            </w:tcBorders>
            <w:shd w:val="clear" w:color="auto" w:fill="CFEDF9"/>
          </w:tcPr>
          <w:p>
            <w:pPr>
              <w:spacing w:after="0"/>
              <w:rPr>
                <w:sz w:val="14"/>
                <w:szCs w:val="14"/>
                <w:color w:val="auto"/>
              </w:rPr>
            </w:pPr>
          </w:p>
        </w:tc>
        <w:tc>
          <w:tcPr>
            <w:tcW w:w="940" w:type="dxa"/>
            <w:vAlign w:val="bottom"/>
            <w:tcBorders>
              <w:bottom w:val="single" w:sz="8" w:color="CFEDF9"/>
            </w:tcBorders>
            <w:shd w:val="clear" w:color="auto" w:fill="CFEDF9"/>
          </w:tcPr>
          <w:p>
            <w:pPr>
              <w:spacing w:after="0"/>
              <w:rPr>
                <w:sz w:val="14"/>
                <w:szCs w:val="14"/>
                <w:color w:val="auto"/>
              </w:rPr>
            </w:pPr>
          </w:p>
        </w:tc>
        <w:tc>
          <w:tcPr>
            <w:tcW w:w="100" w:type="dxa"/>
            <w:vAlign w:val="bottom"/>
            <w:tcBorders>
              <w:bottom w:val="single" w:sz="8" w:color="CFEDF9"/>
            </w:tcBorders>
            <w:shd w:val="clear" w:color="auto" w:fill="CFEDF9"/>
          </w:tcPr>
          <w:p>
            <w:pPr>
              <w:spacing w:after="0"/>
              <w:rPr>
                <w:sz w:val="14"/>
                <w:szCs w:val="14"/>
                <w:color w:val="auto"/>
              </w:rPr>
            </w:pPr>
          </w:p>
        </w:tc>
        <w:tc>
          <w:tcPr>
            <w:tcW w:w="920" w:type="dxa"/>
            <w:vAlign w:val="bottom"/>
            <w:tcBorders>
              <w:bottom w:val="single" w:sz="8" w:color="CFEDF9"/>
            </w:tcBorders>
            <w:shd w:val="clear" w:color="auto" w:fill="CFEDF9"/>
          </w:tcPr>
          <w:p>
            <w:pPr>
              <w:spacing w:after="0"/>
              <w:rPr>
                <w:sz w:val="14"/>
                <w:szCs w:val="14"/>
                <w:color w:val="auto"/>
              </w:rPr>
            </w:pPr>
          </w:p>
        </w:tc>
        <w:tc>
          <w:tcPr>
            <w:tcW w:w="100" w:type="dxa"/>
            <w:vAlign w:val="bottom"/>
            <w:tcBorders>
              <w:bottom w:val="single" w:sz="8" w:color="CFEDF9"/>
            </w:tcBorders>
            <w:shd w:val="clear" w:color="auto" w:fill="CFEDF9"/>
          </w:tcPr>
          <w:p>
            <w:pPr>
              <w:spacing w:after="0"/>
              <w:rPr>
                <w:sz w:val="14"/>
                <w:szCs w:val="14"/>
                <w:color w:val="auto"/>
              </w:rPr>
            </w:pPr>
          </w:p>
        </w:tc>
        <w:tc>
          <w:tcPr>
            <w:tcW w:w="120" w:type="dxa"/>
            <w:vAlign w:val="bottom"/>
            <w:tcBorders>
              <w:bottom w:val="single" w:sz="8" w:color="231F20"/>
            </w:tcBorders>
            <w:shd w:val="clear" w:color="auto" w:fill="CFEDF9"/>
          </w:tcPr>
          <w:p>
            <w:pPr>
              <w:spacing w:after="0"/>
              <w:rPr>
                <w:sz w:val="14"/>
                <w:szCs w:val="14"/>
                <w:color w:val="auto"/>
              </w:rPr>
            </w:pPr>
          </w:p>
        </w:tc>
        <w:tc>
          <w:tcPr>
            <w:tcW w:w="1140" w:type="dxa"/>
            <w:vAlign w:val="bottom"/>
            <w:tcBorders>
              <w:bottom w:val="single" w:sz="8" w:color="231F20"/>
            </w:tcBorders>
            <w:shd w:val="clear" w:color="auto" w:fill="CFEDF9"/>
          </w:tcPr>
          <w:p>
            <w:pPr>
              <w:spacing w:after="0"/>
              <w:rPr>
                <w:sz w:val="14"/>
                <w:szCs w:val="14"/>
                <w:color w:val="auto"/>
              </w:rPr>
            </w:pPr>
          </w:p>
        </w:tc>
        <w:tc>
          <w:tcPr>
            <w:tcW w:w="100" w:type="dxa"/>
            <w:vAlign w:val="bottom"/>
            <w:tcBorders>
              <w:bottom w:val="single" w:sz="8" w:color="CFEDF9"/>
            </w:tcBorders>
            <w:shd w:val="clear" w:color="auto" w:fill="CFEDF9"/>
          </w:tcPr>
          <w:p>
            <w:pPr>
              <w:spacing w:after="0"/>
              <w:rPr>
                <w:sz w:val="14"/>
                <w:szCs w:val="14"/>
                <w:color w:val="auto"/>
              </w:rPr>
            </w:pPr>
          </w:p>
        </w:tc>
        <w:tc>
          <w:tcPr>
            <w:tcW w:w="100" w:type="dxa"/>
            <w:vAlign w:val="bottom"/>
            <w:tcBorders>
              <w:bottom w:val="single" w:sz="8" w:color="231F20"/>
            </w:tcBorders>
            <w:shd w:val="clear" w:color="auto" w:fill="CFEDF9"/>
          </w:tcPr>
          <w:p>
            <w:pPr>
              <w:spacing w:after="0"/>
              <w:rPr>
                <w:sz w:val="14"/>
                <w:szCs w:val="14"/>
                <w:color w:val="auto"/>
              </w:rPr>
            </w:pPr>
          </w:p>
        </w:tc>
        <w:tc>
          <w:tcPr>
            <w:tcW w:w="900" w:type="dxa"/>
            <w:vAlign w:val="bottom"/>
            <w:tcBorders>
              <w:bottom w:val="single" w:sz="8" w:color="231F20"/>
            </w:tcBorders>
            <w:shd w:val="clear" w:color="auto" w:fill="CFEDF9"/>
          </w:tcPr>
          <w:p>
            <w:pPr>
              <w:spacing w:after="0"/>
              <w:rPr>
                <w:sz w:val="14"/>
                <w:szCs w:val="14"/>
                <w:color w:val="auto"/>
              </w:rPr>
            </w:pPr>
          </w:p>
        </w:tc>
        <w:tc>
          <w:tcPr>
            <w:tcW w:w="100" w:type="dxa"/>
            <w:vAlign w:val="bottom"/>
            <w:tcBorders>
              <w:bottom w:val="single" w:sz="8" w:color="CFEDF9"/>
            </w:tcBorders>
            <w:shd w:val="clear" w:color="auto" w:fill="CFEDF9"/>
          </w:tcPr>
          <w:p>
            <w:pPr>
              <w:spacing w:after="0"/>
              <w:rPr>
                <w:sz w:val="14"/>
                <w:szCs w:val="14"/>
                <w:color w:val="auto"/>
              </w:rPr>
            </w:pPr>
          </w:p>
        </w:tc>
        <w:tc>
          <w:tcPr>
            <w:tcW w:w="900" w:type="dxa"/>
            <w:vAlign w:val="bottom"/>
            <w:tcBorders>
              <w:bottom w:val="single" w:sz="8" w:color="231F20"/>
              <w:right w:val="single" w:sz="8" w:color="CFEDF9"/>
            </w:tcBorders>
            <w:shd w:val="clear" w:color="auto" w:fill="CFEDF9"/>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1560" w:type="dxa"/>
            <w:vAlign w:val="bottom"/>
            <w:tcBorders>
              <w:bottom w:val="single" w:sz="8" w:color="CFEDF9"/>
            </w:tcBorders>
          </w:tcPr>
          <w:p>
            <w:pPr>
              <w:spacing w:after="0"/>
              <w:rPr>
                <w:sz w:val="9"/>
                <w:szCs w:val="9"/>
                <w:color w:val="auto"/>
              </w:rPr>
            </w:pPr>
          </w:p>
        </w:tc>
        <w:tc>
          <w:tcPr>
            <w:tcW w:w="100" w:type="dxa"/>
            <w:vAlign w:val="bottom"/>
            <w:tcBorders>
              <w:bottom w:val="single" w:sz="8" w:color="CFEDF9"/>
            </w:tcBorders>
          </w:tcPr>
          <w:p>
            <w:pPr>
              <w:spacing w:after="0"/>
              <w:rPr>
                <w:sz w:val="9"/>
                <w:szCs w:val="9"/>
                <w:color w:val="auto"/>
              </w:rPr>
            </w:pPr>
          </w:p>
        </w:tc>
        <w:tc>
          <w:tcPr>
            <w:tcW w:w="2600" w:type="dxa"/>
            <w:vAlign w:val="bottom"/>
            <w:tcBorders>
              <w:bottom w:val="single" w:sz="8" w:color="CFEDF9"/>
            </w:tcBorders>
          </w:tcPr>
          <w:p>
            <w:pPr>
              <w:spacing w:after="0"/>
              <w:rPr>
                <w:sz w:val="9"/>
                <w:szCs w:val="9"/>
                <w:color w:val="auto"/>
              </w:rPr>
            </w:pPr>
          </w:p>
        </w:tc>
        <w:tc>
          <w:tcPr>
            <w:tcW w:w="120" w:type="dxa"/>
            <w:vAlign w:val="bottom"/>
            <w:tcBorders>
              <w:bottom w:val="single" w:sz="8" w:color="CFEDF9"/>
            </w:tcBorders>
          </w:tcPr>
          <w:p>
            <w:pPr>
              <w:spacing w:after="0"/>
              <w:rPr>
                <w:sz w:val="9"/>
                <w:szCs w:val="9"/>
                <w:color w:val="auto"/>
              </w:rPr>
            </w:pPr>
          </w:p>
        </w:tc>
        <w:tc>
          <w:tcPr>
            <w:tcW w:w="880" w:type="dxa"/>
            <w:vAlign w:val="bottom"/>
            <w:tcBorders>
              <w:bottom w:val="single" w:sz="8" w:color="CFEDF9"/>
            </w:tcBorders>
          </w:tcPr>
          <w:p>
            <w:pPr>
              <w:spacing w:after="0"/>
              <w:rPr>
                <w:sz w:val="9"/>
                <w:szCs w:val="9"/>
                <w:color w:val="auto"/>
              </w:rPr>
            </w:pPr>
          </w:p>
        </w:tc>
        <w:tc>
          <w:tcPr>
            <w:tcW w:w="20" w:type="dxa"/>
            <w:vAlign w:val="bottom"/>
            <w:tcBorders>
              <w:bottom w:val="single" w:sz="8" w:color="CFEDF9"/>
            </w:tcBorders>
          </w:tcPr>
          <w:p>
            <w:pPr>
              <w:spacing w:after="0"/>
              <w:rPr>
                <w:sz w:val="9"/>
                <w:szCs w:val="9"/>
                <w:color w:val="auto"/>
              </w:rPr>
            </w:pPr>
          </w:p>
        </w:tc>
        <w:tc>
          <w:tcPr>
            <w:tcW w:w="80" w:type="dxa"/>
            <w:vAlign w:val="bottom"/>
            <w:tcBorders>
              <w:bottom w:val="single" w:sz="8" w:color="CFEDF9"/>
            </w:tcBorders>
          </w:tcPr>
          <w:p>
            <w:pPr>
              <w:spacing w:after="0"/>
              <w:rPr>
                <w:sz w:val="9"/>
                <w:szCs w:val="9"/>
                <w:color w:val="auto"/>
              </w:rPr>
            </w:pPr>
          </w:p>
        </w:tc>
        <w:tc>
          <w:tcPr>
            <w:tcW w:w="940" w:type="dxa"/>
            <w:vAlign w:val="bottom"/>
            <w:tcBorders>
              <w:bottom w:val="single" w:sz="8" w:color="CFEDF9"/>
            </w:tcBorders>
          </w:tcPr>
          <w:p>
            <w:pPr>
              <w:spacing w:after="0"/>
              <w:rPr>
                <w:sz w:val="9"/>
                <w:szCs w:val="9"/>
                <w:color w:val="auto"/>
              </w:rPr>
            </w:pPr>
          </w:p>
        </w:tc>
        <w:tc>
          <w:tcPr>
            <w:tcW w:w="100" w:type="dxa"/>
            <w:vAlign w:val="bottom"/>
            <w:tcBorders>
              <w:bottom w:val="single" w:sz="8" w:color="CFEDF9"/>
            </w:tcBorders>
          </w:tcPr>
          <w:p>
            <w:pPr>
              <w:spacing w:after="0"/>
              <w:rPr>
                <w:sz w:val="9"/>
                <w:szCs w:val="9"/>
                <w:color w:val="auto"/>
              </w:rPr>
            </w:pPr>
          </w:p>
        </w:tc>
        <w:tc>
          <w:tcPr>
            <w:tcW w:w="920" w:type="dxa"/>
            <w:vAlign w:val="bottom"/>
            <w:tcBorders>
              <w:bottom w:val="single" w:sz="8" w:color="CFEDF9"/>
            </w:tcBorders>
          </w:tcPr>
          <w:p>
            <w:pPr>
              <w:spacing w:after="0"/>
              <w:rPr>
                <w:sz w:val="9"/>
                <w:szCs w:val="9"/>
                <w:color w:val="auto"/>
              </w:rPr>
            </w:pPr>
          </w:p>
        </w:tc>
        <w:tc>
          <w:tcPr>
            <w:tcW w:w="100" w:type="dxa"/>
            <w:vAlign w:val="bottom"/>
            <w:tcBorders>
              <w:bottom w:val="single" w:sz="8" w:color="CFEDF9"/>
            </w:tcBorders>
          </w:tcPr>
          <w:p>
            <w:pPr>
              <w:spacing w:after="0"/>
              <w:rPr>
                <w:sz w:val="9"/>
                <w:szCs w:val="9"/>
                <w:color w:val="auto"/>
              </w:rPr>
            </w:pPr>
          </w:p>
        </w:tc>
        <w:tc>
          <w:tcPr>
            <w:tcW w:w="1260" w:type="dxa"/>
            <w:vAlign w:val="bottom"/>
            <w:tcBorders>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473,034</w:t>
            </w:r>
          </w:p>
        </w:tc>
        <w:tc>
          <w:tcPr>
            <w:tcW w:w="100" w:type="dxa"/>
            <w:vAlign w:val="bottom"/>
            <w:tcBorders>
              <w:bottom w:val="single" w:sz="8" w:color="CFEDF9"/>
            </w:tcBorders>
          </w:tcPr>
          <w:p>
            <w:pPr>
              <w:spacing w:after="0"/>
              <w:rPr>
                <w:sz w:val="9"/>
                <w:szCs w:val="9"/>
                <w:color w:val="auto"/>
              </w:rPr>
            </w:pPr>
          </w:p>
        </w:tc>
        <w:tc>
          <w:tcPr>
            <w:tcW w:w="1000" w:type="dxa"/>
            <w:vAlign w:val="bottom"/>
            <w:tcBorders>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479,531</w:t>
            </w:r>
          </w:p>
        </w:tc>
        <w:tc>
          <w:tcPr>
            <w:tcW w:w="100" w:type="dxa"/>
            <w:vAlign w:val="bottom"/>
            <w:tcBorders>
              <w:bottom w:val="single" w:sz="8" w:color="CFEDF9"/>
            </w:tcBorders>
          </w:tcPr>
          <w:p>
            <w:pPr>
              <w:spacing w:after="0"/>
              <w:rPr>
                <w:sz w:val="9"/>
                <w:szCs w:val="9"/>
                <w:color w:val="auto"/>
              </w:rPr>
            </w:pPr>
          </w:p>
        </w:tc>
        <w:tc>
          <w:tcPr>
            <w:tcW w:w="900" w:type="dxa"/>
            <w:vAlign w:val="bottom"/>
            <w:tcBorders>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31.9%</w:t>
            </w:r>
          </w:p>
        </w:tc>
        <w:tc>
          <w:tcPr>
            <w:tcW w:w="20" w:type="dxa"/>
            <w:vAlign w:val="bottom"/>
          </w:tcPr>
          <w:p>
            <w:pPr>
              <w:spacing w:after="0"/>
              <w:rPr>
                <w:sz w:val="9"/>
                <w:szCs w:val="9"/>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Manufacturing</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ASP Unifrax Holdings, Inc. </w:t>
            </w:r>
            <w:r>
              <w:rPr>
                <w:rFonts w:ascii="Times New Roman" w:cs="Times New Roman" w:eastAsia="Times New Roman" w:hAnsi="Times New Roman"/>
                <w:sz w:val="15"/>
                <w:szCs w:val="15"/>
                <w:color w:val="231F20"/>
                <w:vertAlign w:val="superscript"/>
              </w:rPr>
              <w:t>(9)</w:t>
            </w:r>
          </w:p>
        </w:tc>
        <w:tc>
          <w:tcPr>
            <w:tcW w:w="10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First-lien loan ($1,130 par, due 12/2025) </w:t>
            </w:r>
            <w:r>
              <w:rPr>
                <w:rFonts w:ascii="Times New Roman" w:cs="Times New Roman" w:eastAsia="Times New Roman" w:hAnsi="Times New Roman"/>
                <w:sz w:val="15"/>
                <w:szCs w:val="15"/>
                <w:color w:val="231F20"/>
                <w:vertAlign w:val="superscript"/>
              </w:rPr>
              <w:t>(3)</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8/25/2023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+ 3.90%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9.25%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1,053</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1,051</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r>
      <w:tr>
        <w:trPr>
          <w:trHeight w:val="127"/>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First-lien loan (EUR 1,023 par, due 12/2025) </w:t>
            </w:r>
            <w:r>
              <w:rPr>
                <w:rFonts w:ascii="Times New Roman" w:cs="Times New Roman" w:eastAsia="Times New Roman" w:hAnsi="Times New Roman"/>
                <w:sz w:val="14"/>
                <w:szCs w:val="14"/>
                <w:color w:val="231F20"/>
                <w:vertAlign w:val="superscript"/>
              </w:rPr>
              <w:t>(3)</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9/14/2023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+ 3.75%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7.68%</w:t>
            </w: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998</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1,030</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11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(EUR 932)</w:t>
            </w: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Secured Note ($91 par, due 9/2028)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12/19/2023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5.25%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5.25%</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62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66</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Unsecured Note ($1,059 par, due 9/2029)</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8/31/2023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7.50%</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7.50%</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570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540</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Avalara,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($38,636 par, due 10/2028)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10/19/2022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12.60%</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37,736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38,743</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2.6%</w:t>
            </w:r>
          </w:p>
        </w:tc>
        <w:tc>
          <w:tcPr>
            <w:tcW w:w="20" w:type="dxa"/>
            <w:vAlign w:val="bottom"/>
          </w:tcPr>
          <w:p>
            <w:pPr>
              <w:spacing w:after="0"/>
              <w:rPr>
                <w:sz w:val="11"/>
                <w:szCs w:val="11"/>
                <w:color w:val="auto"/>
              </w:rPr>
            </w:pPr>
          </w:p>
        </w:tc>
      </w:tr>
      <w:tr>
        <w:trPr>
          <w:trHeight w:val="132"/>
        </w:trPr>
        <w:tc>
          <w:tcPr>
            <w:tcW w:w="156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Skylark UK DebtCo Limited</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First-lien loan ($16,340 par, due 9/2030)</w:t>
            </w:r>
          </w:p>
        </w:tc>
        <w:tc>
          <w:tcPr>
            <w:tcW w:w="10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9/7/2023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SOFR + 6.25%</w:t>
            </w:r>
          </w:p>
        </w:tc>
        <w:tc>
          <w:tcPr>
            <w:tcW w:w="1020" w:type="dxa"/>
            <w:vAlign w:val="bottom"/>
            <w:gridSpan w:val="2"/>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11.60%</w:t>
            </w:r>
          </w:p>
        </w:tc>
        <w:tc>
          <w:tcPr>
            <w:tcW w:w="136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15,722</w:t>
            </w:r>
          </w:p>
        </w:tc>
        <w:tc>
          <w:tcPr>
            <w:tcW w:w="110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15,812</w:t>
            </w:r>
          </w:p>
        </w:tc>
        <w:tc>
          <w:tcPr>
            <w:tcW w:w="900" w:type="dxa"/>
            <w:vAlign w:val="bottom"/>
            <w:tcBorders>
              <w:right w:val="single" w:sz="8" w:color="CFEDF9"/>
            </w:tcBorders>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1.1%</w:t>
            </w:r>
          </w:p>
        </w:tc>
        <w:tc>
          <w:tcPr>
            <w:tcW w:w="20" w:type="dxa"/>
            <w:vAlign w:val="bottom"/>
          </w:tcPr>
          <w:p>
            <w:pPr>
              <w:spacing w:after="0"/>
              <w:rPr>
                <w:sz w:val="11"/>
                <w:szCs w:val="11"/>
                <w:color w:val="auto"/>
              </w:rPr>
            </w:pPr>
          </w:p>
        </w:tc>
      </w:tr>
      <w:tr>
        <w:trPr>
          <w:trHeight w:val="124"/>
        </w:trPr>
        <w:tc>
          <w:tcPr>
            <w:tcW w:w="156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(3)(4)</w:t>
            </w:r>
          </w:p>
        </w:tc>
        <w:tc>
          <w:tcPr>
            <w:tcW w:w="100" w:type="dxa"/>
            <w:vAlign w:val="bottom"/>
            <w:tcBorders>
              <w:bottom w:val="single" w:sz="8" w:color="CFEDF9"/>
            </w:tcBorders>
            <w:shd w:val="clear" w:color="auto" w:fill="CFEDF9"/>
          </w:tcPr>
          <w:p>
            <w:pPr>
              <w:spacing w:after="0"/>
              <w:rPr>
                <w:sz w:val="10"/>
                <w:szCs w:val="10"/>
                <w:color w:val="auto"/>
              </w:rPr>
            </w:pPr>
          </w:p>
        </w:tc>
        <w:tc>
          <w:tcPr>
            <w:tcW w:w="26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9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2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11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r>
      <w:tr>
        <w:trPr>
          <w:trHeight w:val="127"/>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4,851 par, due 9/2030)</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9/7/2023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+ 6.25%</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10.18%</w:t>
            </w:r>
          </w:p>
        </w:tc>
        <w:tc>
          <w:tcPr>
            <w:tcW w:w="13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5,055</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5,238</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0.4%</w:t>
            </w:r>
          </w:p>
        </w:tc>
        <w:tc>
          <w:tcPr>
            <w:tcW w:w="20" w:type="dxa"/>
            <w:vAlign w:val="bottom"/>
          </w:tcPr>
          <w:p>
            <w:pPr>
              <w:spacing w:after="0"/>
              <w:rPr>
                <w:sz w:val="11"/>
                <w:szCs w:val="11"/>
                <w:color w:val="auto"/>
              </w:rPr>
            </w:pPr>
          </w:p>
        </w:tc>
      </w:t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(EUR 4,742)</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7"/>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(GBP 16,640 par, due 9/2030)</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9/7/2023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 + 6.25%</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11.52%</w:t>
            </w: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20,207</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20,735</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1.4%</w:t>
            </w:r>
          </w:p>
        </w:tc>
        <w:tc>
          <w:tcPr>
            <w:tcW w:w="20" w:type="dxa"/>
            <w:vAlign w:val="bottom"/>
          </w:tcPr>
          <w:p>
            <w:pPr>
              <w:spacing w:after="0"/>
              <w:rPr>
                <w:sz w:val="11"/>
                <w:szCs w:val="11"/>
                <w:color w:val="auto"/>
              </w:rPr>
            </w:pPr>
          </w:p>
        </w:tc>
      </w:tr>
      <w:tr>
        <w:trPr>
          <w:trHeight w:val="169"/>
        </w:trPr>
        <w:tc>
          <w:tcPr>
            <w:tcW w:w="15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60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880" w:type="dxa"/>
            <w:vAlign w:val="bottom"/>
            <w:shd w:val="clear" w:color="auto" w:fill="CFEDF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94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92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114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10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(GBP 16,265)</w:t>
            </w:r>
          </w:p>
        </w:tc>
        <w:tc>
          <w:tcPr>
            <w:tcW w:w="900" w:type="dxa"/>
            <w:vAlign w:val="bottom"/>
            <w:tcBorders>
              <w:right w:val="single" w:sz="8" w:color="CFEDF9"/>
            </w:tcBorders>
            <w:shd w:val="clear" w:color="auto" w:fill="CFEDF9"/>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20" w:type="dxa"/>
            <w:vAlign w:val="bottom"/>
            <w:tcBorders>
              <w:bottom w:val="single" w:sz="8" w:color="CFEDF9"/>
            </w:tcBorders>
          </w:tcPr>
          <w:p>
            <w:pPr>
              <w:spacing w:after="0"/>
              <w:rPr>
                <w:sz w:val="9"/>
                <w:szCs w:val="9"/>
                <w:color w:val="auto"/>
              </w:rPr>
            </w:pPr>
          </w:p>
        </w:tc>
        <w:tc>
          <w:tcPr>
            <w:tcW w:w="8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114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81,403</w:t>
            </w:r>
          </w:p>
        </w:tc>
        <w:tc>
          <w:tcPr>
            <w:tcW w:w="100" w:type="dxa"/>
            <w:vAlign w:val="bottom"/>
            <w:tcBorders>
              <w:top w:val="single" w:sz="8" w:color="CFEDF9"/>
              <w:bottom w:val="single" w:sz="8" w:color="CFEDF9"/>
            </w:tcBorders>
          </w:tcPr>
          <w:p>
            <w:pPr>
              <w:spacing w:after="0"/>
              <w:rPr>
                <w:sz w:val="9"/>
                <w:szCs w:val="9"/>
                <w:color w:val="auto"/>
              </w:rPr>
            </w:pPr>
          </w:p>
        </w:tc>
        <w:tc>
          <w:tcPr>
            <w:tcW w:w="100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83,215</w:t>
            </w:r>
          </w:p>
        </w:tc>
        <w:tc>
          <w:tcPr>
            <w:tcW w:w="100" w:type="dxa"/>
            <w:vAlign w:val="bottom"/>
            <w:tcBorders>
              <w:top w:val="single" w:sz="8" w:color="CFEDF9"/>
              <w:bottom w:val="single" w:sz="8" w:color="CFEDF9"/>
            </w:tcBorders>
          </w:tcPr>
          <w:p>
            <w:pPr>
              <w:spacing w:after="0"/>
              <w:rPr>
                <w:sz w:val="9"/>
                <w:szCs w:val="9"/>
                <w:color w:val="auto"/>
              </w:rPr>
            </w:pPr>
          </w:p>
        </w:tc>
        <w:tc>
          <w:tcPr>
            <w:tcW w:w="90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5.7%</w:t>
            </w:r>
          </w:p>
        </w:tc>
        <w:tc>
          <w:tcPr>
            <w:tcW w:w="20" w:type="dxa"/>
            <w:vAlign w:val="bottom"/>
          </w:tcPr>
          <w:p>
            <w:pPr>
              <w:spacing w:after="0"/>
              <w:rPr>
                <w:sz w:val="9"/>
                <w:szCs w:val="9"/>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Office Products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USR Parent, Inc.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ABL FILO term loan ($17,000 par, due 4/2027)</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4/25/2022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+ 6.50%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11.84%</w:t>
            </w:r>
          </w:p>
        </w:tc>
        <w:tc>
          <w:tcPr>
            <w:tcW w:w="1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16,703</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16,914</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1.1%</w:t>
            </w:r>
          </w:p>
        </w:tc>
        <w:tc>
          <w:tcPr>
            <w:tcW w:w="20" w:type="dxa"/>
            <w:vAlign w:val="bottom"/>
          </w:tcPr>
          <w:p>
            <w:pPr>
              <w:spacing w:after="0"/>
              <w:rPr>
                <w:sz w:val="11"/>
                <w:szCs w:val="11"/>
                <w:color w:val="auto"/>
              </w:rPr>
            </w:pPr>
          </w:p>
        </w:tc>
      </w:tr>
      <w:tr>
        <w:trPr>
          <w:trHeight w:val="125"/>
        </w:trPr>
        <w:tc>
          <w:tcPr>
            <w:tcW w:w="1560" w:type="dxa"/>
            <w:vAlign w:val="bottom"/>
            <w:shd w:val="clear" w:color="auto" w:fill="CFEDF9"/>
          </w:tcPr>
          <w:p>
            <w:pPr>
              <w:spacing w:after="0" w:line="125" w:lineRule="exact"/>
              <w:rPr>
                <w:sz w:val="20"/>
                <w:szCs w:val="20"/>
                <w:color w:val="auto"/>
              </w:rPr>
            </w:pPr>
            <w:r>
              <w:rPr>
                <w:rFonts w:ascii="Times New Roman" w:cs="Times New Roman" w:eastAsia="Times New Roman" w:hAnsi="Times New Roman"/>
                <w:sz w:val="12"/>
                <w:szCs w:val="12"/>
                <w:b w:val="1"/>
                <w:bCs w:val="1"/>
                <w:color w:val="231F20"/>
              </w:rPr>
              <w:t>Oil, Gas and Consumable</w:t>
            </w:r>
          </w:p>
        </w:tc>
        <w:tc>
          <w:tcPr>
            <w:tcW w:w="100" w:type="dxa"/>
            <w:vAlign w:val="bottom"/>
            <w:shd w:val="clear" w:color="auto" w:fill="CFEDF9"/>
          </w:tcPr>
          <w:p>
            <w:pPr>
              <w:spacing w:after="0"/>
              <w:rPr>
                <w:sz w:val="10"/>
                <w:szCs w:val="10"/>
                <w:color w:val="auto"/>
              </w:rPr>
            </w:pPr>
          </w:p>
        </w:tc>
        <w:tc>
          <w:tcPr>
            <w:tcW w:w="260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880" w:type="dxa"/>
            <w:vAlign w:val="bottom"/>
            <w:shd w:val="clear" w:color="auto" w:fill="CFEDF9"/>
          </w:tcPr>
          <w:p>
            <w:pPr>
              <w:spacing w:after="0"/>
              <w:rPr>
                <w:sz w:val="10"/>
                <w:szCs w:val="10"/>
                <w:color w:val="auto"/>
              </w:rPr>
            </w:pPr>
          </w:p>
        </w:tc>
        <w:tc>
          <w:tcPr>
            <w:tcW w:w="20" w:type="dxa"/>
            <w:vAlign w:val="bottom"/>
            <w:shd w:val="clear" w:color="auto" w:fill="CFEDF9"/>
          </w:tcPr>
          <w:p>
            <w:pPr>
              <w:spacing w:after="0"/>
              <w:rPr>
                <w:sz w:val="10"/>
                <w:szCs w:val="10"/>
                <w:color w:val="auto"/>
              </w:rPr>
            </w:pPr>
          </w:p>
        </w:tc>
        <w:tc>
          <w:tcPr>
            <w:tcW w:w="80" w:type="dxa"/>
            <w:vAlign w:val="bottom"/>
            <w:shd w:val="clear" w:color="auto" w:fill="CFEDF9"/>
          </w:tcPr>
          <w:p>
            <w:pPr>
              <w:spacing w:after="0"/>
              <w:rPr>
                <w:sz w:val="10"/>
                <w:szCs w:val="10"/>
                <w:color w:val="auto"/>
              </w:rPr>
            </w:pPr>
          </w:p>
        </w:tc>
        <w:tc>
          <w:tcPr>
            <w:tcW w:w="94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2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114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0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00" w:type="dxa"/>
            <w:vAlign w:val="bottom"/>
            <w:tcBorders>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r>
      <w:tr>
        <w:trPr>
          <w:trHeight w:val="151"/>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Fuels</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8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11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0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00" w:type="dxa"/>
            <w:vAlign w:val="bottom"/>
            <w:tcBorders>
              <w:right w:val="single" w:sz="8" w:color="CFEDF9"/>
            </w:tcBorders>
            <w:shd w:val="clear" w:color="auto" w:fill="CFEDF9"/>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Laramie Energy, LLC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($27,317 par, due 2/2027)</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2/21/2023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12.46%</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26,768</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27,142</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1.8%</w:t>
            </w:r>
          </w:p>
        </w:tc>
        <w:tc>
          <w:tcPr>
            <w:tcW w:w="20" w:type="dxa"/>
            <w:vAlign w:val="bottom"/>
          </w:tcPr>
          <w:p>
            <w:pPr>
              <w:spacing w:after="0"/>
              <w:rPr>
                <w:sz w:val="11"/>
                <w:szCs w:val="1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Mach Natural Resources LP</w:t>
            </w:r>
            <w:r>
              <w:rPr>
                <w:rFonts w:ascii="Times New Roman" w:cs="Times New Roman" w:eastAsia="Times New Roman" w:hAnsi="Times New Roman"/>
                <w:sz w:val="15"/>
                <w:szCs w:val="15"/>
                <w:color w:val="231F20"/>
                <w:vertAlign w:val="superscript"/>
              </w:rPr>
              <w:t>(3)(4)</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($5,000 par, due 12/2026)</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12/28/2023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+ 6.65%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12.00%</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4,900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4,900</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Murchison Oil and Gas, LLC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($27,849 par, due 6/2026)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6/30/2022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+ 8.65%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14.00%</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27,453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28,267</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1.9%</w:t>
            </w:r>
          </w:p>
        </w:tc>
        <w:tc>
          <w:tcPr>
            <w:tcW w:w="20" w:type="dxa"/>
            <w:vAlign w:val="bottom"/>
          </w:tcPr>
          <w:p>
            <w:pPr>
              <w:spacing w:after="0"/>
              <w:rPr>
                <w:sz w:val="11"/>
                <w:szCs w:val="11"/>
                <w:color w:val="auto"/>
              </w:rPr>
            </w:pPr>
          </w:p>
        </w:tc>
      </w:tr>
      <w:tr>
        <w:trPr>
          <w:trHeight w:val="15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TRP Assets, LLC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($65,000 par, due 12/2025)</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12/3/2021</w:t>
            </w:r>
          </w:p>
        </w:tc>
        <w:tc>
          <w:tcPr>
            <w:tcW w:w="20" w:type="dxa"/>
            <w:vAlign w:val="bottom"/>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+ 7.76%</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13.11%</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64,372</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66,980</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4.5%</w:t>
            </w:r>
          </w:p>
        </w:tc>
        <w:tc>
          <w:tcPr>
            <w:tcW w:w="20" w:type="dxa"/>
            <w:vAlign w:val="bottom"/>
          </w:tcPr>
          <w:p>
            <w:pPr>
              <w:spacing w:after="0"/>
              <w:rPr>
                <w:sz w:val="13"/>
                <w:szCs w:val="13"/>
                <w:color w:val="auto"/>
              </w:rPr>
            </w:pP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20" w:type="dxa"/>
            <w:vAlign w:val="bottom"/>
            <w:tcBorders>
              <w:bottom w:val="single" w:sz="8" w:color="CFEDF9"/>
            </w:tcBorders>
          </w:tcPr>
          <w:p>
            <w:pPr>
              <w:spacing w:after="0"/>
              <w:rPr>
                <w:sz w:val="9"/>
                <w:szCs w:val="9"/>
                <w:color w:val="auto"/>
              </w:rPr>
            </w:pPr>
          </w:p>
        </w:tc>
        <w:tc>
          <w:tcPr>
            <w:tcW w:w="8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126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123,493</w:t>
            </w:r>
          </w:p>
        </w:tc>
        <w:tc>
          <w:tcPr>
            <w:tcW w:w="100" w:type="dxa"/>
            <w:vAlign w:val="bottom"/>
            <w:tcBorders>
              <w:top w:val="single" w:sz="8" w:color="CFEDF9"/>
              <w:bottom w:val="single" w:sz="8" w:color="CFEDF9"/>
            </w:tcBorders>
          </w:tcPr>
          <w:p>
            <w:pPr>
              <w:spacing w:after="0"/>
              <w:rPr>
                <w:sz w:val="9"/>
                <w:szCs w:val="9"/>
                <w:color w:val="auto"/>
              </w:rPr>
            </w:pPr>
          </w:p>
        </w:tc>
        <w:tc>
          <w:tcPr>
            <w:tcW w:w="100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127,289</w:t>
            </w:r>
          </w:p>
        </w:tc>
        <w:tc>
          <w:tcPr>
            <w:tcW w:w="100" w:type="dxa"/>
            <w:vAlign w:val="bottom"/>
            <w:tcBorders>
              <w:top w:val="single" w:sz="8" w:color="CFEDF9"/>
              <w:bottom w:val="single" w:sz="8" w:color="CFEDF9"/>
            </w:tcBorders>
          </w:tcPr>
          <w:p>
            <w:pPr>
              <w:spacing w:after="0"/>
              <w:rPr>
                <w:sz w:val="9"/>
                <w:szCs w:val="9"/>
                <w:color w:val="auto"/>
              </w:rPr>
            </w:pPr>
          </w:p>
        </w:tc>
        <w:tc>
          <w:tcPr>
            <w:tcW w:w="90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8.5%</w:t>
            </w:r>
          </w:p>
        </w:tc>
        <w:tc>
          <w:tcPr>
            <w:tcW w:w="20" w:type="dxa"/>
            <w:vAlign w:val="bottom"/>
          </w:tcPr>
          <w:p>
            <w:pPr>
              <w:spacing w:after="0"/>
              <w:rPr>
                <w:sz w:val="9"/>
                <w:szCs w:val="9"/>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Other</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Omnigo Software,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($39,943 par, due 3/2026)</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3/31/2021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+ 6.60%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11.96%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39,440</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39,743</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2.7%</w:t>
            </w:r>
          </w:p>
        </w:tc>
        <w:tc>
          <w:tcPr>
            <w:tcW w:w="20" w:type="dxa"/>
            <w:vAlign w:val="bottom"/>
          </w:tcPr>
          <w:p>
            <w:pPr>
              <w:spacing w:after="0"/>
              <w:rPr>
                <w:sz w:val="11"/>
                <w:szCs w:val="11"/>
                <w:color w:val="auto"/>
              </w:rPr>
            </w:pPr>
          </w:p>
        </w:tc>
      </w:tr>
      <w:tr>
        <w:trPr>
          <w:trHeight w:val="125"/>
        </w:trPr>
        <w:tc>
          <w:tcPr>
            <w:tcW w:w="1560" w:type="dxa"/>
            <w:vAlign w:val="bottom"/>
            <w:shd w:val="clear" w:color="auto" w:fill="CFEDF9"/>
          </w:tcPr>
          <w:p>
            <w:pPr>
              <w:spacing w:after="0" w:line="125" w:lineRule="exact"/>
              <w:rPr>
                <w:sz w:val="20"/>
                <w:szCs w:val="20"/>
                <w:color w:val="auto"/>
              </w:rPr>
            </w:pPr>
            <w:r>
              <w:rPr>
                <w:rFonts w:ascii="Times New Roman" w:cs="Times New Roman" w:eastAsia="Times New Roman" w:hAnsi="Times New Roman"/>
                <w:sz w:val="12"/>
                <w:szCs w:val="12"/>
                <w:b w:val="1"/>
                <w:bCs w:val="1"/>
                <w:color w:val="231F20"/>
              </w:rPr>
              <w:t>Retail and Consumer</w:t>
            </w:r>
          </w:p>
        </w:tc>
        <w:tc>
          <w:tcPr>
            <w:tcW w:w="100" w:type="dxa"/>
            <w:vAlign w:val="bottom"/>
            <w:shd w:val="clear" w:color="auto" w:fill="CFEDF9"/>
          </w:tcPr>
          <w:p>
            <w:pPr>
              <w:spacing w:after="0"/>
              <w:rPr>
                <w:sz w:val="10"/>
                <w:szCs w:val="10"/>
                <w:color w:val="auto"/>
              </w:rPr>
            </w:pPr>
          </w:p>
        </w:tc>
        <w:tc>
          <w:tcPr>
            <w:tcW w:w="260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880" w:type="dxa"/>
            <w:vAlign w:val="bottom"/>
            <w:shd w:val="clear" w:color="auto" w:fill="CFEDF9"/>
          </w:tcPr>
          <w:p>
            <w:pPr>
              <w:spacing w:after="0"/>
              <w:rPr>
                <w:sz w:val="10"/>
                <w:szCs w:val="10"/>
                <w:color w:val="auto"/>
              </w:rPr>
            </w:pPr>
          </w:p>
        </w:tc>
        <w:tc>
          <w:tcPr>
            <w:tcW w:w="20" w:type="dxa"/>
            <w:vAlign w:val="bottom"/>
            <w:shd w:val="clear" w:color="auto" w:fill="CFEDF9"/>
          </w:tcPr>
          <w:p>
            <w:pPr>
              <w:spacing w:after="0"/>
              <w:rPr>
                <w:sz w:val="10"/>
                <w:szCs w:val="10"/>
                <w:color w:val="auto"/>
              </w:rPr>
            </w:pPr>
          </w:p>
        </w:tc>
        <w:tc>
          <w:tcPr>
            <w:tcW w:w="80" w:type="dxa"/>
            <w:vAlign w:val="bottom"/>
            <w:shd w:val="clear" w:color="auto" w:fill="CFEDF9"/>
          </w:tcPr>
          <w:p>
            <w:pPr>
              <w:spacing w:after="0"/>
              <w:rPr>
                <w:sz w:val="10"/>
                <w:szCs w:val="10"/>
                <w:color w:val="auto"/>
              </w:rPr>
            </w:pPr>
          </w:p>
        </w:tc>
        <w:tc>
          <w:tcPr>
            <w:tcW w:w="94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2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114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0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00" w:type="dxa"/>
            <w:vAlign w:val="bottom"/>
            <w:tcBorders>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r>
      <w:tr>
        <w:trPr>
          <w:trHeight w:val="151"/>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Products</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8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11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0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00" w:type="dxa"/>
            <w:vAlign w:val="bottom"/>
            <w:tcBorders>
              <w:right w:val="single" w:sz="8" w:color="CFEDF9"/>
            </w:tcBorders>
            <w:shd w:val="clear" w:color="auto" w:fill="CFEDF9"/>
          </w:tcPr>
          <w:p>
            <w:pPr>
              <w:spacing w:after="0"/>
              <w:rPr>
                <w:sz w:val="13"/>
                <w:szCs w:val="13"/>
                <w:color w:val="auto"/>
              </w:rPr>
            </w:pPr>
          </w:p>
        </w:tc>
        <w:tc>
          <w:tcPr>
            <w:tcW w:w="20" w:type="dxa"/>
            <w:vAlign w:val="bottom"/>
          </w:tcPr>
          <w:p>
            <w:pPr>
              <w:spacing w:after="0"/>
              <w:rPr>
                <w:sz w:val="13"/>
                <w:szCs w:val="13"/>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99 Cents Only Stores LLC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ABL FILO term loan ($25,000 par, due 5/2025)</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9/6/2017</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+ 8.65%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14.03%</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24,868</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25,000</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1.7%</w:t>
            </w:r>
          </w:p>
        </w:tc>
        <w:tc>
          <w:tcPr>
            <w:tcW w:w="20" w:type="dxa"/>
            <w:vAlign w:val="bottom"/>
          </w:tcPr>
          <w:p>
            <w:pPr>
              <w:spacing w:after="0"/>
              <w:rPr>
                <w:sz w:val="11"/>
                <w:szCs w:val="11"/>
                <w:color w:val="auto"/>
              </w:rPr>
            </w:pPr>
          </w:p>
        </w:tc>
      </w:tr>
      <w:tr>
        <w:trPr>
          <w:trHeight w:val="132"/>
        </w:trPr>
        <w:tc>
          <w:tcPr>
            <w:tcW w:w="156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American Achievement, Corp.</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First-lien loan ($27,046 par, due 9/2026)</w:t>
            </w:r>
          </w:p>
        </w:tc>
        <w:tc>
          <w:tcPr>
            <w:tcW w:w="10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9/30/2015</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SOFR + 6.35%</w:t>
            </w:r>
          </w:p>
        </w:tc>
        <w:tc>
          <w:tcPr>
            <w:tcW w:w="1020" w:type="dxa"/>
            <w:vAlign w:val="bottom"/>
            <w:gridSpan w:val="2"/>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11.19% PIK</w:t>
            </w:r>
          </w:p>
        </w:tc>
        <w:tc>
          <w:tcPr>
            <w:tcW w:w="136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26,219</w:t>
            </w:r>
          </w:p>
        </w:tc>
        <w:tc>
          <w:tcPr>
            <w:tcW w:w="110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20,488</w:t>
            </w:r>
          </w:p>
        </w:tc>
        <w:tc>
          <w:tcPr>
            <w:tcW w:w="900" w:type="dxa"/>
            <w:vAlign w:val="bottom"/>
            <w:tcBorders>
              <w:right w:val="single" w:sz="8" w:color="CFEDF9"/>
            </w:tcBorders>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1.4%</w:t>
            </w:r>
          </w:p>
        </w:tc>
        <w:tc>
          <w:tcPr>
            <w:tcW w:w="20" w:type="dxa"/>
            <w:vAlign w:val="bottom"/>
          </w:tcPr>
          <w:p>
            <w:pPr>
              <w:spacing w:after="0"/>
              <w:rPr>
                <w:sz w:val="11"/>
                <w:szCs w:val="11"/>
                <w:color w:val="auto"/>
              </w:rPr>
            </w:pPr>
          </w:p>
        </w:tc>
      </w:tr>
      <w:tr>
        <w:trPr>
          <w:trHeight w:val="124"/>
        </w:trPr>
        <w:tc>
          <w:tcPr>
            <w:tcW w:w="156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(3)(14)</w:t>
            </w:r>
          </w:p>
        </w:tc>
        <w:tc>
          <w:tcPr>
            <w:tcW w:w="100" w:type="dxa"/>
            <w:vAlign w:val="bottom"/>
            <w:tcBorders>
              <w:bottom w:val="single" w:sz="8" w:color="CFEDF9"/>
            </w:tcBorders>
            <w:shd w:val="clear" w:color="auto" w:fill="CFEDF9"/>
          </w:tcPr>
          <w:p>
            <w:pPr>
              <w:spacing w:after="0"/>
              <w:rPr>
                <w:sz w:val="10"/>
                <w:szCs w:val="10"/>
                <w:color w:val="auto"/>
              </w:rPr>
            </w:pPr>
          </w:p>
        </w:tc>
        <w:tc>
          <w:tcPr>
            <w:tcW w:w="26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9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2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11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($1,352 par, due 9/2026)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6/10/2021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+ 14.10%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18.94% PIK</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1,352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101</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Subordinated note ($4,740 par, due 9/2026)</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3/16/2021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+ 1.15%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6.54% PIK</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545</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71</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Bed Bath and Beyond Inc. </w:t>
            </w:r>
            <w:r>
              <w:rPr>
                <w:rFonts w:ascii="Times New Roman" w:cs="Times New Roman" w:eastAsia="Times New Roman" w:hAnsi="Times New Roman"/>
                <w:sz w:val="15"/>
                <w:szCs w:val="15"/>
                <w:color w:val="231F20"/>
                <w:vertAlign w:val="superscript"/>
              </w:rPr>
              <w:t>(3)(15)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ABL FILO term loan ($14,065 par, due 8/2027)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9/2/2022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+ 9.90%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15.26%</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13,787</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13,468</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0.9%</w:t>
            </w:r>
          </w:p>
        </w:tc>
        <w:tc>
          <w:tcPr>
            <w:tcW w:w="20" w:type="dxa"/>
            <w:vAlign w:val="bottom"/>
          </w:tcPr>
          <w:p>
            <w:pPr>
              <w:spacing w:after="0"/>
              <w:rPr>
                <w:sz w:val="11"/>
                <w:szCs w:val="11"/>
                <w:color w:val="auto"/>
              </w:rPr>
            </w:pPr>
          </w:p>
        </w:tc>
      </w:tr>
      <w:tr>
        <w:trPr>
          <w:trHeight w:val="127"/>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Roll Up DIP term loan ($25,931 par, due 9/2024)</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4/24/2023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+ 7.90%</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13.26% (incl.</w:t>
            </w: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25,931</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24,828</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1.7%</w:t>
            </w:r>
          </w:p>
        </w:tc>
        <w:tc>
          <w:tcPr>
            <w:tcW w:w="20" w:type="dxa"/>
            <w:vAlign w:val="bottom"/>
          </w:tcPr>
          <w:p>
            <w:pPr>
              <w:spacing w:after="0"/>
              <w:rPr>
                <w:sz w:val="11"/>
                <w:szCs w:val="11"/>
                <w:color w:val="auto"/>
              </w:rPr>
            </w:pP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13.26% PIK)</w:t>
            </w:r>
          </w:p>
        </w:tc>
        <w:tc>
          <w:tcPr>
            <w:tcW w:w="120" w:type="dxa"/>
            <w:vAlign w:val="bottom"/>
            <w:shd w:val="clear" w:color="auto" w:fill="CFEDF9"/>
          </w:tcPr>
          <w:p>
            <w:pPr>
              <w:spacing w:after="0"/>
              <w:rPr>
                <w:sz w:val="12"/>
                <w:szCs w:val="12"/>
                <w:color w:val="auto"/>
              </w:rPr>
            </w:pPr>
          </w:p>
        </w:tc>
        <w:tc>
          <w:tcPr>
            <w:tcW w:w="11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r>
      <w:tr>
        <w:trPr>
          <w:trHeight w:val="127"/>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Super-Priority DIP term loan ($4,739 par, due</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4/24/2023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+ 7.90%</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13.26%</w:t>
            </w:r>
          </w:p>
        </w:tc>
        <w:tc>
          <w:tcPr>
            <w:tcW w:w="13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4,739</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4,538</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1"/>
                <w:szCs w:val="11"/>
                <w:color w:val="auto"/>
              </w:rPr>
            </w:pPr>
          </w:p>
        </w:tc>
      </w:tr>
      <w:tr>
        <w:trPr>
          <w:trHeight w:val="149"/>
        </w:trPr>
        <w:tc>
          <w:tcPr>
            <w:tcW w:w="1560" w:type="dxa"/>
            <w:vAlign w:val="bottom"/>
          </w:tcPr>
          <w:p>
            <w:pPr>
              <w:spacing w:after="0"/>
              <w:rPr>
                <w:sz w:val="12"/>
                <w:szCs w:val="12"/>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231F20"/>
              </w:rPr>
              <w:t>9/2024)</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Cordance Operations, LLC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($49,543 par, due 7/2028)</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7/25/2022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SOFR + 9.25%</w:t>
            </w:r>
          </w:p>
        </w:tc>
        <w:tc>
          <w:tcPr>
            <w:tcW w:w="10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14.66%</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48,641</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49,801</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3.2%</w:t>
            </w:r>
          </w:p>
        </w:tc>
        <w:tc>
          <w:tcPr>
            <w:tcW w:w="20" w:type="dxa"/>
            <w:vAlign w:val="bottom"/>
          </w:tcPr>
          <w:p>
            <w:pPr>
              <w:spacing w:after="0"/>
              <w:rPr>
                <w:sz w:val="11"/>
                <w:szCs w:val="1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Neuintel,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($57,701 par, due 12/2026)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12/20/2021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SOFR + 7.65%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13.03%</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56,923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58,134</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3.9%</w:t>
            </w:r>
          </w:p>
        </w:tc>
        <w:tc>
          <w:tcPr>
            <w:tcW w:w="20" w:type="dxa"/>
            <w:vAlign w:val="bottom"/>
          </w:tcPr>
          <w:p>
            <w:pPr>
              <w:spacing w:after="0"/>
              <w:rPr>
                <w:sz w:val="11"/>
                <w:szCs w:val="1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Rapid Data GmbH</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4,495 par, due 7/2029)</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7/11/2023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E + 6.50%</w:t>
            </w:r>
          </w:p>
        </w:tc>
        <w:tc>
          <w:tcPr>
            <w:tcW w:w="102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10.48%</w:t>
            </w: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4,676</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4,853</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1"/>
                <w:szCs w:val="1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Unternehmensberatung </w:t>
            </w:r>
            <w:r>
              <w:rPr>
                <w:rFonts w:ascii="Times New Roman" w:cs="Times New Roman" w:eastAsia="Times New Roman" w:hAnsi="Times New Roman"/>
                <w:sz w:val="16"/>
                <w:szCs w:val="16"/>
                <w:color w:val="231F20"/>
                <w:vertAlign w:val="superscript"/>
              </w:rPr>
              <w:t>(3)(4)</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11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(EUR 4,393)</w:t>
            </w: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w w:val="99"/>
              </w:rPr>
              <w:t>Tango Management Consulting,</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($57,007 par, due 12/2027)</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12/1/2021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SOFR + 6.85%</w:t>
            </w:r>
          </w:p>
        </w:tc>
        <w:tc>
          <w:tcPr>
            <w:tcW w:w="10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12.20%</w:t>
            </w:r>
          </w:p>
        </w:tc>
        <w:tc>
          <w:tcPr>
            <w:tcW w:w="13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56,247</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56,703</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3.8%</w:t>
            </w:r>
          </w:p>
        </w:tc>
        <w:tc>
          <w:tcPr>
            <w:tcW w:w="20" w:type="dxa"/>
            <w:vAlign w:val="bottom"/>
          </w:tcPr>
          <w:p>
            <w:pPr>
              <w:spacing w:after="0"/>
              <w:rPr>
                <w:sz w:val="11"/>
                <w:szCs w:val="11"/>
                <w:color w:val="auto"/>
              </w:rPr>
            </w:pPr>
          </w:p>
        </w:tc>
      </w:tr>
      <w:tr>
        <w:trPr>
          <w:trHeight w:val="149"/>
        </w:trPr>
        <w:tc>
          <w:tcPr>
            <w:tcW w:w="1560" w:type="dxa"/>
            <w:vAlign w:val="bottom"/>
            <w:tcBorders>
              <w:bottom w:val="single" w:sz="8" w:color="CFEDF9"/>
            </w:tcBorders>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 xml:space="preserve"> (3)(5)</w:t>
            </w:r>
          </w:p>
        </w:tc>
        <w:tc>
          <w:tcPr>
            <w:tcW w:w="100" w:type="dxa"/>
            <w:vAlign w:val="bottom"/>
            <w:tcBorders>
              <w:bottom w:val="single" w:sz="8" w:color="CFEDF9"/>
            </w:tcBorders>
          </w:tcPr>
          <w:p>
            <w:pPr>
              <w:spacing w:after="0"/>
              <w:rPr>
                <w:sz w:val="12"/>
                <w:szCs w:val="12"/>
                <w:color w:val="auto"/>
              </w:rPr>
            </w:pPr>
          </w:p>
        </w:tc>
        <w:tc>
          <w:tcPr>
            <w:tcW w:w="260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880" w:type="dxa"/>
            <w:vAlign w:val="bottom"/>
            <w:tcBorders>
              <w:bottom w:val="single" w:sz="8" w:color="CFEDF9"/>
            </w:tcBorders>
          </w:tcPr>
          <w:p>
            <w:pPr>
              <w:spacing w:after="0"/>
              <w:rPr>
                <w:sz w:val="12"/>
                <w:szCs w:val="12"/>
                <w:color w:val="auto"/>
              </w:rPr>
            </w:pPr>
          </w:p>
        </w:tc>
        <w:tc>
          <w:tcPr>
            <w:tcW w:w="20" w:type="dxa"/>
            <w:vAlign w:val="bottom"/>
            <w:tcBorders>
              <w:bottom w:val="single" w:sz="8" w:color="CFEDF9"/>
            </w:tcBorders>
          </w:tcPr>
          <w:p>
            <w:pPr>
              <w:spacing w:after="0"/>
              <w:rPr>
                <w:sz w:val="12"/>
                <w:szCs w:val="12"/>
                <w:color w:val="auto"/>
              </w:rPr>
            </w:pPr>
          </w:p>
        </w:tc>
        <w:tc>
          <w:tcPr>
            <w:tcW w:w="80" w:type="dxa"/>
            <w:vAlign w:val="bottom"/>
            <w:tcBorders>
              <w:bottom w:val="single" w:sz="8" w:color="CFEDF9"/>
            </w:tcBorders>
          </w:tcPr>
          <w:p>
            <w:pPr>
              <w:spacing w:after="0"/>
              <w:rPr>
                <w:sz w:val="12"/>
                <w:szCs w:val="12"/>
                <w:color w:val="auto"/>
              </w:rPr>
            </w:pPr>
          </w:p>
        </w:tc>
        <w:tc>
          <w:tcPr>
            <w:tcW w:w="940" w:type="dxa"/>
            <w:vAlign w:val="bottom"/>
            <w:tcBorders>
              <w:bottom w:val="single" w:sz="8" w:color="CFEDF9"/>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920" w:type="dxa"/>
            <w:vAlign w:val="bottom"/>
            <w:tcBorders>
              <w:bottom w:val="single" w:sz="8" w:color="CFEDF9"/>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1140" w:type="dxa"/>
            <w:vAlign w:val="bottom"/>
            <w:tcBorders>
              <w:bottom w:val="single" w:sz="8" w:color="231F20"/>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900" w:type="dxa"/>
            <w:vAlign w:val="bottom"/>
            <w:tcBorders>
              <w:bottom w:val="single" w:sz="8" w:color="231F20"/>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90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263,928</w:t>
            </w: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257,985</w:t>
            </w: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17.2%</w:t>
            </w:r>
          </w:p>
        </w:tc>
        <w:tc>
          <w:tcPr>
            <w:tcW w:w="20" w:type="dxa"/>
            <w:vAlign w:val="bottom"/>
          </w:tcPr>
          <w:p>
            <w:pPr>
              <w:spacing w:after="0"/>
              <w:rPr>
                <w:sz w:val="11"/>
                <w:szCs w:val="11"/>
                <w:color w:val="auto"/>
              </w:rPr>
            </w:pPr>
          </w:p>
        </w:tc>
      </w:tr>
    </w:tbl>
    <w:p>
      <w:pPr>
        <w:spacing w:after="0" w:line="200" w:lineRule="exact"/>
        <w:rPr>
          <w:sz w:val="20"/>
          <w:szCs w:val="20"/>
          <w:color w:val="auto"/>
        </w:rPr>
      </w:pPr>
    </w:p>
    <w:p>
      <w:pPr>
        <w:sectPr>
          <w:pgSz w:w="12240" w:h="15840" w:orient="portrait"/>
          <w:cols w:equalWidth="0" w:num="1">
            <w:col w:w="10760"/>
          </w:cols>
          <w:pgMar w:left="740" w:top="937" w:right="740" w:bottom="175" w:gutter="0" w:footer="0" w:header="0"/>
        </w:sectPr>
      </w:pP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F-7</w:t>
      </w:r>
    </w:p>
    <w:p>
      <w:pPr>
        <w:sectPr>
          <w:pgSz w:w="12240" w:h="15840" w:orient="portrait"/>
          <w:cols w:equalWidth="0" w:num="1">
            <w:col w:w="10760"/>
          </w:cols>
          <w:pgMar w:left="740" w:top="937" w:right="740" w:bottom="175"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Initial</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231F20"/>
                <w:w w:val="97"/>
              </w:rPr>
              <w:t>Reference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Acquisition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231F20"/>
                <w:w w:val="99"/>
              </w:rPr>
              <w:t>Rate and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8"/>
              </w:rPr>
              <w:t>Amortized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231F20"/>
                <w:w w:val="98"/>
              </w:rPr>
              <w:t>Percentage</w:t>
            </w:r>
          </w:p>
        </w:tc>
        <w:tc>
          <w:tcPr>
            <w:tcW w:w="0" w:type="dxa"/>
            <w:vAlign w:val="bottom"/>
          </w:tcPr>
          <w:p>
            <w:pPr>
              <w:spacing w:after="0"/>
              <w:rPr>
                <w:sz w:val="1"/>
                <w:szCs w:val="1"/>
                <w:color w:val="auto"/>
              </w:rPr>
            </w:pPr>
          </w:p>
        </w:tc>
      </w:tr>
      <w:tr>
        <w:trPr>
          <w:trHeight w:val="151"/>
        </w:trPr>
        <w:tc>
          <w:tcPr>
            <w:tcW w:w="1560" w:type="dxa"/>
            <w:vAlign w:val="bottom"/>
          </w:tcPr>
          <w:p>
            <w:pPr>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Company </w:t>
            </w:r>
            <w:r>
              <w:rPr>
                <w:rFonts w:ascii="Times New Roman" w:cs="Times New Roman" w:eastAsia="Times New Roman" w:hAnsi="Times New Roman"/>
                <w:sz w:val="16"/>
                <w:szCs w:val="16"/>
                <w:b w:val="1"/>
                <w:bCs w:val="1"/>
                <w:color w:val="231F20"/>
                <w:vertAlign w:val="superscript"/>
              </w:rPr>
              <w:t>(1)</w:t>
            </w:r>
          </w:p>
        </w:tc>
        <w:tc>
          <w:tcPr>
            <w:tcW w:w="100" w:type="dxa"/>
            <w:vAlign w:val="bottom"/>
          </w:tcPr>
          <w:p>
            <w:pPr>
              <w:spacing w:after="0"/>
              <w:rPr>
                <w:sz w:val="13"/>
                <w:szCs w:val="13"/>
                <w:color w:val="auto"/>
              </w:rPr>
            </w:pPr>
          </w:p>
        </w:tc>
        <w:tc>
          <w:tcPr>
            <w:tcW w:w="26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231F20"/>
              </w:rPr>
              <w:t>Investment</w:t>
            </w:r>
          </w:p>
        </w:tc>
        <w:tc>
          <w:tcPr>
            <w:tcW w:w="1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231F20"/>
              </w:rPr>
              <w:t>Spread</w:t>
            </w: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231F20"/>
              </w:rPr>
              <w:t>Interest Rate</w:t>
            </w: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7"/>
                <w:szCs w:val="17"/>
                <w:b w:val="1"/>
                <w:bCs w:val="1"/>
                <w:color w:val="231F20"/>
                <w:vertAlign w:val="subscript"/>
              </w:rPr>
              <w:t>Cost</w:t>
            </w:r>
            <w:r>
              <w:rPr>
                <w:rFonts w:ascii="Times New Roman" w:cs="Times New Roman" w:eastAsia="Times New Roman" w:hAnsi="Times New Roman"/>
                <w:sz w:val="7"/>
                <w:szCs w:val="7"/>
                <w:b w:val="1"/>
                <w:bCs w:val="1"/>
                <w:color w:val="231F20"/>
              </w:rPr>
              <w:t xml:space="preserve"> (2)(8)</w:t>
            </w:r>
          </w:p>
        </w:tc>
        <w:tc>
          <w:tcPr>
            <w:tcW w:w="100" w:type="dxa"/>
            <w:vAlign w:val="bottom"/>
          </w:tcPr>
          <w:p>
            <w:pPr>
              <w:spacing w:after="0"/>
              <w:rPr>
                <w:sz w:val="13"/>
                <w:szCs w:val="13"/>
                <w:color w:val="auto"/>
              </w:rPr>
            </w:pPr>
          </w:p>
        </w:tc>
        <w:tc>
          <w:tcPr>
            <w:tcW w:w="100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Fair Value </w:t>
            </w:r>
            <w:r>
              <w:rPr>
                <w:rFonts w:ascii="Times New Roman" w:cs="Times New Roman" w:eastAsia="Times New Roman" w:hAnsi="Times New Roman"/>
                <w:sz w:val="16"/>
                <w:szCs w:val="16"/>
                <w:b w:val="1"/>
                <w:bCs w:val="1"/>
                <w:color w:val="231F20"/>
                <w:vertAlign w:val="superscript"/>
              </w:rPr>
              <w:t>(9)</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231F20"/>
                <w:w w:val="99"/>
              </w:rPr>
              <w:t>of Net Assets</w:t>
            </w:r>
          </w:p>
        </w:tc>
        <w:tc>
          <w:tcPr>
            <w:tcW w:w="0" w:type="dxa"/>
            <w:vAlign w:val="bottom"/>
          </w:tcPr>
          <w:p>
            <w:pPr>
              <w:spacing w:after="0"/>
              <w:rPr>
                <w:sz w:val="1"/>
                <w:szCs w:val="1"/>
                <w:color w:val="auto"/>
              </w:rPr>
            </w:pPr>
          </w:p>
        </w:tc>
      </w:tr>
      <w:tr>
        <w:trPr>
          <w:trHeight w:val="128"/>
        </w:trPr>
        <w:tc>
          <w:tcPr>
            <w:tcW w:w="1560" w:type="dxa"/>
            <w:vAlign w:val="bottom"/>
            <w:tcBorders>
              <w:top w:val="single" w:sz="8" w:color="231F20"/>
            </w:tcBorders>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Transportation</w:t>
            </w:r>
          </w:p>
        </w:tc>
        <w:tc>
          <w:tcPr>
            <w:tcW w:w="100" w:type="dxa"/>
            <w:vAlign w:val="bottom"/>
          </w:tcPr>
          <w:p>
            <w:pPr>
              <w:spacing w:after="0"/>
              <w:rPr>
                <w:sz w:val="11"/>
                <w:szCs w:val="11"/>
                <w:color w:val="auto"/>
              </w:rPr>
            </w:pPr>
          </w:p>
        </w:tc>
        <w:tc>
          <w:tcPr>
            <w:tcW w:w="2600" w:type="dxa"/>
            <w:vAlign w:val="bottom"/>
            <w:tcBorders>
              <w:top w:val="single" w:sz="8" w:color="231F20"/>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231F20"/>
            </w:tcBorders>
          </w:tcPr>
          <w:p>
            <w:pPr>
              <w:spacing w:after="0"/>
              <w:rPr>
                <w:sz w:val="11"/>
                <w:szCs w:val="11"/>
                <w:color w:val="auto"/>
              </w:rPr>
            </w:pPr>
          </w:p>
        </w:tc>
        <w:tc>
          <w:tcPr>
            <w:tcW w:w="114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90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Project44,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($35,139 par, due 11/2027)</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11/12/2021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2"/>
                <w:szCs w:val="12"/>
                <w:color w:val="231F20"/>
                <w:w w:val="97"/>
              </w:rPr>
              <w:t>SOFR + 6.40%</w:t>
            </w:r>
          </w:p>
        </w:tc>
        <w:tc>
          <w:tcPr>
            <w:tcW w:w="112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11.78%</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34,139</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35,001</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Marcura Equities LTD </w:t>
            </w:r>
            <w:r>
              <w:rPr>
                <w:rFonts w:ascii="Times New Roman" w:cs="Times New Roman" w:eastAsia="Times New Roman" w:hAnsi="Times New Roman"/>
                <w:sz w:val="15"/>
                <w:szCs w:val="15"/>
                <w:color w:val="231F20"/>
                <w:vertAlign w:val="superscript"/>
              </w:rPr>
              <w:t>(3)(4)</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($32,007 par, due 8/2029)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8/11/2023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2"/>
                <w:szCs w:val="12"/>
                <w:color w:val="231F20"/>
                <w:w w:val="97"/>
              </w:rPr>
              <w:t>SOFR + 7.00%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12.18%</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31,020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31,482</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revolving loan ($1,667 par, due 8/2029)</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8/11/2023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2"/>
                <w:szCs w:val="12"/>
                <w:color w:val="231F20"/>
                <w:w w:val="97"/>
              </w:rPr>
              <w:t>SOFR + 7.00%</w:t>
            </w:r>
          </w:p>
        </w:tc>
        <w:tc>
          <w:tcPr>
            <w:tcW w:w="112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12.18%</w:t>
            </w: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1,589</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1,625</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6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2600" w:type="dxa"/>
            <w:vAlign w:val="bottom"/>
            <w:tcBorders>
              <w:bottom w:val="single" w:sz="8" w:color="CFEDF9"/>
            </w:tcBorders>
          </w:tcPr>
          <w:p>
            <w:pPr>
              <w:spacing w:after="0"/>
              <w:rPr>
                <w:sz w:val="11"/>
                <w:szCs w:val="11"/>
                <w:color w:val="auto"/>
              </w:rPr>
            </w:pPr>
          </w:p>
        </w:tc>
        <w:tc>
          <w:tcPr>
            <w:tcW w:w="120" w:type="dxa"/>
            <w:vAlign w:val="bottom"/>
            <w:tcBorders>
              <w:bottom w:val="single" w:sz="8" w:color="CFEDF9"/>
            </w:tcBorders>
          </w:tcPr>
          <w:p>
            <w:pPr>
              <w:spacing w:after="0"/>
              <w:rPr>
                <w:sz w:val="11"/>
                <w:szCs w:val="11"/>
                <w:color w:val="auto"/>
              </w:rPr>
            </w:pPr>
          </w:p>
        </w:tc>
        <w:tc>
          <w:tcPr>
            <w:tcW w:w="880" w:type="dxa"/>
            <w:vAlign w:val="bottom"/>
            <w:tcBorders>
              <w:bottom w:val="single" w:sz="8" w:color="CFEDF9"/>
            </w:tcBorders>
          </w:tcPr>
          <w:p>
            <w:pPr>
              <w:spacing w:after="0"/>
              <w:rPr>
                <w:sz w:val="11"/>
                <w:szCs w:val="11"/>
                <w:color w:val="auto"/>
              </w:rPr>
            </w:pP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94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92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120" w:type="dxa"/>
            <w:vAlign w:val="bottom"/>
            <w:tcBorders>
              <w:bottom w:val="single" w:sz="8" w:color="231F20"/>
            </w:tcBorders>
          </w:tcPr>
          <w:p>
            <w:pPr>
              <w:spacing w:after="0"/>
              <w:rPr>
                <w:sz w:val="11"/>
                <w:szCs w:val="11"/>
                <w:color w:val="auto"/>
              </w:rPr>
            </w:pPr>
          </w:p>
        </w:tc>
        <w:tc>
          <w:tcPr>
            <w:tcW w:w="1140" w:type="dxa"/>
            <w:vAlign w:val="bottom"/>
            <w:tcBorders>
              <w:top w:val="single" w:sz="8" w:color="231F20"/>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66,748</w:t>
            </w:r>
          </w:p>
        </w:tc>
        <w:tc>
          <w:tcPr>
            <w:tcW w:w="100" w:type="dxa"/>
            <w:vAlign w:val="bottom"/>
            <w:tcBorders>
              <w:bottom w:val="single" w:sz="8" w:color="CFEDF9"/>
            </w:tcBorders>
          </w:tcPr>
          <w:p>
            <w:pPr>
              <w:spacing w:after="0"/>
              <w:rPr>
                <w:sz w:val="11"/>
                <w:szCs w:val="11"/>
                <w:color w:val="auto"/>
              </w:rPr>
            </w:pPr>
          </w:p>
        </w:tc>
        <w:tc>
          <w:tcPr>
            <w:tcW w:w="100" w:type="dxa"/>
            <w:vAlign w:val="bottom"/>
            <w:tcBorders>
              <w:bottom w:val="single" w:sz="8" w:color="231F20"/>
            </w:tcBorders>
          </w:tcPr>
          <w:p>
            <w:pPr>
              <w:spacing w:after="0"/>
              <w:rPr>
                <w:sz w:val="11"/>
                <w:szCs w:val="11"/>
                <w:color w:val="auto"/>
              </w:rPr>
            </w:pPr>
          </w:p>
        </w:tc>
        <w:tc>
          <w:tcPr>
            <w:tcW w:w="900" w:type="dxa"/>
            <w:vAlign w:val="bottom"/>
            <w:tcBorders>
              <w:top w:val="single" w:sz="8" w:color="231F20"/>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68,108</w:t>
            </w:r>
          </w:p>
        </w:tc>
        <w:tc>
          <w:tcPr>
            <w:tcW w:w="100" w:type="dxa"/>
            <w:vAlign w:val="bottom"/>
            <w:tcBorders>
              <w:bottom w:val="single" w:sz="8" w:color="CFEDF9"/>
            </w:tcBorders>
          </w:tcPr>
          <w:p>
            <w:pPr>
              <w:spacing w:after="0"/>
              <w:rPr>
                <w:sz w:val="11"/>
                <w:szCs w:val="11"/>
                <w:color w:val="auto"/>
              </w:rPr>
            </w:pPr>
          </w:p>
        </w:tc>
        <w:tc>
          <w:tcPr>
            <w:tcW w:w="900" w:type="dxa"/>
            <w:vAlign w:val="bottom"/>
            <w:tcBorders>
              <w:top w:val="single" w:sz="8" w:color="231F20"/>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Total Debt Investments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6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3,045,524</w:t>
            </w: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3,071,623</w:t>
            </w: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205.3%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231F20"/>
            </w:tcBorders>
          </w:tcPr>
          <w:p>
            <w:pPr>
              <w:spacing w:after="0"/>
              <w:rPr>
                <w:sz w:val="11"/>
                <w:szCs w:val="11"/>
                <w:color w:val="auto"/>
              </w:rPr>
            </w:pPr>
          </w:p>
        </w:tc>
        <w:tc>
          <w:tcPr>
            <w:tcW w:w="114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90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w w:val="98"/>
              </w:rPr>
              <w:t>Equity and Other Investments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Business Services</w:t>
            </w: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Artisan Topco LP</w:t>
            </w:r>
            <w:r>
              <w:rPr>
                <w:rFonts w:ascii="Times New Roman" w:cs="Times New Roman" w:eastAsia="Times New Roman" w:hAnsi="Times New Roman"/>
                <w:sz w:val="15"/>
                <w:szCs w:val="15"/>
                <w:color w:val="231F20"/>
                <w:vertAlign w:val="superscript"/>
              </w:rPr>
              <w:t>(11)(12)</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Class A Preferred Units (2,117,264 units)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11/7/2023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2,117</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2,117</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Newark FP Co-Invest,</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Partnership (2,527,719 units)</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11/8/2023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2,532</w:t>
            </w:r>
          </w:p>
        </w:tc>
        <w:tc>
          <w:tcPr>
            <w:tcW w:w="110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2,532</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L.P.</w:t>
            </w:r>
            <w:r>
              <w:rPr>
                <w:rFonts w:ascii="Times New Roman" w:cs="Times New Roman" w:eastAsia="Times New Roman" w:hAnsi="Times New Roman"/>
                <w:sz w:val="7"/>
                <w:szCs w:val="7"/>
                <w:color w:val="231F20"/>
              </w:rPr>
              <w:t>(11)(12)</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Dye &amp; Durham, Ltd. </w:t>
            </w:r>
            <w:r>
              <w:rPr>
                <w:rFonts w:ascii="Times New Roman" w:cs="Times New Roman" w:eastAsia="Times New Roman" w:hAnsi="Times New Roman"/>
                <w:sz w:val="14"/>
                <w:szCs w:val="14"/>
                <w:color w:val="231F20"/>
                <w:vertAlign w:val="superscript"/>
              </w:rPr>
              <w:t>(4)(10)</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Common Shares (126,968 shares)</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12/3/2021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3,909</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1,383</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11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(CAD 1,823)</w:t>
            </w: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Mitnick TA Aggregator, L.P. </w:t>
            </w:r>
            <w:r>
              <w:rPr>
                <w:rFonts w:ascii="Times New Roman" w:cs="Times New Roman" w:eastAsia="Times New Roman" w:hAnsi="Times New Roman"/>
                <w:sz w:val="15"/>
                <w:szCs w:val="15"/>
                <w:color w:val="231F20"/>
                <w:vertAlign w:val="superscript"/>
              </w:rPr>
              <w:t>(11)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Membership Interest (0.43% ownership)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5/2/2022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5,243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4,496</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ReliaQuest, LLC </w:t>
            </w:r>
            <w:r>
              <w:rPr>
                <w:rFonts w:ascii="Times New Roman" w:cs="Times New Roman" w:eastAsia="Times New Roman" w:hAnsi="Times New Roman"/>
                <w:sz w:val="15"/>
                <w:szCs w:val="15"/>
                <w:color w:val="231F20"/>
                <w:vertAlign w:val="superscript"/>
              </w:rPr>
              <w:t>(13)</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Class A-1 Units (637,713 units) </w:t>
            </w:r>
            <w:r>
              <w:rPr>
                <w:rFonts w:ascii="Times New Roman" w:cs="Times New Roman" w:eastAsia="Times New Roman" w:hAnsi="Times New Roman"/>
                <w:sz w:val="15"/>
                <w:szCs w:val="15"/>
                <w:color w:val="231F20"/>
                <w:vertAlign w:val="superscript"/>
              </w:rPr>
              <w:t>(11)</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11/23/2021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1,120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1,414</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Class A-2 Units (2,989 units) </w:t>
            </w:r>
            <w:r>
              <w:rPr>
                <w:rFonts w:ascii="Times New Roman" w:cs="Times New Roman" w:eastAsia="Times New Roman" w:hAnsi="Times New Roman"/>
                <w:sz w:val="15"/>
                <w:szCs w:val="15"/>
                <w:color w:val="231F20"/>
                <w:vertAlign w:val="superscript"/>
              </w:rPr>
              <w:t>(11)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6/21/2022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8</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Class A-3 Units (16,957 units) </w:t>
            </w:r>
            <w:r>
              <w:rPr>
                <w:rFonts w:ascii="Times New Roman" w:cs="Times New Roman" w:eastAsia="Times New Roman" w:hAnsi="Times New Roman"/>
                <w:sz w:val="15"/>
                <w:szCs w:val="15"/>
                <w:color w:val="231F20"/>
                <w:vertAlign w:val="superscript"/>
              </w:rPr>
              <w:t>(11)(12)</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11/10/2023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36</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46</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Series A Preferred Stock (1,667 Units) </w:t>
            </w:r>
            <w:r>
              <w:rPr>
                <w:rFonts w:ascii="Times New Roman" w:cs="Times New Roman" w:eastAsia="Times New Roman" w:hAnsi="Times New Roman"/>
                <w:sz w:val="15"/>
                <w:szCs w:val="15"/>
                <w:color w:val="231F20"/>
                <w:vertAlign w:val="superscript"/>
              </w:rPr>
              <w:t>(12)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12/20/2023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1,502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1,504</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90,634 Warrants </w:t>
            </w:r>
            <w:r>
              <w:rPr>
                <w:rFonts w:ascii="Times New Roman" w:cs="Times New Roman" w:eastAsia="Times New Roman" w:hAnsi="Times New Roman"/>
                <w:sz w:val="15"/>
                <w:szCs w:val="15"/>
                <w:color w:val="231F20"/>
                <w:vertAlign w:val="superscript"/>
              </w:rPr>
              <w:t>(11)(12)</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12/20/2023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102</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102</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Sprinklr, Inc. </w:t>
            </w:r>
            <w:r>
              <w:rPr>
                <w:rFonts w:ascii="Times New Roman" w:cs="Times New Roman" w:eastAsia="Times New Roman" w:hAnsi="Times New Roman"/>
                <w:sz w:val="15"/>
                <w:szCs w:val="15"/>
                <w:color w:val="231F20"/>
                <w:vertAlign w:val="superscript"/>
              </w:rPr>
              <w:t>(10)(11)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Common Shares (315,005 shares)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6/24/2021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2,716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3,793</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Warrior TopCo LP </w:t>
            </w:r>
            <w:r>
              <w:rPr>
                <w:rFonts w:ascii="Times New Roman" w:cs="Times New Roman" w:eastAsia="Times New Roman" w:hAnsi="Times New Roman"/>
                <w:sz w:val="15"/>
                <w:szCs w:val="15"/>
                <w:color w:val="231F20"/>
                <w:vertAlign w:val="superscript"/>
              </w:rPr>
              <w:t>(11)(12)</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Class A Units (423,728 units)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7/7/2023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424</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424</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6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2600" w:type="dxa"/>
            <w:vAlign w:val="bottom"/>
            <w:tcBorders>
              <w:bottom w:val="single" w:sz="8" w:color="CFEDF9"/>
            </w:tcBorders>
          </w:tcPr>
          <w:p>
            <w:pPr>
              <w:spacing w:after="0"/>
              <w:rPr>
                <w:sz w:val="11"/>
                <w:szCs w:val="11"/>
                <w:color w:val="auto"/>
              </w:rPr>
            </w:pPr>
          </w:p>
        </w:tc>
        <w:tc>
          <w:tcPr>
            <w:tcW w:w="120" w:type="dxa"/>
            <w:vAlign w:val="bottom"/>
            <w:tcBorders>
              <w:bottom w:val="single" w:sz="8" w:color="CFEDF9"/>
            </w:tcBorders>
          </w:tcPr>
          <w:p>
            <w:pPr>
              <w:spacing w:after="0"/>
              <w:rPr>
                <w:sz w:val="11"/>
                <w:szCs w:val="11"/>
                <w:color w:val="auto"/>
              </w:rPr>
            </w:pPr>
          </w:p>
        </w:tc>
        <w:tc>
          <w:tcPr>
            <w:tcW w:w="880" w:type="dxa"/>
            <w:vAlign w:val="bottom"/>
            <w:tcBorders>
              <w:bottom w:val="single" w:sz="8" w:color="CFEDF9"/>
            </w:tcBorders>
          </w:tcPr>
          <w:p>
            <w:pPr>
              <w:spacing w:after="0"/>
              <w:rPr>
                <w:sz w:val="11"/>
                <w:szCs w:val="11"/>
                <w:color w:val="auto"/>
              </w:rPr>
            </w:pP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94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92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1260" w:type="dxa"/>
            <w:vAlign w:val="bottom"/>
            <w:tcBorders>
              <w:top w:val="single" w:sz="8" w:color="231F20"/>
              <w:bottom w:val="single" w:sz="8" w:color="231F20"/>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19,707</w:t>
            </w:r>
          </w:p>
        </w:tc>
        <w:tc>
          <w:tcPr>
            <w:tcW w:w="100" w:type="dxa"/>
            <w:vAlign w:val="bottom"/>
            <w:tcBorders>
              <w:bottom w:val="single" w:sz="8" w:color="CFEDF9"/>
            </w:tcBorders>
          </w:tcPr>
          <w:p>
            <w:pPr>
              <w:spacing w:after="0"/>
              <w:rPr>
                <w:sz w:val="11"/>
                <w:szCs w:val="11"/>
                <w:color w:val="auto"/>
              </w:rPr>
            </w:pPr>
          </w:p>
        </w:tc>
        <w:tc>
          <w:tcPr>
            <w:tcW w:w="1000" w:type="dxa"/>
            <w:vAlign w:val="bottom"/>
            <w:tcBorders>
              <w:top w:val="single" w:sz="8" w:color="231F20"/>
              <w:bottom w:val="single" w:sz="8" w:color="231F20"/>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17,819</w:t>
            </w:r>
          </w:p>
        </w:tc>
        <w:tc>
          <w:tcPr>
            <w:tcW w:w="100" w:type="dxa"/>
            <w:vAlign w:val="bottom"/>
            <w:tcBorders>
              <w:bottom w:val="single" w:sz="8" w:color="CFEDF9"/>
            </w:tcBorders>
          </w:tcPr>
          <w:p>
            <w:pPr>
              <w:spacing w:after="0"/>
              <w:rPr>
                <w:sz w:val="11"/>
                <w:szCs w:val="11"/>
                <w:color w:val="auto"/>
              </w:rPr>
            </w:pPr>
          </w:p>
        </w:tc>
        <w:tc>
          <w:tcPr>
            <w:tcW w:w="900" w:type="dxa"/>
            <w:vAlign w:val="bottom"/>
            <w:tcBorders>
              <w:top w:val="single" w:sz="8" w:color="231F20"/>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Communications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Celtra Technologies, Inc. </w:t>
            </w:r>
            <w:r>
              <w:rPr>
                <w:rFonts w:ascii="Times New Roman" w:cs="Times New Roman" w:eastAsia="Times New Roman" w:hAnsi="Times New Roman"/>
                <w:sz w:val="15"/>
                <w:szCs w:val="15"/>
                <w:color w:val="231F20"/>
                <w:vertAlign w:val="superscript"/>
              </w:rPr>
              <w:t>(11)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Class A Units (1,250,000 units)</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11/19/2021</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1,250</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1,250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IntelePeer Holdings, Inc. </w:t>
            </w:r>
            <w:r>
              <w:rPr>
                <w:rFonts w:ascii="Times New Roman" w:cs="Times New Roman" w:eastAsia="Times New Roman" w:hAnsi="Times New Roman"/>
                <w:sz w:val="15"/>
                <w:szCs w:val="15"/>
                <w:color w:val="231F20"/>
                <w:vertAlign w:val="superscript"/>
              </w:rPr>
              <w:t>(11)</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Series C Preferred Shares (1,816,295 shares)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4/8/2021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1,816</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1,957</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Series D Preferred Shares (1,598,874 shares)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4/8/2021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2,925</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2,099</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280,000 Series C Warrants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2/28/2020</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183</w:t>
            </w: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260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2"/>
                <w:szCs w:val="12"/>
                <w:color w:val="231F20"/>
              </w:rPr>
              <w:t>106,592 Series D Warrants</w:t>
            </w:r>
          </w:p>
        </w:tc>
        <w:tc>
          <w:tcPr>
            <w:tcW w:w="1000" w:type="dxa"/>
            <w:vAlign w:val="bottom"/>
            <w:tcBorders>
              <w:bottom w:val="single" w:sz="8" w:color="CFEDF9"/>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4/8/2021</w:t>
            </w: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94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92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120" w:type="dxa"/>
            <w:vAlign w:val="bottom"/>
            <w:tcBorders>
              <w:bottom w:val="single" w:sz="8" w:color="231F20"/>
            </w:tcBorders>
          </w:tcPr>
          <w:p>
            <w:pPr>
              <w:spacing w:after="0"/>
              <w:rPr>
                <w:sz w:val="11"/>
                <w:szCs w:val="1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100" w:type="dxa"/>
            <w:vAlign w:val="bottom"/>
            <w:tcBorders>
              <w:bottom w:val="single" w:sz="8" w:color="CFEDF9"/>
            </w:tcBorders>
          </w:tcPr>
          <w:p>
            <w:pPr>
              <w:spacing w:after="0"/>
              <w:rPr>
                <w:sz w:val="11"/>
                <w:szCs w:val="11"/>
                <w:color w:val="auto"/>
              </w:rPr>
            </w:pPr>
          </w:p>
        </w:tc>
        <w:tc>
          <w:tcPr>
            <w:tcW w:w="100" w:type="dxa"/>
            <w:vAlign w:val="bottom"/>
            <w:tcBorders>
              <w:bottom w:val="single" w:sz="8" w:color="231F20"/>
            </w:tcBorders>
          </w:tcPr>
          <w:p>
            <w:pPr>
              <w:spacing w:after="0"/>
              <w:rPr>
                <w:sz w:val="11"/>
                <w:szCs w:val="1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100" w:type="dxa"/>
            <w:vAlign w:val="bottom"/>
            <w:tcBorders>
              <w:bottom w:val="single" w:sz="8" w:color="CFEDF9"/>
            </w:tcBorders>
          </w:tcPr>
          <w:p>
            <w:pPr>
              <w:spacing w:after="0"/>
              <w:rPr>
                <w:sz w:val="11"/>
                <w:szCs w:val="1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6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6,174</w:t>
            </w:r>
          </w:p>
        </w:tc>
        <w:tc>
          <w:tcPr>
            <w:tcW w:w="100" w:type="dxa"/>
            <w:vAlign w:val="bottom"/>
            <w:shd w:val="clear" w:color="auto" w:fill="CFEDF9"/>
          </w:tcPr>
          <w:p>
            <w:pPr>
              <w:spacing w:after="0"/>
              <w:rPr>
                <w:sz w:val="12"/>
                <w:szCs w:val="12"/>
                <w:color w:val="auto"/>
              </w:rPr>
            </w:pP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5,306</w:t>
            </w:r>
          </w:p>
        </w:tc>
        <w:tc>
          <w:tcPr>
            <w:tcW w:w="10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6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Education</w:t>
            </w:r>
          </w:p>
        </w:tc>
        <w:tc>
          <w:tcPr>
            <w:tcW w:w="100" w:type="dxa"/>
            <w:vAlign w:val="bottom"/>
            <w:tcBorders>
              <w:top w:val="single" w:sz="8" w:color="CFEDF9"/>
            </w:tcBorders>
          </w:tcPr>
          <w:p>
            <w:pPr>
              <w:spacing w:after="0"/>
              <w:rPr>
                <w:sz w:val="9"/>
                <w:szCs w:val="9"/>
                <w:color w:val="auto"/>
              </w:rPr>
            </w:pPr>
          </w:p>
        </w:tc>
        <w:tc>
          <w:tcPr>
            <w:tcW w:w="260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880" w:type="dxa"/>
            <w:vAlign w:val="bottom"/>
            <w:tcBorders>
              <w:top w:val="single" w:sz="8" w:color="CFEDF9"/>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80" w:type="dxa"/>
            <w:vAlign w:val="bottom"/>
            <w:tcBorders>
              <w:top w:val="single" w:sz="8" w:color="CFEDF9"/>
            </w:tcBorders>
          </w:tcPr>
          <w:p>
            <w:pPr>
              <w:spacing w:after="0"/>
              <w:rPr>
                <w:sz w:val="9"/>
                <w:szCs w:val="9"/>
                <w:color w:val="auto"/>
              </w:rPr>
            </w:pPr>
          </w:p>
        </w:tc>
        <w:tc>
          <w:tcPr>
            <w:tcW w:w="940" w:type="dxa"/>
            <w:vAlign w:val="bottom"/>
            <w:tcBorders>
              <w:top w:val="single" w:sz="8" w:color="CFEDF9"/>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920" w:type="dxa"/>
            <w:vAlign w:val="bottom"/>
            <w:tcBorders>
              <w:top w:val="single" w:sz="8" w:color="CFEDF9"/>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120" w:type="dxa"/>
            <w:vAlign w:val="bottom"/>
            <w:tcBorders>
              <w:top w:val="single" w:sz="8" w:color="231F20"/>
            </w:tcBorders>
          </w:tcPr>
          <w:p>
            <w:pPr>
              <w:spacing w:after="0"/>
              <w:rPr>
                <w:sz w:val="9"/>
                <w:szCs w:val="9"/>
                <w:color w:val="auto"/>
              </w:rPr>
            </w:pPr>
          </w:p>
        </w:tc>
        <w:tc>
          <w:tcPr>
            <w:tcW w:w="1140" w:type="dxa"/>
            <w:vAlign w:val="bottom"/>
            <w:tcBorders>
              <w:top w:val="single" w:sz="8" w:color="231F20"/>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100" w:type="dxa"/>
            <w:vAlign w:val="bottom"/>
            <w:tcBorders>
              <w:top w:val="single" w:sz="8" w:color="231F20"/>
            </w:tcBorders>
          </w:tcPr>
          <w:p>
            <w:pPr>
              <w:spacing w:after="0"/>
              <w:rPr>
                <w:sz w:val="9"/>
                <w:szCs w:val="9"/>
                <w:color w:val="auto"/>
              </w:rPr>
            </w:pPr>
          </w:p>
        </w:tc>
        <w:tc>
          <w:tcPr>
            <w:tcW w:w="900" w:type="dxa"/>
            <w:vAlign w:val="bottom"/>
            <w:tcBorders>
              <w:top w:val="single" w:sz="8" w:color="231F20"/>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900" w:type="dxa"/>
            <w:vAlign w:val="bottom"/>
            <w:tcBorders>
              <w:top w:val="single" w:sz="8" w:color="231F2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Astra 2L Holdings II LLC </w:t>
            </w:r>
            <w:r>
              <w:rPr>
                <w:rFonts w:ascii="Times New Roman" w:cs="Times New Roman" w:eastAsia="Times New Roman" w:hAnsi="Times New Roman"/>
                <w:sz w:val="15"/>
                <w:szCs w:val="15"/>
                <w:color w:val="231F20"/>
                <w:vertAlign w:val="superscript"/>
              </w:rPr>
              <w:t>(11)</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Membership Interest (10.17% ownership)</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1/13/2022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3,255</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309</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EMS Linq, Inc. </w:t>
            </w:r>
            <w:r>
              <w:rPr>
                <w:rFonts w:ascii="Times New Roman" w:cs="Times New Roman" w:eastAsia="Times New Roman" w:hAnsi="Times New Roman"/>
                <w:sz w:val="15"/>
                <w:szCs w:val="15"/>
                <w:color w:val="231F20"/>
                <w:vertAlign w:val="superscript"/>
              </w:rPr>
              <w:t>(11)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Class B Units (5,522,526 units)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12/22/2021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5,522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4,762</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RMCF IV CIV XXXV, LP. </w:t>
            </w:r>
            <w:r>
              <w:rPr>
                <w:rFonts w:ascii="Times New Roman" w:cs="Times New Roman" w:eastAsia="Times New Roman" w:hAnsi="Times New Roman"/>
                <w:sz w:val="15"/>
                <w:szCs w:val="15"/>
                <w:color w:val="231F20"/>
                <w:vertAlign w:val="superscript"/>
              </w:rPr>
              <w:t>(11)</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Partnership Interest (11.94% ownership)</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6/8/2021</w:t>
            </w:r>
          </w:p>
        </w:tc>
        <w:tc>
          <w:tcPr>
            <w:tcW w:w="20" w:type="dxa"/>
            <w:vAlign w:val="bottom"/>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1,000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1,455</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20" w:type="dxa"/>
            <w:vAlign w:val="bottom"/>
            <w:tcBorders>
              <w:bottom w:val="single" w:sz="8" w:color="CFEDF9"/>
            </w:tcBorders>
          </w:tcPr>
          <w:p>
            <w:pPr>
              <w:spacing w:after="0"/>
              <w:rPr>
                <w:sz w:val="9"/>
                <w:szCs w:val="9"/>
                <w:color w:val="auto"/>
              </w:rPr>
            </w:pPr>
          </w:p>
        </w:tc>
        <w:tc>
          <w:tcPr>
            <w:tcW w:w="8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126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9,777</w:t>
            </w:r>
          </w:p>
        </w:tc>
        <w:tc>
          <w:tcPr>
            <w:tcW w:w="100" w:type="dxa"/>
            <w:vAlign w:val="bottom"/>
            <w:tcBorders>
              <w:top w:val="single" w:sz="8" w:color="CFEDF9"/>
              <w:bottom w:val="single" w:sz="8" w:color="CFEDF9"/>
            </w:tcBorders>
          </w:tcPr>
          <w:p>
            <w:pPr>
              <w:spacing w:after="0"/>
              <w:rPr>
                <w:sz w:val="9"/>
                <w:szCs w:val="9"/>
                <w:color w:val="auto"/>
              </w:rPr>
            </w:pPr>
          </w:p>
        </w:tc>
        <w:tc>
          <w:tcPr>
            <w:tcW w:w="100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6,526</w:t>
            </w:r>
          </w:p>
        </w:tc>
        <w:tc>
          <w:tcPr>
            <w:tcW w:w="100" w:type="dxa"/>
            <w:vAlign w:val="bottom"/>
            <w:tcBorders>
              <w:top w:val="single" w:sz="8" w:color="CFEDF9"/>
              <w:bottom w:val="single" w:sz="8" w:color="CFEDF9"/>
            </w:tcBorders>
          </w:tcPr>
          <w:p>
            <w:pPr>
              <w:spacing w:after="0"/>
              <w:rPr>
                <w:sz w:val="9"/>
                <w:szCs w:val="9"/>
                <w:color w:val="auto"/>
              </w:rPr>
            </w:pPr>
          </w:p>
        </w:tc>
        <w:tc>
          <w:tcPr>
            <w:tcW w:w="90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Financial Services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AF Eagle Parent, L.P.</w:t>
            </w:r>
            <w:r>
              <w:rPr>
                <w:rFonts w:ascii="Times New Roman" w:cs="Times New Roman" w:eastAsia="Times New Roman" w:hAnsi="Times New Roman"/>
                <w:sz w:val="15"/>
                <w:szCs w:val="15"/>
                <w:color w:val="231F20"/>
                <w:vertAlign w:val="superscript"/>
              </w:rPr>
              <w:t>(11)(12)</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Partnership (121,329 units)</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11/27/2023</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4,091</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4,091</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CLGF Holdco 2, LLC</w:t>
            </w:r>
            <w:r>
              <w:rPr>
                <w:rFonts w:ascii="Times New Roman" w:cs="Times New Roman" w:eastAsia="Times New Roman" w:hAnsi="Times New Roman"/>
                <w:sz w:val="15"/>
                <w:szCs w:val="15"/>
                <w:color w:val="231F20"/>
                <w:vertAlign w:val="superscript"/>
              </w:rPr>
              <w:t>(4)(11)(12)</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334,682 Warrants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11/7/2023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183</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183</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Newport Parent Holdings, L.P.</w:t>
            </w:r>
          </w:p>
        </w:tc>
        <w:tc>
          <w:tcPr>
            <w:tcW w:w="100" w:type="dxa"/>
            <w:vAlign w:val="bottom"/>
          </w:tcPr>
          <w:p>
            <w:pPr>
              <w:spacing w:after="0"/>
              <w:rPr>
                <w:sz w:val="11"/>
                <w:szCs w:val="11"/>
                <w:color w:val="auto"/>
              </w:rPr>
            </w:pPr>
          </w:p>
        </w:tc>
        <w:tc>
          <w:tcPr>
            <w:tcW w:w="2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Class A-2 Units (131,569 units)</w:t>
            </w:r>
          </w:p>
        </w:tc>
        <w:tc>
          <w:tcPr>
            <w:tcW w:w="10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231F20"/>
              </w:rPr>
              <w:t>12/10/2020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4,177</w:t>
            </w:r>
          </w:p>
        </w:tc>
        <w:tc>
          <w:tcPr>
            <w:tcW w:w="110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11,591</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231F20"/>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20"/>
                <w:szCs w:val="20"/>
                <w:color w:val="auto"/>
              </w:rPr>
            </w:pPr>
            <w:r>
              <w:rPr>
                <w:rFonts w:ascii="Times New Roman" w:cs="Times New Roman" w:eastAsia="Times New Roman" w:hAnsi="Times New Roman"/>
                <w:sz w:val="8"/>
                <w:szCs w:val="8"/>
                <w:color w:val="231F20"/>
              </w:rPr>
              <w:t>(11)</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156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Oxford Square Capital Corp.</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Common Shares (1,620 shares)</w:t>
            </w:r>
          </w:p>
        </w:tc>
        <w:tc>
          <w:tcPr>
            <w:tcW w:w="10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8/5/2015</w:t>
            </w:r>
          </w:p>
        </w:tc>
        <w:tc>
          <w:tcPr>
            <w:tcW w:w="20" w:type="dxa"/>
            <w:vAlign w:val="bottom"/>
            <w:vMerge w:val="continue"/>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6</w:t>
            </w:r>
          </w:p>
        </w:tc>
        <w:tc>
          <w:tcPr>
            <w:tcW w:w="110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5</w:t>
            </w:r>
          </w:p>
        </w:tc>
        <w:tc>
          <w:tcPr>
            <w:tcW w:w="900" w:type="dxa"/>
            <w:vAlign w:val="bottom"/>
            <w:tcBorders>
              <w:right w:val="single" w:sz="8" w:color="CFEDF9"/>
            </w:tcBorders>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56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(4)(10)</w:t>
            </w:r>
          </w:p>
        </w:tc>
        <w:tc>
          <w:tcPr>
            <w:tcW w:w="100" w:type="dxa"/>
            <w:vAlign w:val="bottom"/>
            <w:tcBorders>
              <w:bottom w:val="single" w:sz="8" w:color="CFEDF9"/>
            </w:tcBorders>
            <w:shd w:val="clear" w:color="auto" w:fill="CFEDF9"/>
          </w:tcPr>
          <w:p>
            <w:pPr>
              <w:spacing w:after="0"/>
              <w:rPr>
                <w:sz w:val="10"/>
                <w:szCs w:val="10"/>
                <w:color w:val="auto"/>
              </w:rPr>
            </w:pPr>
          </w:p>
        </w:tc>
        <w:tc>
          <w:tcPr>
            <w:tcW w:w="26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9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2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11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Passport Labs, Inc. </w:t>
            </w:r>
            <w:r>
              <w:rPr>
                <w:rFonts w:ascii="Times New Roman" w:cs="Times New Roman" w:eastAsia="Times New Roman" w:hAnsi="Times New Roman"/>
                <w:sz w:val="15"/>
                <w:szCs w:val="15"/>
                <w:color w:val="231F20"/>
                <w:vertAlign w:val="superscript"/>
              </w:rPr>
              <w:t>(11)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17,534 Warrants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4/28/2021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192</w:t>
            </w:r>
          </w:p>
        </w:tc>
        <w:tc>
          <w:tcPr>
            <w:tcW w:w="100" w:type="dxa"/>
            <w:vAlign w:val="bottom"/>
          </w:tcPr>
          <w:p>
            <w:pPr>
              <w:spacing w:after="0"/>
              <w:rPr>
                <w:sz w:val="11"/>
                <w:szCs w:val="1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TradingScreen, Inc. </w:t>
            </w:r>
            <w:r>
              <w:rPr>
                <w:rFonts w:ascii="Times New Roman" w:cs="Times New Roman" w:eastAsia="Times New Roman" w:hAnsi="Times New Roman"/>
                <w:sz w:val="15"/>
                <w:szCs w:val="15"/>
                <w:color w:val="231F20"/>
                <w:vertAlign w:val="superscript"/>
              </w:rPr>
              <w:t>(11)(13)</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Class A Units (600,000 units)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5/14/2021</w:t>
            </w:r>
          </w:p>
        </w:tc>
        <w:tc>
          <w:tcPr>
            <w:tcW w:w="20" w:type="dxa"/>
            <w:vAlign w:val="bottom"/>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600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600</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20" w:type="dxa"/>
            <w:vAlign w:val="bottom"/>
            <w:tcBorders>
              <w:bottom w:val="single" w:sz="8" w:color="CFEDF9"/>
            </w:tcBorders>
          </w:tcPr>
          <w:p>
            <w:pPr>
              <w:spacing w:after="0"/>
              <w:rPr>
                <w:sz w:val="9"/>
                <w:szCs w:val="9"/>
                <w:color w:val="auto"/>
              </w:rPr>
            </w:pPr>
          </w:p>
        </w:tc>
        <w:tc>
          <w:tcPr>
            <w:tcW w:w="8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126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9,249</w:t>
            </w:r>
          </w:p>
        </w:tc>
        <w:tc>
          <w:tcPr>
            <w:tcW w:w="100" w:type="dxa"/>
            <w:vAlign w:val="bottom"/>
            <w:tcBorders>
              <w:top w:val="single" w:sz="8" w:color="CFEDF9"/>
              <w:bottom w:val="single" w:sz="8" w:color="CFEDF9"/>
            </w:tcBorders>
          </w:tcPr>
          <w:p>
            <w:pPr>
              <w:spacing w:after="0"/>
              <w:rPr>
                <w:sz w:val="9"/>
                <w:szCs w:val="9"/>
                <w:color w:val="auto"/>
              </w:rPr>
            </w:pPr>
          </w:p>
        </w:tc>
        <w:tc>
          <w:tcPr>
            <w:tcW w:w="100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16,470</w:t>
            </w:r>
          </w:p>
        </w:tc>
        <w:tc>
          <w:tcPr>
            <w:tcW w:w="100" w:type="dxa"/>
            <w:vAlign w:val="bottom"/>
            <w:tcBorders>
              <w:top w:val="single" w:sz="8" w:color="CFEDF9"/>
              <w:bottom w:val="single" w:sz="8" w:color="CFEDF9"/>
            </w:tcBorders>
          </w:tcPr>
          <w:p>
            <w:pPr>
              <w:spacing w:after="0"/>
              <w:rPr>
                <w:sz w:val="9"/>
                <w:szCs w:val="9"/>
                <w:color w:val="auto"/>
              </w:rPr>
            </w:pPr>
          </w:p>
        </w:tc>
        <w:tc>
          <w:tcPr>
            <w:tcW w:w="90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Healthcare</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Caris Life Sciences, Inc. </w:t>
            </w:r>
            <w:r>
              <w:rPr>
                <w:rFonts w:ascii="Times New Roman" w:cs="Times New Roman" w:eastAsia="Times New Roman" w:hAnsi="Times New Roman"/>
                <w:sz w:val="15"/>
                <w:szCs w:val="15"/>
                <w:color w:val="231F20"/>
                <w:vertAlign w:val="superscript"/>
              </w:rPr>
              <w:t>(11)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Series C Preferred Shares (1,915,114 shares)</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10/13/2020</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3,500</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6,676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Series D Preferred Shares (1,240,740 shares)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5/11/2021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10,050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9,899</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633,376 Warrants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9/21/2018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192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1,187</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569,991 Warrants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4/2/2020</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250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885</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Merative Topco L.P. </w:t>
            </w:r>
            <w:r>
              <w:rPr>
                <w:rFonts w:ascii="Times New Roman" w:cs="Times New Roman" w:eastAsia="Times New Roman" w:hAnsi="Times New Roman"/>
                <w:sz w:val="15"/>
                <w:szCs w:val="15"/>
                <w:color w:val="231F20"/>
                <w:vertAlign w:val="superscript"/>
              </w:rPr>
              <w:t>(11)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989,691 Class A-1 Units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6/30/2022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9,897</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9,600</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Raptor US Buyer II Corp. </w:t>
            </w:r>
            <w:r>
              <w:rPr>
                <w:rFonts w:ascii="Times New Roman" w:cs="Times New Roman" w:eastAsia="Times New Roman" w:hAnsi="Times New Roman"/>
                <w:sz w:val="15"/>
                <w:szCs w:val="15"/>
                <w:color w:val="231F20"/>
                <w:vertAlign w:val="superscript"/>
              </w:rPr>
              <w:t>(11)(12)</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20,268 Ordinary Shares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3/24/2023</w:t>
            </w:r>
          </w:p>
        </w:tc>
        <w:tc>
          <w:tcPr>
            <w:tcW w:w="20" w:type="dxa"/>
            <w:vAlign w:val="bottom"/>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2,033</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2,033</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20" w:type="dxa"/>
            <w:vAlign w:val="bottom"/>
            <w:tcBorders>
              <w:bottom w:val="single" w:sz="8" w:color="CFEDF9"/>
            </w:tcBorders>
          </w:tcPr>
          <w:p>
            <w:pPr>
              <w:spacing w:after="0"/>
              <w:rPr>
                <w:sz w:val="9"/>
                <w:szCs w:val="9"/>
                <w:color w:val="auto"/>
              </w:rPr>
            </w:pPr>
          </w:p>
        </w:tc>
        <w:tc>
          <w:tcPr>
            <w:tcW w:w="8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126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25,922</w:t>
            </w:r>
          </w:p>
        </w:tc>
        <w:tc>
          <w:tcPr>
            <w:tcW w:w="100" w:type="dxa"/>
            <w:vAlign w:val="bottom"/>
            <w:tcBorders>
              <w:top w:val="single" w:sz="8" w:color="CFEDF9"/>
              <w:bottom w:val="single" w:sz="8" w:color="CFEDF9"/>
            </w:tcBorders>
          </w:tcPr>
          <w:p>
            <w:pPr>
              <w:spacing w:after="0"/>
              <w:rPr>
                <w:sz w:val="9"/>
                <w:szCs w:val="9"/>
                <w:color w:val="auto"/>
              </w:rPr>
            </w:pPr>
          </w:p>
        </w:tc>
        <w:tc>
          <w:tcPr>
            <w:tcW w:w="100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30,280</w:t>
            </w:r>
          </w:p>
        </w:tc>
        <w:tc>
          <w:tcPr>
            <w:tcW w:w="100" w:type="dxa"/>
            <w:vAlign w:val="bottom"/>
            <w:tcBorders>
              <w:top w:val="single" w:sz="8" w:color="CFEDF9"/>
              <w:bottom w:val="single" w:sz="8" w:color="CFEDF9"/>
            </w:tcBorders>
          </w:tcPr>
          <w:p>
            <w:pPr>
              <w:spacing w:after="0"/>
              <w:rPr>
                <w:sz w:val="9"/>
                <w:szCs w:val="9"/>
                <w:color w:val="auto"/>
              </w:rPr>
            </w:pPr>
          </w:p>
        </w:tc>
        <w:tc>
          <w:tcPr>
            <w:tcW w:w="90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Hotel, Gaming and Leisure</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IRGSE Holding Corp. </w:t>
            </w:r>
            <w:r>
              <w:rPr>
                <w:rFonts w:ascii="Times New Roman" w:cs="Times New Roman" w:eastAsia="Times New Roman" w:hAnsi="Times New Roman"/>
                <w:sz w:val="15"/>
                <w:szCs w:val="15"/>
                <w:color w:val="231F20"/>
                <w:vertAlign w:val="superscript"/>
              </w:rPr>
              <w:t>(7)(11)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Class A Units (33,790,171 units)</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12/21/2018</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21,842</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2,281</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6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Class C-1 Units (8,800,000 units)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12/21/2018</w:t>
            </w:r>
          </w:p>
        </w:tc>
        <w:tc>
          <w:tcPr>
            <w:tcW w:w="20" w:type="dxa"/>
            <w:vAlign w:val="bottom"/>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43</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20" w:type="dxa"/>
            <w:vAlign w:val="bottom"/>
            <w:tcBorders>
              <w:bottom w:val="single" w:sz="8" w:color="CFEDF9"/>
            </w:tcBorders>
          </w:tcPr>
          <w:p>
            <w:pPr>
              <w:spacing w:after="0"/>
              <w:rPr>
                <w:sz w:val="9"/>
                <w:szCs w:val="9"/>
                <w:color w:val="auto"/>
              </w:rPr>
            </w:pPr>
          </w:p>
        </w:tc>
        <w:tc>
          <w:tcPr>
            <w:tcW w:w="8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126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21,942</w:t>
            </w:r>
          </w:p>
        </w:tc>
        <w:tc>
          <w:tcPr>
            <w:tcW w:w="100" w:type="dxa"/>
            <w:vAlign w:val="bottom"/>
            <w:tcBorders>
              <w:top w:val="single" w:sz="8" w:color="CFEDF9"/>
              <w:bottom w:val="single" w:sz="8" w:color="CFEDF9"/>
            </w:tcBorders>
          </w:tcPr>
          <w:p>
            <w:pPr>
              <w:spacing w:after="0"/>
              <w:rPr>
                <w:sz w:val="9"/>
                <w:szCs w:val="9"/>
                <w:color w:val="auto"/>
              </w:rPr>
            </w:pPr>
          </w:p>
        </w:tc>
        <w:tc>
          <w:tcPr>
            <w:tcW w:w="100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2,324</w:t>
            </w:r>
          </w:p>
        </w:tc>
        <w:tc>
          <w:tcPr>
            <w:tcW w:w="100" w:type="dxa"/>
            <w:vAlign w:val="bottom"/>
            <w:tcBorders>
              <w:top w:val="single" w:sz="8" w:color="CFEDF9"/>
              <w:bottom w:val="single" w:sz="8" w:color="CFEDF9"/>
            </w:tcBorders>
          </w:tcPr>
          <w:p>
            <w:pPr>
              <w:spacing w:after="0"/>
              <w:rPr>
                <w:sz w:val="9"/>
                <w:szCs w:val="9"/>
                <w:color w:val="auto"/>
              </w:rPr>
            </w:pPr>
          </w:p>
        </w:tc>
        <w:tc>
          <w:tcPr>
            <w:tcW w:w="90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60" w:type="dxa"/>
            <w:vAlign w:val="bottom"/>
            <w:shd w:val="clear" w:color="auto" w:fill="CFEDF9"/>
          </w:tcPr>
          <w:p>
            <w:pPr>
              <w:spacing w:after="0" w:line="115" w:lineRule="exact"/>
              <w:rPr>
                <w:sz w:val="20"/>
                <w:szCs w:val="20"/>
                <w:color w:val="auto"/>
              </w:rPr>
            </w:pPr>
            <w:r>
              <w:rPr>
                <w:rFonts w:ascii="Times New Roman" w:cs="Times New Roman" w:eastAsia="Times New Roman" w:hAnsi="Times New Roman"/>
                <w:sz w:val="12"/>
                <w:szCs w:val="12"/>
                <w:b w:val="1"/>
                <w:bCs w:val="1"/>
                <w:color w:val="231F20"/>
              </w:rPr>
              <w:t>Human Resource Support</w:t>
            </w:r>
          </w:p>
        </w:tc>
        <w:tc>
          <w:tcPr>
            <w:tcW w:w="100" w:type="dxa"/>
            <w:vAlign w:val="bottom"/>
            <w:shd w:val="clear" w:color="auto" w:fill="CFEDF9"/>
          </w:tcPr>
          <w:p>
            <w:pPr>
              <w:spacing w:after="0"/>
              <w:rPr>
                <w:sz w:val="10"/>
                <w:szCs w:val="10"/>
                <w:color w:val="auto"/>
              </w:rPr>
            </w:pPr>
          </w:p>
        </w:tc>
        <w:tc>
          <w:tcPr>
            <w:tcW w:w="260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880" w:type="dxa"/>
            <w:vAlign w:val="bottom"/>
            <w:shd w:val="clear" w:color="auto" w:fill="CFEDF9"/>
          </w:tcPr>
          <w:p>
            <w:pPr>
              <w:spacing w:after="0"/>
              <w:rPr>
                <w:sz w:val="10"/>
                <w:szCs w:val="10"/>
                <w:color w:val="auto"/>
              </w:rPr>
            </w:pPr>
          </w:p>
        </w:tc>
        <w:tc>
          <w:tcPr>
            <w:tcW w:w="20" w:type="dxa"/>
            <w:vAlign w:val="bottom"/>
            <w:shd w:val="clear" w:color="auto" w:fill="CFEDF9"/>
          </w:tcPr>
          <w:p>
            <w:pPr>
              <w:spacing w:after="0"/>
              <w:rPr>
                <w:sz w:val="10"/>
                <w:szCs w:val="10"/>
                <w:color w:val="auto"/>
              </w:rPr>
            </w:pPr>
          </w:p>
        </w:tc>
        <w:tc>
          <w:tcPr>
            <w:tcW w:w="80" w:type="dxa"/>
            <w:vAlign w:val="bottom"/>
            <w:shd w:val="clear" w:color="auto" w:fill="CFEDF9"/>
          </w:tcPr>
          <w:p>
            <w:pPr>
              <w:spacing w:after="0"/>
              <w:rPr>
                <w:sz w:val="10"/>
                <w:szCs w:val="10"/>
                <w:color w:val="auto"/>
              </w:rPr>
            </w:pPr>
          </w:p>
        </w:tc>
        <w:tc>
          <w:tcPr>
            <w:tcW w:w="94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2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114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0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00" w:type="dxa"/>
            <w:vAlign w:val="bottom"/>
            <w:tcBorders>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Services</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8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11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0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00" w:type="dxa"/>
            <w:vAlign w:val="bottom"/>
            <w:tcBorders>
              <w:right w:val="single" w:sz="8" w:color="CFEDF9"/>
            </w:tcBorders>
            <w:shd w:val="clear" w:color="auto" w:fill="CFEDF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Axonify, Inc. </w:t>
            </w:r>
            <w:r>
              <w:rPr>
                <w:rFonts w:ascii="Times New Roman" w:cs="Times New Roman" w:eastAsia="Times New Roman" w:hAnsi="Times New Roman"/>
                <w:sz w:val="15"/>
                <w:szCs w:val="15"/>
                <w:color w:val="231F20"/>
                <w:vertAlign w:val="superscript"/>
              </w:rPr>
              <w:t>(4)(11)(13)</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Class A-1 Units (3,780,000 units)</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231F20"/>
              </w:rPr>
              <w:t>5/5/2021</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3,780</w:t>
            </w:r>
          </w:p>
        </w:tc>
        <w:tc>
          <w:tcPr>
            <w:tcW w:w="1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4,026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bswift, LLC </w:t>
            </w:r>
            <w:r>
              <w:rPr>
                <w:rFonts w:ascii="Times New Roman" w:cs="Times New Roman" w:eastAsia="Times New Roman" w:hAnsi="Times New Roman"/>
                <w:sz w:val="15"/>
                <w:szCs w:val="15"/>
                <w:color w:val="231F20"/>
                <w:vertAlign w:val="superscript"/>
              </w:rPr>
              <w:t>(11)(12)</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Class A-1 Units (2,393,509 units)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11/7/2022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2,394</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2,394</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DaySmart Holdings, LLC </w:t>
            </w:r>
            <w:r>
              <w:rPr>
                <w:rFonts w:ascii="Times New Roman" w:cs="Times New Roman" w:eastAsia="Times New Roman" w:hAnsi="Times New Roman"/>
                <w:sz w:val="15"/>
                <w:szCs w:val="15"/>
                <w:color w:val="231F20"/>
                <w:vertAlign w:val="superscript"/>
              </w:rPr>
              <w:t>(11)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Class A Units (166,811 units)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12/18/2020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1,347</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2,138</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w w:val="99"/>
              </w:rPr>
              <w:t>Employment Hero Holdings Pty</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Series E Preferred Shares (113,250 shares)</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3/1/2022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2,134</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2,605</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Ltd.</w:t>
            </w:r>
            <w:r>
              <w:rPr>
                <w:rFonts w:ascii="Times New Roman" w:cs="Times New Roman" w:eastAsia="Times New Roman" w:hAnsi="Times New Roman"/>
                <w:sz w:val="7"/>
                <w:szCs w:val="7"/>
                <w:color w:val="231F20"/>
              </w:rPr>
              <w:t xml:space="preserve"> (4)(11)</w:t>
            </w:r>
          </w:p>
        </w:tc>
        <w:tc>
          <w:tcPr>
            <w:tcW w:w="100" w:type="dxa"/>
            <w:vAlign w:val="bottom"/>
            <w:shd w:val="clear" w:color="auto" w:fill="CFEDF9"/>
          </w:tcPr>
          <w:p>
            <w:pPr>
              <w:spacing w:after="0"/>
              <w:rPr>
                <w:sz w:val="14"/>
                <w:szCs w:val="14"/>
                <w:color w:val="auto"/>
              </w:rPr>
            </w:pPr>
          </w:p>
        </w:tc>
        <w:tc>
          <w:tcPr>
            <w:tcW w:w="260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880" w:type="dxa"/>
            <w:vAlign w:val="bottom"/>
            <w:shd w:val="clear" w:color="auto" w:fill="CFEDF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94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92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114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10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(AUD 3,817)</w:t>
            </w:r>
          </w:p>
        </w:tc>
        <w:tc>
          <w:tcPr>
            <w:tcW w:w="900" w:type="dxa"/>
            <w:vAlign w:val="bottom"/>
            <w:tcBorders>
              <w:right w:val="single" w:sz="8" w:color="CFEDF9"/>
            </w:tcBorders>
            <w:shd w:val="clear" w:color="auto" w:fill="CFEDF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6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2600" w:type="dxa"/>
            <w:vAlign w:val="bottom"/>
            <w:tcBorders>
              <w:top w:val="single" w:sz="8" w:color="CFEDF9"/>
              <w:bottom w:val="single" w:sz="8" w:color="CFEDF9"/>
            </w:tcBorders>
          </w:tcPr>
          <w:p>
            <w:pPr>
              <w:spacing w:after="0"/>
              <w:rPr>
                <w:sz w:val="9"/>
                <w:szCs w:val="9"/>
                <w:color w:val="auto"/>
              </w:rPr>
            </w:pPr>
          </w:p>
        </w:tc>
        <w:tc>
          <w:tcPr>
            <w:tcW w:w="120" w:type="dxa"/>
            <w:vAlign w:val="bottom"/>
            <w:tcBorders>
              <w:top w:val="single" w:sz="8" w:color="CFEDF9"/>
              <w:bottom w:val="single" w:sz="8" w:color="CFEDF9"/>
            </w:tcBorders>
          </w:tcPr>
          <w:p>
            <w:pPr>
              <w:spacing w:after="0"/>
              <w:rPr>
                <w:sz w:val="9"/>
                <w:szCs w:val="9"/>
                <w:color w:val="auto"/>
              </w:rPr>
            </w:pPr>
          </w:p>
        </w:tc>
        <w:tc>
          <w:tcPr>
            <w:tcW w:w="880" w:type="dxa"/>
            <w:vAlign w:val="bottom"/>
            <w:tcBorders>
              <w:top w:val="single" w:sz="8" w:color="CFEDF9"/>
              <w:bottom w:val="single" w:sz="8" w:color="CFEDF9"/>
            </w:tcBorders>
          </w:tcPr>
          <w:p>
            <w:pPr>
              <w:spacing w:after="0"/>
              <w:rPr>
                <w:sz w:val="9"/>
                <w:szCs w:val="9"/>
                <w:color w:val="auto"/>
              </w:rPr>
            </w:pPr>
          </w:p>
        </w:tc>
        <w:tc>
          <w:tcPr>
            <w:tcW w:w="20" w:type="dxa"/>
            <w:vAlign w:val="bottom"/>
            <w:tcBorders>
              <w:bottom w:val="single" w:sz="8" w:color="CFEDF9"/>
            </w:tcBorders>
          </w:tcPr>
          <w:p>
            <w:pPr>
              <w:spacing w:after="0"/>
              <w:rPr>
                <w:sz w:val="9"/>
                <w:szCs w:val="9"/>
                <w:color w:val="auto"/>
              </w:rPr>
            </w:pPr>
          </w:p>
        </w:tc>
        <w:tc>
          <w:tcPr>
            <w:tcW w:w="80" w:type="dxa"/>
            <w:vAlign w:val="bottom"/>
            <w:tcBorders>
              <w:top w:val="single" w:sz="8" w:color="CFEDF9"/>
              <w:bottom w:val="single" w:sz="8" w:color="CFEDF9"/>
            </w:tcBorders>
          </w:tcPr>
          <w:p>
            <w:pPr>
              <w:spacing w:after="0"/>
              <w:rPr>
                <w:sz w:val="9"/>
                <w:szCs w:val="9"/>
                <w:color w:val="auto"/>
              </w:rPr>
            </w:pPr>
          </w:p>
        </w:tc>
        <w:tc>
          <w:tcPr>
            <w:tcW w:w="94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920" w:type="dxa"/>
            <w:vAlign w:val="bottom"/>
            <w:tcBorders>
              <w:top w:val="single" w:sz="8" w:color="CFEDF9"/>
              <w:bottom w:val="single" w:sz="8" w:color="CFEDF9"/>
            </w:tcBorders>
          </w:tcPr>
          <w:p>
            <w:pPr>
              <w:spacing w:after="0"/>
              <w:rPr>
                <w:sz w:val="9"/>
                <w:szCs w:val="9"/>
                <w:color w:val="auto"/>
              </w:rPr>
            </w:pPr>
          </w:p>
        </w:tc>
        <w:tc>
          <w:tcPr>
            <w:tcW w:w="100" w:type="dxa"/>
            <w:vAlign w:val="bottom"/>
            <w:tcBorders>
              <w:top w:val="single" w:sz="8" w:color="CFEDF9"/>
              <w:bottom w:val="single" w:sz="8" w:color="CFEDF9"/>
            </w:tcBorders>
          </w:tcPr>
          <w:p>
            <w:pPr>
              <w:spacing w:after="0"/>
              <w:rPr>
                <w:sz w:val="9"/>
                <w:szCs w:val="9"/>
                <w:color w:val="auto"/>
              </w:rPr>
            </w:pPr>
          </w:p>
        </w:tc>
        <w:tc>
          <w:tcPr>
            <w:tcW w:w="126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9,655</w:t>
            </w:r>
          </w:p>
        </w:tc>
        <w:tc>
          <w:tcPr>
            <w:tcW w:w="100" w:type="dxa"/>
            <w:vAlign w:val="bottom"/>
            <w:tcBorders>
              <w:top w:val="single" w:sz="8" w:color="CFEDF9"/>
              <w:bottom w:val="single" w:sz="8" w:color="CFEDF9"/>
            </w:tcBorders>
          </w:tcPr>
          <w:p>
            <w:pPr>
              <w:spacing w:after="0"/>
              <w:rPr>
                <w:sz w:val="9"/>
                <w:szCs w:val="9"/>
                <w:color w:val="auto"/>
              </w:rPr>
            </w:pPr>
          </w:p>
        </w:tc>
        <w:tc>
          <w:tcPr>
            <w:tcW w:w="1000" w:type="dxa"/>
            <w:vAlign w:val="bottom"/>
            <w:tcBorders>
              <w:top w:val="single" w:sz="8" w:color="231F20"/>
              <w:bottom w:val="single" w:sz="8" w:color="231F20"/>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231F20"/>
              </w:rPr>
              <w:t>11,163</w:t>
            </w:r>
          </w:p>
        </w:tc>
        <w:tc>
          <w:tcPr>
            <w:tcW w:w="100" w:type="dxa"/>
            <w:vAlign w:val="bottom"/>
            <w:tcBorders>
              <w:top w:val="single" w:sz="8" w:color="CFEDF9"/>
              <w:bottom w:val="single" w:sz="8" w:color="CFEDF9"/>
            </w:tcBorders>
          </w:tcPr>
          <w:p>
            <w:pPr>
              <w:spacing w:after="0"/>
              <w:rPr>
                <w:sz w:val="9"/>
                <w:szCs w:val="9"/>
                <w:color w:val="auto"/>
              </w:rPr>
            </w:pPr>
          </w:p>
        </w:tc>
        <w:tc>
          <w:tcPr>
            <w:tcW w:w="900" w:type="dxa"/>
            <w:vAlign w:val="bottom"/>
            <w:tcBorders>
              <w:top w:val="single" w:sz="8" w:color="231F20"/>
              <w:bottom w:val="single" w:sz="8" w:color="231F20"/>
            </w:tcBorders>
          </w:tcPr>
          <w:p>
            <w:pPr>
              <w:jc w:val="right"/>
              <w:spacing w:after="0" w:line="108" w:lineRule="exact"/>
              <w:rPr>
                <w:sz w:val="20"/>
                <w:szCs w:val="20"/>
                <w:color w:val="auto"/>
              </w:rPr>
            </w:pPr>
            <w:r>
              <w:rPr>
                <w:rFonts w:ascii="Times New Roman" w:cs="Times New Roman" w:eastAsia="Times New Roman" w:hAnsi="Times New Roman"/>
                <w:sz w:val="12"/>
                <w:szCs w:val="12"/>
                <w:color w:val="231F20"/>
              </w:rPr>
              <w:t>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Internet Services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1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Bayshore Intermediate #2, L.P.</w:t>
            </w:r>
          </w:p>
        </w:tc>
        <w:tc>
          <w:tcPr>
            <w:tcW w:w="100" w:type="dxa"/>
            <w:vAlign w:val="bottom"/>
          </w:tcPr>
          <w:p>
            <w:pPr>
              <w:spacing w:after="0"/>
              <w:rPr>
                <w:sz w:val="11"/>
                <w:szCs w:val="11"/>
                <w:color w:val="auto"/>
              </w:rPr>
            </w:pPr>
          </w:p>
        </w:tc>
        <w:tc>
          <w:tcPr>
            <w:tcW w:w="2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Co-Invest Common Units (8,837,008 units)</w:t>
            </w:r>
          </w:p>
        </w:tc>
        <w:tc>
          <w:tcPr>
            <w:tcW w:w="1100" w:type="dxa"/>
            <w:vAlign w:val="bottom"/>
            <w:gridSpan w:val="4"/>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10/1/2021</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231F20"/>
              </w:rPr>
              <w:t>8,837</w:t>
            </w:r>
          </w:p>
        </w:tc>
        <w:tc>
          <w:tcPr>
            <w:tcW w:w="100" w:type="dxa"/>
            <w:vAlign w:val="bottom"/>
          </w:tcPr>
          <w:p>
            <w:pPr>
              <w:spacing w:after="0"/>
              <w:rPr>
                <w:sz w:val="11"/>
                <w:szCs w:val="11"/>
                <w:color w:val="auto"/>
              </w:rPr>
            </w:pPr>
          </w:p>
        </w:tc>
        <w:tc>
          <w:tcPr>
            <w:tcW w:w="10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231F20"/>
              </w:rPr>
              <w:t>8,461</w:t>
            </w:r>
          </w:p>
        </w:tc>
        <w:tc>
          <w:tcPr>
            <w:tcW w:w="10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231F20"/>
              </w:rPr>
              <w:t>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20"/>
                <w:szCs w:val="20"/>
                <w:color w:val="auto"/>
              </w:rPr>
            </w:pPr>
            <w:r>
              <w:rPr>
                <w:rFonts w:ascii="Times New Roman" w:cs="Times New Roman" w:eastAsia="Times New Roman" w:hAnsi="Times New Roman"/>
                <w:sz w:val="8"/>
                <w:szCs w:val="8"/>
                <w:color w:val="231F20"/>
              </w:rPr>
              <w:t>(11)(13)</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156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Co-Invest 2 Common Units (3,493,701 units)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10/1/2021</w:t>
            </w:r>
          </w:p>
        </w:tc>
        <w:tc>
          <w:tcPr>
            <w:tcW w:w="20" w:type="dxa"/>
            <w:vAlign w:val="bottom"/>
            <w:vMerge w:val="continue"/>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3,494</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3,345</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Lucidworks, Inc. </w:t>
            </w:r>
            <w:r>
              <w:rPr>
                <w:rFonts w:ascii="Times New Roman" w:cs="Times New Roman" w:eastAsia="Times New Roman" w:hAnsi="Times New Roman"/>
                <w:sz w:val="15"/>
                <w:szCs w:val="15"/>
                <w:color w:val="231F20"/>
                <w:vertAlign w:val="superscript"/>
              </w:rPr>
              <w:t>(11)</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Series F Preferred Shares (199,054 shares)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8/2/2019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800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800</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Piano Software, Inc. </w:t>
            </w:r>
            <w:r>
              <w:rPr>
                <w:rFonts w:ascii="Times New Roman" w:cs="Times New Roman" w:eastAsia="Times New Roman" w:hAnsi="Times New Roman"/>
                <w:sz w:val="15"/>
                <w:szCs w:val="15"/>
                <w:color w:val="231F20"/>
                <w:vertAlign w:val="superscript"/>
              </w:rPr>
              <w:t>(11)</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Series C-1 Preferred Shares (418,527 shares)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12/22/2021</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3,000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3,000</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Series C-2 Preferred Shares (27,588 shares)</w:t>
            </w:r>
            <w:r>
              <w:rPr>
                <w:rFonts w:ascii="Times New Roman" w:cs="Times New Roman" w:eastAsia="Times New Roman" w:hAnsi="Times New Roman"/>
                <w:sz w:val="15"/>
                <w:szCs w:val="15"/>
                <w:color w:val="231F20"/>
                <w:vertAlign w:val="superscript"/>
              </w:rPr>
              <w:t>(12)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11/18/2022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198</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198</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SMA Technologies Holdings,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Class A Units (1,300 shares)</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11/21/2022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1,300</w:t>
            </w:r>
          </w:p>
        </w:tc>
        <w:tc>
          <w:tcPr>
            <w:tcW w:w="110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1,300</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 xml:space="preserve"> (11)(12)</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11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260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2"/>
                <w:szCs w:val="12"/>
                <w:color w:val="231F20"/>
              </w:rPr>
              <w:t>Class B Units (923,250 shares)</w:t>
            </w:r>
          </w:p>
        </w:tc>
        <w:tc>
          <w:tcPr>
            <w:tcW w:w="1000" w:type="dxa"/>
            <w:vAlign w:val="bottom"/>
            <w:tcBorders>
              <w:bottom w:val="single" w:sz="8" w:color="CFEDF9"/>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11/21/2022</w:t>
            </w: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94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92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120" w:type="dxa"/>
            <w:vAlign w:val="bottom"/>
            <w:tcBorders>
              <w:bottom w:val="single" w:sz="8" w:color="231F20"/>
            </w:tcBorders>
          </w:tcPr>
          <w:p>
            <w:pPr>
              <w:spacing w:after="0"/>
              <w:rPr>
                <w:sz w:val="11"/>
                <w:szCs w:val="1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100" w:type="dxa"/>
            <w:vAlign w:val="bottom"/>
            <w:tcBorders>
              <w:bottom w:val="single" w:sz="8" w:color="CFEDF9"/>
            </w:tcBorders>
          </w:tcPr>
          <w:p>
            <w:pPr>
              <w:spacing w:after="0"/>
              <w:rPr>
                <w:sz w:val="11"/>
                <w:szCs w:val="11"/>
                <w:color w:val="auto"/>
              </w:rPr>
            </w:pPr>
          </w:p>
        </w:tc>
        <w:tc>
          <w:tcPr>
            <w:tcW w:w="100" w:type="dxa"/>
            <w:vAlign w:val="bottom"/>
            <w:tcBorders>
              <w:bottom w:val="single" w:sz="8" w:color="231F20"/>
            </w:tcBorders>
          </w:tcPr>
          <w:p>
            <w:pPr>
              <w:spacing w:after="0"/>
              <w:rPr>
                <w:sz w:val="11"/>
                <w:szCs w:val="1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100" w:type="dxa"/>
            <w:vAlign w:val="bottom"/>
            <w:tcBorders>
              <w:bottom w:val="single" w:sz="8" w:color="CFEDF9"/>
            </w:tcBorders>
          </w:tcPr>
          <w:p>
            <w:pPr>
              <w:spacing w:after="0"/>
              <w:rPr>
                <w:sz w:val="11"/>
                <w:szCs w:val="1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6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17,629</w:t>
            </w:r>
          </w:p>
        </w:tc>
        <w:tc>
          <w:tcPr>
            <w:tcW w:w="100" w:type="dxa"/>
            <w:vAlign w:val="bottom"/>
            <w:shd w:val="clear" w:color="auto" w:fill="CFEDF9"/>
          </w:tcPr>
          <w:p>
            <w:pPr>
              <w:spacing w:after="0"/>
              <w:rPr>
                <w:sz w:val="12"/>
                <w:szCs w:val="12"/>
                <w:color w:val="auto"/>
              </w:rPr>
            </w:pP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17,104</w:t>
            </w:r>
          </w:p>
        </w:tc>
        <w:tc>
          <w:tcPr>
            <w:tcW w:w="10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6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Marketing Services</w:t>
            </w:r>
          </w:p>
        </w:tc>
        <w:tc>
          <w:tcPr>
            <w:tcW w:w="100" w:type="dxa"/>
            <w:vAlign w:val="bottom"/>
            <w:tcBorders>
              <w:top w:val="single" w:sz="8" w:color="CFEDF9"/>
            </w:tcBorders>
          </w:tcPr>
          <w:p>
            <w:pPr>
              <w:spacing w:after="0"/>
              <w:rPr>
                <w:sz w:val="9"/>
                <w:szCs w:val="9"/>
                <w:color w:val="auto"/>
              </w:rPr>
            </w:pPr>
          </w:p>
        </w:tc>
        <w:tc>
          <w:tcPr>
            <w:tcW w:w="260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880" w:type="dxa"/>
            <w:vAlign w:val="bottom"/>
            <w:tcBorders>
              <w:top w:val="single" w:sz="8" w:color="CFEDF9"/>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80" w:type="dxa"/>
            <w:vAlign w:val="bottom"/>
            <w:tcBorders>
              <w:top w:val="single" w:sz="8" w:color="CFEDF9"/>
            </w:tcBorders>
          </w:tcPr>
          <w:p>
            <w:pPr>
              <w:spacing w:after="0"/>
              <w:rPr>
                <w:sz w:val="9"/>
                <w:szCs w:val="9"/>
                <w:color w:val="auto"/>
              </w:rPr>
            </w:pPr>
          </w:p>
        </w:tc>
        <w:tc>
          <w:tcPr>
            <w:tcW w:w="940" w:type="dxa"/>
            <w:vAlign w:val="bottom"/>
            <w:tcBorders>
              <w:top w:val="single" w:sz="8" w:color="CFEDF9"/>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920" w:type="dxa"/>
            <w:vAlign w:val="bottom"/>
            <w:tcBorders>
              <w:top w:val="single" w:sz="8" w:color="CFEDF9"/>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120" w:type="dxa"/>
            <w:vAlign w:val="bottom"/>
            <w:tcBorders>
              <w:top w:val="single" w:sz="8" w:color="231F20"/>
            </w:tcBorders>
          </w:tcPr>
          <w:p>
            <w:pPr>
              <w:spacing w:after="0"/>
              <w:rPr>
                <w:sz w:val="9"/>
                <w:szCs w:val="9"/>
                <w:color w:val="auto"/>
              </w:rPr>
            </w:pPr>
          </w:p>
        </w:tc>
        <w:tc>
          <w:tcPr>
            <w:tcW w:w="1140" w:type="dxa"/>
            <w:vAlign w:val="bottom"/>
            <w:tcBorders>
              <w:top w:val="single" w:sz="8" w:color="231F20"/>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100" w:type="dxa"/>
            <w:vAlign w:val="bottom"/>
            <w:tcBorders>
              <w:top w:val="single" w:sz="8" w:color="231F20"/>
            </w:tcBorders>
          </w:tcPr>
          <w:p>
            <w:pPr>
              <w:spacing w:after="0"/>
              <w:rPr>
                <w:sz w:val="9"/>
                <w:szCs w:val="9"/>
                <w:color w:val="auto"/>
              </w:rPr>
            </w:pPr>
          </w:p>
        </w:tc>
        <w:tc>
          <w:tcPr>
            <w:tcW w:w="900" w:type="dxa"/>
            <w:vAlign w:val="bottom"/>
            <w:tcBorders>
              <w:top w:val="single" w:sz="8" w:color="231F20"/>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900" w:type="dxa"/>
            <w:vAlign w:val="bottom"/>
            <w:tcBorders>
              <w:top w:val="single" w:sz="8" w:color="231F2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Validity, Inc.</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Series A Preferred Shares (3,840,000 shares)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5/31/2018</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3,840</w:t>
            </w:r>
          </w:p>
        </w:tc>
        <w:tc>
          <w:tcPr>
            <w:tcW w:w="11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10,368</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60" w:type="dxa"/>
            <w:vAlign w:val="bottom"/>
          </w:tcPr>
          <w:p>
            <w:pPr>
              <w:spacing w:after="0" w:line="125" w:lineRule="exact"/>
              <w:rPr>
                <w:sz w:val="20"/>
                <w:szCs w:val="20"/>
                <w:color w:val="auto"/>
              </w:rPr>
            </w:pPr>
            <w:r>
              <w:rPr>
                <w:rFonts w:ascii="Times New Roman" w:cs="Times New Roman" w:eastAsia="Times New Roman" w:hAnsi="Times New Roman"/>
                <w:sz w:val="12"/>
                <w:szCs w:val="12"/>
                <w:b w:val="1"/>
                <w:bCs w:val="1"/>
                <w:color w:val="231F20"/>
              </w:rPr>
              <w:t>Oil, Gas and Consumable</w:t>
            </w:r>
          </w:p>
        </w:tc>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Fuels</w:t>
            </w:r>
          </w:p>
        </w:tc>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6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Murchison Oil and Gas, LLC</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13,355 Preferred Units</w:t>
            </w:r>
          </w:p>
        </w:tc>
        <w:tc>
          <w:tcPr>
            <w:tcW w:w="10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6/30/2022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13,355</w:t>
            </w:r>
          </w:p>
        </w:tc>
        <w:tc>
          <w:tcPr>
            <w:tcW w:w="110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14,156</w:t>
            </w:r>
          </w:p>
        </w:tc>
        <w:tc>
          <w:tcPr>
            <w:tcW w:w="900" w:type="dxa"/>
            <w:vAlign w:val="bottom"/>
            <w:tcBorders>
              <w:right w:val="single" w:sz="8" w:color="CFEDF9"/>
            </w:tcBorders>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56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(13)</w:t>
            </w:r>
          </w:p>
        </w:tc>
        <w:tc>
          <w:tcPr>
            <w:tcW w:w="100" w:type="dxa"/>
            <w:vAlign w:val="bottom"/>
            <w:tcBorders>
              <w:bottom w:val="single" w:sz="8" w:color="CFEDF9"/>
            </w:tcBorders>
            <w:shd w:val="clear" w:color="auto" w:fill="CFEDF9"/>
          </w:tcPr>
          <w:p>
            <w:pPr>
              <w:spacing w:after="0"/>
              <w:rPr>
                <w:sz w:val="10"/>
                <w:szCs w:val="10"/>
                <w:color w:val="auto"/>
              </w:rPr>
            </w:pPr>
          </w:p>
        </w:tc>
        <w:tc>
          <w:tcPr>
            <w:tcW w:w="26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9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2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11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60" w:type="dxa"/>
            <w:vAlign w:val="bottom"/>
            <w:tcBorders>
              <w:bottom w:val="single" w:sz="8" w:color="CFEDF9"/>
            </w:tcBorders>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TRP Assets, LLC </w:t>
            </w:r>
            <w:r>
              <w:rPr>
                <w:rFonts w:ascii="Times New Roman" w:cs="Times New Roman" w:eastAsia="Times New Roman" w:hAnsi="Times New Roman"/>
                <w:sz w:val="15"/>
                <w:szCs w:val="15"/>
                <w:color w:val="231F20"/>
                <w:vertAlign w:val="superscript"/>
              </w:rPr>
              <w:t>(11)(13)</w:t>
            </w:r>
          </w:p>
        </w:tc>
        <w:tc>
          <w:tcPr>
            <w:tcW w:w="100" w:type="dxa"/>
            <w:vAlign w:val="bottom"/>
            <w:tcBorders>
              <w:bottom w:val="single" w:sz="8" w:color="CFEDF9"/>
            </w:tcBorders>
          </w:tcPr>
          <w:p>
            <w:pPr>
              <w:spacing w:after="0"/>
              <w:rPr>
                <w:sz w:val="11"/>
                <w:szCs w:val="11"/>
                <w:color w:val="auto"/>
              </w:rPr>
            </w:pPr>
          </w:p>
        </w:tc>
        <w:tc>
          <w:tcPr>
            <w:tcW w:w="260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2"/>
                <w:szCs w:val="12"/>
                <w:color w:val="231F20"/>
              </w:rPr>
              <w:t>Partnership Interest (1.89% ownership)</w:t>
            </w:r>
          </w:p>
        </w:tc>
        <w:tc>
          <w:tcPr>
            <w:tcW w:w="1000" w:type="dxa"/>
            <w:vAlign w:val="bottom"/>
            <w:tcBorders>
              <w:bottom w:val="single" w:sz="8" w:color="CFEDF9"/>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8/25/2022</w:t>
            </w: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94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92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12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8,755</w:t>
            </w:r>
          </w:p>
        </w:tc>
        <w:tc>
          <w:tcPr>
            <w:tcW w:w="100" w:type="dxa"/>
            <w:vAlign w:val="bottom"/>
            <w:tcBorders>
              <w:bottom w:val="single" w:sz="8" w:color="CFEDF9"/>
            </w:tcBorders>
          </w:tcPr>
          <w:p>
            <w:pPr>
              <w:spacing w:after="0"/>
              <w:rPr>
                <w:sz w:val="11"/>
                <w:szCs w:val="11"/>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11,513</w:t>
            </w:r>
          </w:p>
        </w:tc>
        <w:tc>
          <w:tcPr>
            <w:tcW w:w="100" w:type="dxa"/>
            <w:vAlign w:val="bottom"/>
            <w:tcBorders>
              <w:bottom w:val="single" w:sz="8" w:color="CFEDF9"/>
            </w:tcBorders>
          </w:tcPr>
          <w:p>
            <w:pPr>
              <w:spacing w:after="0"/>
              <w:rPr>
                <w:sz w:val="11"/>
                <w:szCs w:val="1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6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22,110</w:t>
            </w:r>
          </w:p>
        </w:tc>
        <w:tc>
          <w:tcPr>
            <w:tcW w:w="100" w:type="dxa"/>
            <w:vAlign w:val="bottom"/>
            <w:shd w:val="clear" w:color="auto" w:fill="CFEDF9"/>
          </w:tcPr>
          <w:p>
            <w:pPr>
              <w:spacing w:after="0"/>
              <w:rPr>
                <w:sz w:val="12"/>
                <w:szCs w:val="12"/>
                <w:color w:val="auto"/>
              </w:rPr>
            </w:pP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25,669</w:t>
            </w:r>
          </w:p>
        </w:tc>
        <w:tc>
          <w:tcPr>
            <w:tcW w:w="10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6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Pharmaceuticals</w:t>
            </w:r>
          </w:p>
        </w:tc>
        <w:tc>
          <w:tcPr>
            <w:tcW w:w="100" w:type="dxa"/>
            <w:vAlign w:val="bottom"/>
            <w:tcBorders>
              <w:top w:val="single" w:sz="8" w:color="CFEDF9"/>
            </w:tcBorders>
          </w:tcPr>
          <w:p>
            <w:pPr>
              <w:spacing w:after="0"/>
              <w:rPr>
                <w:sz w:val="9"/>
                <w:szCs w:val="9"/>
                <w:color w:val="auto"/>
              </w:rPr>
            </w:pPr>
          </w:p>
        </w:tc>
        <w:tc>
          <w:tcPr>
            <w:tcW w:w="260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880" w:type="dxa"/>
            <w:vAlign w:val="bottom"/>
            <w:tcBorders>
              <w:top w:val="single" w:sz="8" w:color="CFEDF9"/>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80" w:type="dxa"/>
            <w:vAlign w:val="bottom"/>
            <w:tcBorders>
              <w:top w:val="single" w:sz="8" w:color="CFEDF9"/>
            </w:tcBorders>
          </w:tcPr>
          <w:p>
            <w:pPr>
              <w:spacing w:after="0"/>
              <w:rPr>
                <w:sz w:val="9"/>
                <w:szCs w:val="9"/>
                <w:color w:val="auto"/>
              </w:rPr>
            </w:pPr>
          </w:p>
        </w:tc>
        <w:tc>
          <w:tcPr>
            <w:tcW w:w="940" w:type="dxa"/>
            <w:vAlign w:val="bottom"/>
            <w:tcBorders>
              <w:top w:val="single" w:sz="8" w:color="CFEDF9"/>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920" w:type="dxa"/>
            <w:vAlign w:val="bottom"/>
            <w:tcBorders>
              <w:top w:val="single" w:sz="8" w:color="CFEDF9"/>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120" w:type="dxa"/>
            <w:vAlign w:val="bottom"/>
            <w:tcBorders>
              <w:top w:val="single" w:sz="8" w:color="231F20"/>
            </w:tcBorders>
          </w:tcPr>
          <w:p>
            <w:pPr>
              <w:spacing w:after="0"/>
              <w:rPr>
                <w:sz w:val="9"/>
                <w:szCs w:val="9"/>
                <w:color w:val="auto"/>
              </w:rPr>
            </w:pPr>
          </w:p>
        </w:tc>
        <w:tc>
          <w:tcPr>
            <w:tcW w:w="1140" w:type="dxa"/>
            <w:vAlign w:val="bottom"/>
            <w:tcBorders>
              <w:top w:val="single" w:sz="8" w:color="231F20"/>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100" w:type="dxa"/>
            <w:vAlign w:val="bottom"/>
            <w:tcBorders>
              <w:top w:val="single" w:sz="8" w:color="231F20"/>
            </w:tcBorders>
          </w:tcPr>
          <w:p>
            <w:pPr>
              <w:spacing w:after="0"/>
              <w:rPr>
                <w:sz w:val="9"/>
                <w:szCs w:val="9"/>
                <w:color w:val="auto"/>
              </w:rPr>
            </w:pPr>
          </w:p>
        </w:tc>
        <w:tc>
          <w:tcPr>
            <w:tcW w:w="900" w:type="dxa"/>
            <w:vAlign w:val="bottom"/>
            <w:tcBorders>
              <w:top w:val="single" w:sz="8" w:color="231F20"/>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900" w:type="dxa"/>
            <w:vAlign w:val="bottom"/>
            <w:tcBorders>
              <w:top w:val="single" w:sz="8" w:color="231F2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TherapeuticsMD, Inc. </w:t>
            </w:r>
            <w:r>
              <w:rPr>
                <w:rFonts w:ascii="Times New Roman" w:cs="Times New Roman" w:eastAsia="Times New Roman" w:hAnsi="Times New Roman"/>
                <w:sz w:val="15"/>
                <w:szCs w:val="15"/>
                <w:color w:val="231F20"/>
                <w:vertAlign w:val="superscript"/>
              </w:rPr>
              <w:t>(4)(11)</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14,256 Warrants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8/5/2020</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3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1,029</w:t>
            </w: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60" w:type="dxa"/>
            <w:vAlign w:val="bottom"/>
            <w:shd w:val="clear" w:color="auto" w:fill="CFEDF9"/>
          </w:tcPr>
          <w:p>
            <w:pPr>
              <w:spacing w:after="0" w:line="125" w:lineRule="exact"/>
              <w:rPr>
                <w:sz w:val="20"/>
                <w:szCs w:val="20"/>
                <w:color w:val="auto"/>
              </w:rPr>
            </w:pPr>
            <w:r>
              <w:rPr>
                <w:rFonts w:ascii="Times New Roman" w:cs="Times New Roman" w:eastAsia="Times New Roman" w:hAnsi="Times New Roman"/>
                <w:sz w:val="12"/>
                <w:szCs w:val="12"/>
                <w:b w:val="1"/>
                <w:bCs w:val="1"/>
                <w:color w:val="231F20"/>
              </w:rPr>
              <w:t>Retail and Consumer</w:t>
            </w:r>
          </w:p>
        </w:tc>
        <w:tc>
          <w:tcPr>
            <w:tcW w:w="100" w:type="dxa"/>
            <w:vAlign w:val="bottom"/>
            <w:shd w:val="clear" w:color="auto" w:fill="CFEDF9"/>
          </w:tcPr>
          <w:p>
            <w:pPr>
              <w:spacing w:after="0"/>
              <w:rPr>
                <w:sz w:val="10"/>
                <w:szCs w:val="10"/>
                <w:color w:val="auto"/>
              </w:rPr>
            </w:pPr>
          </w:p>
        </w:tc>
        <w:tc>
          <w:tcPr>
            <w:tcW w:w="260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880" w:type="dxa"/>
            <w:vAlign w:val="bottom"/>
            <w:shd w:val="clear" w:color="auto" w:fill="CFEDF9"/>
          </w:tcPr>
          <w:p>
            <w:pPr>
              <w:spacing w:after="0"/>
              <w:rPr>
                <w:sz w:val="10"/>
                <w:szCs w:val="10"/>
                <w:color w:val="auto"/>
              </w:rPr>
            </w:pPr>
          </w:p>
        </w:tc>
        <w:tc>
          <w:tcPr>
            <w:tcW w:w="20" w:type="dxa"/>
            <w:vAlign w:val="bottom"/>
            <w:shd w:val="clear" w:color="auto" w:fill="CFEDF9"/>
          </w:tcPr>
          <w:p>
            <w:pPr>
              <w:spacing w:after="0"/>
              <w:rPr>
                <w:sz w:val="10"/>
                <w:szCs w:val="10"/>
                <w:color w:val="auto"/>
              </w:rPr>
            </w:pPr>
          </w:p>
        </w:tc>
        <w:tc>
          <w:tcPr>
            <w:tcW w:w="80" w:type="dxa"/>
            <w:vAlign w:val="bottom"/>
            <w:shd w:val="clear" w:color="auto" w:fill="CFEDF9"/>
          </w:tcPr>
          <w:p>
            <w:pPr>
              <w:spacing w:after="0"/>
              <w:rPr>
                <w:sz w:val="10"/>
                <w:szCs w:val="10"/>
                <w:color w:val="auto"/>
              </w:rPr>
            </w:pPr>
          </w:p>
        </w:tc>
        <w:tc>
          <w:tcPr>
            <w:tcW w:w="94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2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114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0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00" w:type="dxa"/>
            <w:vAlign w:val="bottom"/>
            <w:tcBorders>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Products</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8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11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0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00" w:type="dxa"/>
            <w:vAlign w:val="bottom"/>
            <w:tcBorders>
              <w:right w:val="single" w:sz="8" w:color="CFEDF9"/>
            </w:tcBorders>
            <w:shd w:val="clear" w:color="auto" w:fill="CFEDF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American Achievement, Corp.</w:t>
            </w:r>
          </w:p>
        </w:tc>
        <w:tc>
          <w:tcPr>
            <w:tcW w:w="100" w:type="dxa"/>
            <w:vAlign w:val="bottom"/>
          </w:tcPr>
          <w:p>
            <w:pPr>
              <w:spacing w:after="0"/>
              <w:rPr>
                <w:sz w:val="11"/>
                <w:szCs w:val="11"/>
                <w:color w:val="auto"/>
              </w:rPr>
            </w:pPr>
          </w:p>
        </w:tc>
        <w:tc>
          <w:tcPr>
            <w:tcW w:w="2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Class A Units (687 units)</w:t>
            </w:r>
          </w:p>
        </w:tc>
        <w:tc>
          <w:tcPr>
            <w:tcW w:w="1100" w:type="dxa"/>
            <w:vAlign w:val="bottom"/>
            <w:gridSpan w:val="4"/>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3/16/2021</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w:t>
            </w:r>
          </w:p>
        </w:tc>
        <w:tc>
          <w:tcPr>
            <w:tcW w:w="110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50</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20"/>
                <w:szCs w:val="20"/>
                <w:color w:val="auto"/>
              </w:rPr>
            </w:pPr>
            <w:r>
              <w:rPr>
                <w:rFonts w:ascii="Times New Roman" w:cs="Times New Roman" w:eastAsia="Times New Roman" w:hAnsi="Times New Roman"/>
                <w:sz w:val="8"/>
                <w:szCs w:val="8"/>
                <w:color w:val="231F20"/>
              </w:rPr>
              <w:t>(11)</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Copper Bidco, LLC</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Trust Certificates (132,928 Certificates)</w:t>
            </w: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12/7/2020</w:t>
            </w:r>
          </w:p>
        </w:tc>
        <w:tc>
          <w:tcPr>
            <w:tcW w:w="20" w:type="dxa"/>
            <w:vAlign w:val="bottom"/>
            <w:vMerge w:val="continue"/>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12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900" w:type="dxa"/>
            <w:vAlign w:val="bottom"/>
            <w:tcBorders>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Trust Certificates (996,958 Certificates) </w:t>
            </w:r>
            <w:r>
              <w:rPr>
                <w:rFonts w:ascii="Times New Roman" w:cs="Times New Roman" w:eastAsia="Times New Roman" w:hAnsi="Times New Roman"/>
                <w:sz w:val="15"/>
                <w:szCs w:val="15"/>
                <w:color w:val="231F20"/>
                <w:vertAlign w:val="superscript"/>
              </w:rPr>
              <w:t>(9)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1/30/2021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2,589</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10,089</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Borders>
              <w:bottom w:val="single" w:sz="8" w:color="CFEDF9"/>
            </w:tcBorders>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Neuintel, LLC </w:t>
            </w:r>
            <w:r>
              <w:rPr>
                <w:rFonts w:ascii="Times New Roman" w:cs="Times New Roman" w:eastAsia="Times New Roman" w:hAnsi="Times New Roman"/>
                <w:sz w:val="15"/>
                <w:szCs w:val="15"/>
                <w:color w:val="231F20"/>
                <w:vertAlign w:val="superscript"/>
              </w:rPr>
              <w:t>(11)(13)</w:t>
            </w:r>
          </w:p>
        </w:tc>
        <w:tc>
          <w:tcPr>
            <w:tcW w:w="100" w:type="dxa"/>
            <w:vAlign w:val="bottom"/>
            <w:tcBorders>
              <w:bottom w:val="single" w:sz="8" w:color="CFEDF9"/>
            </w:tcBorders>
            <w:shd w:val="clear" w:color="auto" w:fill="CFEDF9"/>
          </w:tcPr>
          <w:p>
            <w:pPr>
              <w:spacing w:after="0"/>
              <w:rPr>
                <w:sz w:val="11"/>
                <w:szCs w:val="11"/>
                <w:color w:val="auto"/>
              </w:rPr>
            </w:pPr>
          </w:p>
        </w:tc>
        <w:tc>
          <w:tcPr>
            <w:tcW w:w="260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12"/>
                <w:szCs w:val="12"/>
                <w:color w:val="231F20"/>
              </w:rPr>
              <w:t>Class A Units (1,176,494 units)</w:t>
            </w:r>
          </w:p>
        </w:tc>
        <w:tc>
          <w:tcPr>
            <w:tcW w:w="1000" w:type="dxa"/>
            <w:vAlign w:val="bottom"/>
            <w:tcBorders>
              <w:bottom w:val="single" w:sz="8" w:color="CFEDF9"/>
            </w:tcBorders>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12/21/2021</w:t>
            </w:r>
          </w:p>
        </w:tc>
        <w:tc>
          <w:tcPr>
            <w:tcW w:w="20" w:type="dxa"/>
            <w:vAlign w:val="bottom"/>
          </w:tcPr>
          <w:p>
            <w:pPr>
              <w:spacing w:after="0"/>
              <w:rPr>
                <w:sz w:val="11"/>
                <w:szCs w:val="11"/>
                <w:color w:val="auto"/>
              </w:rPr>
            </w:pPr>
          </w:p>
        </w:tc>
        <w:tc>
          <w:tcPr>
            <w:tcW w:w="80" w:type="dxa"/>
            <w:vAlign w:val="bottom"/>
            <w:tcBorders>
              <w:bottom w:val="single" w:sz="8" w:color="CFEDF9"/>
            </w:tcBorders>
            <w:shd w:val="clear" w:color="auto" w:fill="CFEDF9"/>
          </w:tcPr>
          <w:p>
            <w:pPr>
              <w:spacing w:after="0"/>
              <w:rPr>
                <w:sz w:val="11"/>
                <w:szCs w:val="11"/>
                <w:color w:val="auto"/>
              </w:rPr>
            </w:pPr>
          </w:p>
        </w:tc>
        <w:tc>
          <w:tcPr>
            <w:tcW w:w="940" w:type="dxa"/>
            <w:vAlign w:val="bottom"/>
            <w:tcBorders>
              <w:bottom w:val="single" w:sz="8" w:color="CFEDF9"/>
            </w:tcBorders>
            <w:shd w:val="clear" w:color="auto" w:fill="CFEDF9"/>
          </w:tcPr>
          <w:p>
            <w:pPr>
              <w:spacing w:after="0"/>
              <w:rPr>
                <w:sz w:val="11"/>
                <w:szCs w:val="11"/>
                <w:color w:val="auto"/>
              </w:rPr>
            </w:pPr>
          </w:p>
        </w:tc>
        <w:tc>
          <w:tcPr>
            <w:tcW w:w="100" w:type="dxa"/>
            <w:vAlign w:val="bottom"/>
            <w:tcBorders>
              <w:bottom w:val="single" w:sz="8" w:color="CFEDF9"/>
            </w:tcBorders>
            <w:shd w:val="clear" w:color="auto" w:fill="CFEDF9"/>
          </w:tcPr>
          <w:p>
            <w:pPr>
              <w:spacing w:after="0"/>
              <w:rPr>
                <w:sz w:val="11"/>
                <w:szCs w:val="11"/>
                <w:color w:val="auto"/>
              </w:rPr>
            </w:pPr>
          </w:p>
        </w:tc>
        <w:tc>
          <w:tcPr>
            <w:tcW w:w="920" w:type="dxa"/>
            <w:vAlign w:val="bottom"/>
            <w:tcBorders>
              <w:bottom w:val="single" w:sz="8" w:color="CFEDF9"/>
            </w:tcBorders>
            <w:shd w:val="clear" w:color="auto" w:fill="CFEDF9"/>
          </w:tcPr>
          <w:p>
            <w:pPr>
              <w:spacing w:after="0"/>
              <w:rPr>
                <w:sz w:val="11"/>
                <w:szCs w:val="11"/>
                <w:color w:val="auto"/>
              </w:rPr>
            </w:pPr>
          </w:p>
        </w:tc>
        <w:tc>
          <w:tcPr>
            <w:tcW w:w="100" w:type="dxa"/>
            <w:vAlign w:val="bottom"/>
            <w:tcBorders>
              <w:bottom w:val="single" w:sz="8" w:color="CFEDF9"/>
            </w:tcBorders>
            <w:shd w:val="clear" w:color="auto" w:fill="CFEDF9"/>
          </w:tcPr>
          <w:p>
            <w:pPr>
              <w:spacing w:after="0"/>
              <w:rPr>
                <w:sz w:val="11"/>
                <w:szCs w:val="11"/>
                <w:color w:val="auto"/>
              </w:rPr>
            </w:pPr>
          </w:p>
        </w:tc>
        <w:tc>
          <w:tcPr>
            <w:tcW w:w="1260" w:type="dxa"/>
            <w:vAlign w:val="bottom"/>
            <w:tcBorders>
              <w:bottom w:val="single" w:sz="8" w:color="231F20"/>
            </w:tcBorders>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3,000</w:t>
            </w:r>
          </w:p>
        </w:tc>
        <w:tc>
          <w:tcPr>
            <w:tcW w:w="100" w:type="dxa"/>
            <w:vAlign w:val="bottom"/>
            <w:tcBorders>
              <w:bottom w:val="single" w:sz="8" w:color="CFEDF9"/>
            </w:tcBorders>
            <w:shd w:val="clear" w:color="auto" w:fill="CFEDF9"/>
          </w:tcPr>
          <w:p>
            <w:pPr>
              <w:spacing w:after="0"/>
              <w:rPr>
                <w:sz w:val="11"/>
                <w:szCs w:val="11"/>
                <w:color w:val="auto"/>
              </w:rPr>
            </w:pPr>
          </w:p>
        </w:tc>
        <w:tc>
          <w:tcPr>
            <w:tcW w:w="1000" w:type="dxa"/>
            <w:vAlign w:val="bottom"/>
            <w:tcBorders>
              <w:bottom w:val="single" w:sz="8" w:color="231F20"/>
            </w:tcBorders>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2,430</w:t>
            </w:r>
          </w:p>
        </w:tc>
        <w:tc>
          <w:tcPr>
            <w:tcW w:w="100" w:type="dxa"/>
            <w:vAlign w:val="bottom"/>
            <w:tcBorders>
              <w:bottom w:val="single" w:sz="8" w:color="CFEDF9"/>
            </w:tcBorders>
            <w:shd w:val="clear" w:color="auto" w:fill="CFEDF9"/>
          </w:tcPr>
          <w:p>
            <w:pPr>
              <w:spacing w:after="0"/>
              <w:rPr>
                <w:sz w:val="11"/>
                <w:szCs w:val="11"/>
                <w:color w:val="auto"/>
              </w:rPr>
            </w:pPr>
          </w:p>
        </w:tc>
        <w:tc>
          <w:tcPr>
            <w:tcW w:w="900" w:type="dxa"/>
            <w:vAlign w:val="bottom"/>
            <w:tcBorders>
              <w:bottom w:val="single" w:sz="8" w:color="231F20"/>
              <w:righ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740" w:top="937" w:right="740" w:bottom="175" w:gutter="0" w:footer="0" w:header="0"/>
        </w:sectPr>
      </w:pP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F-8</w:t>
      </w:r>
    </w:p>
    <w:p>
      <w:pPr>
        <w:sectPr>
          <w:pgSz w:w="12240" w:h="15840" w:orient="portrait"/>
          <w:cols w:equalWidth="0" w:num="1">
            <w:col w:w="10760"/>
          </w:cols>
          <w:pgMar w:left="740" w:top="937" w:right="740" w:bottom="175"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Initial</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231F20"/>
                <w:w w:val="97"/>
              </w:rPr>
              <w:t>Reference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rPr>
              <w:t>Acquisition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231F20"/>
                <w:w w:val="99"/>
              </w:rPr>
              <w:t>Rate and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231F20"/>
                <w:w w:val="98"/>
              </w:rPr>
              <w:t>Amortized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231F20"/>
                <w:w w:val="98"/>
              </w:rPr>
              <w:t>Percentage</w:t>
            </w:r>
          </w:p>
        </w:tc>
        <w:tc>
          <w:tcPr>
            <w:tcW w:w="0" w:type="dxa"/>
            <w:vAlign w:val="bottom"/>
          </w:tcPr>
          <w:p>
            <w:pPr>
              <w:spacing w:after="0"/>
              <w:rPr>
                <w:sz w:val="1"/>
                <w:szCs w:val="1"/>
                <w:color w:val="auto"/>
              </w:rPr>
            </w:pPr>
          </w:p>
        </w:tc>
      </w:tr>
      <w:tr>
        <w:trPr>
          <w:trHeight w:val="151"/>
        </w:trPr>
        <w:tc>
          <w:tcPr>
            <w:tcW w:w="1560" w:type="dxa"/>
            <w:vAlign w:val="bottom"/>
          </w:tcPr>
          <w:p>
            <w:pPr>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Company </w:t>
            </w:r>
            <w:r>
              <w:rPr>
                <w:rFonts w:ascii="Times New Roman" w:cs="Times New Roman" w:eastAsia="Times New Roman" w:hAnsi="Times New Roman"/>
                <w:sz w:val="16"/>
                <w:szCs w:val="16"/>
                <w:b w:val="1"/>
                <w:bCs w:val="1"/>
                <w:color w:val="231F20"/>
                <w:vertAlign w:val="superscript"/>
              </w:rPr>
              <w:t>(1)</w:t>
            </w:r>
          </w:p>
        </w:tc>
        <w:tc>
          <w:tcPr>
            <w:tcW w:w="100" w:type="dxa"/>
            <w:vAlign w:val="bottom"/>
          </w:tcPr>
          <w:p>
            <w:pPr>
              <w:spacing w:after="0"/>
              <w:rPr>
                <w:sz w:val="13"/>
                <w:szCs w:val="13"/>
                <w:color w:val="auto"/>
              </w:rPr>
            </w:pPr>
          </w:p>
        </w:tc>
        <w:tc>
          <w:tcPr>
            <w:tcW w:w="26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231F20"/>
              </w:rPr>
              <w:t>Investment</w:t>
            </w:r>
          </w:p>
        </w:tc>
        <w:tc>
          <w:tcPr>
            <w:tcW w:w="1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231F20"/>
              </w:rPr>
              <w:t>Spread</w:t>
            </w:r>
          </w:p>
        </w:tc>
        <w:tc>
          <w:tcPr>
            <w:tcW w:w="100" w:type="dxa"/>
            <w:vAlign w:val="bottom"/>
          </w:tcPr>
          <w:p>
            <w:pPr>
              <w:spacing w:after="0"/>
              <w:rPr>
                <w:sz w:val="13"/>
                <w:szCs w:val="13"/>
                <w:color w:val="auto"/>
              </w:rPr>
            </w:pPr>
          </w:p>
        </w:tc>
        <w:tc>
          <w:tcPr>
            <w:tcW w:w="1260" w:type="dxa"/>
            <w:vAlign w:val="bottom"/>
            <w:gridSpan w:val="3"/>
          </w:tcPr>
          <w:p>
            <w:pPr>
              <w:jc w:val="right"/>
              <w:ind w:right="405"/>
              <w:spacing w:after="0"/>
              <w:rPr>
                <w:sz w:val="20"/>
                <w:szCs w:val="20"/>
                <w:color w:val="auto"/>
              </w:rPr>
            </w:pPr>
            <w:r>
              <w:rPr>
                <w:rFonts w:ascii="Times New Roman" w:cs="Times New Roman" w:eastAsia="Times New Roman" w:hAnsi="Times New Roman"/>
                <w:sz w:val="12"/>
                <w:szCs w:val="12"/>
                <w:b w:val="1"/>
                <w:bCs w:val="1"/>
                <w:color w:val="231F20"/>
              </w:rPr>
              <w:t>Interest Rate</w:t>
            </w:r>
          </w:p>
        </w:tc>
        <w:tc>
          <w:tcPr>
            <w:tcW w:w="112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7"/>
                <w:szCs w:val="17"/>
                <w:b w:val="1"/>
                <w:bCs w:val="1"/>
                <w:color w:val="231F20"/>
                <w:vertAlign w:val="subscript"/>
              </w:rPr>
              <w:t>Cost</w:t>
            </w:r>
            <w:r>
              <w:rPr>
                <w:rFonts w:ascii="Times New Roman" w:cs="Times New Roman" w:eastAsia="Times New Roman" w:hAnsi="Times New Roman"/>
                <w:sz w:val="7"/>
                <w:szCs w:val="7"/>
                <w:b w:val="1"/>
                <w:bCs w:val="1"/>
                <w:color w:val="231F20"/>
              </w:rPr>
              <w:t xml:space="preserve"> (2)(8)</w:t>
            </w:r>
          </w:p>
        </w:tc>
        <w:tc>
          <w:tcPr>
            <w:tcW w:w="140" w:type="dxa"/>
            <w:vAlign w:val="bottom"/>
          </w:tcPr>
          <w:p>
            <w:pPr>
              <w:spacing w:after="0"/>
              <w:rPr>
                <w:sz w:val="13"/>
                <w:szCs w:val="13"/>
                <w:color w:val="auto"/>
              </w:rPr>
            </w:pPr>
          </w:p>
        </w:tc>
        <w:tc>
          <w:tcPr>
            <w:tcW w:w="96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Fair Value </w:t>
            </w:r>
            <w:r>
              <w:rPr>
                <w:rFonts w:ascii="Times New Roman" w:cs="Times New Roman" w:eastAsia="Times New Roman" w:hAnsi="Times New Roman"/>
                <w:sz w:val="16"/>
                <w:szCs w:val="16"/>
                <w:b w:val="1"/>
                <w:bCs w:val="1"/>
                <w:color w:val="231F20"/>
                <w:vertAlign w:val="superscript"/>
              </w:rPr>
              <w:t>(9)</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231F20"/>
                <w:w w:val="99"/>
              </w:rPr>
              <w:t>of Net Assets</w:t>
            </w:r>
          </w:p>
        </w:tc>
        <w:tc>
          <w:tcPr>
            <w:tcW w:w="0" w:type="dxa"/>
            <w:vAlign w:val="bottom"/>
          </w:tcPr>
          <w:p>
            <w:pPr>
              <w:spacing w:after="0"/>
              <w:rPr>
                <w:sz w:val="1"/>
                <w:szCs w:val="1"/>
                <w:color w:val="auto"/>
              </w:rPr>
            </w:pPr>
          </w:p>
        </w:tc>
      </w:tr>
      <w:tr>
        <w:trPr>
          <w:trHeight w:val="128"/>
        </w:trPr>
        <w:tc>
          <w:tcPr>
            <w:tcW w:w="156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Borders>
              <w:top w:val="single" w:sz="8" w:color="231F20"/>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231F20"/>
            </w:tcBorders>
          </w:tcPr>
          <w:p>
            <w:pPr>
              <w:spacing w:after="0"/>
              <w:rPr>
                <w:sz w:val="11"/>
                <w:szCs w:val="11"/>
                <w:color w:val="auto"/>
              </w:rPr>
            </w:pPr>
          </w:p>
        </w:tc>
        <w:tc>
          <w:tcPr>
            <w:tcW w:w="1020" w:type="dxa"/>
            <w:vAlign w:val="bottom"/>
            <w:tcBorders>
              <w:top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5,589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231F20"/>
            </w:tcBorders>
          </w:tcPr>
          <w:p>
            <w:pPr>
              <w:spacing w:after="0"/>
              <w:rPr>
                <w:sz w:val="11"/>
                <w:szCs w:val="11"/>
                <w:color w:val="auto"/>
              </w:rPr>
            </w:pPr>
          </w:p>
        </w:tc>
        <w:tc>
          <w:tcPr>
            <w:tcW w:w="860" w:type="dxa"/>
            <w:vAlign w:val="bottom"/>
            <w:tcBorders>
              <w:top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12,569</w:t>
            </w:r>
          </w:p>
        </w:tc>
        <w:tc>
          <w:tcPr>
            <w:tcW w:w="100" w:type="dxa"/>
            <w:vAlign w:val="bottom"/>
            <w:gridSpan w:val="2"/>
          </w:tcPr>
          <w:p>
            <w:pPr>
              <w:spacing w:after="0"/>
              <w:rPr>
                <w:sz w:val="11"/>
                <w:szCs w:val="11"/>
                <w:color w:val="auto"/>
              </w:rPr>
            </w:pPr>
          </w:p>
        </w:tc>
        <w:tc>
          <w:tcPr>
            <w:tcW w:w="900" w:type="dxa"/>
            <w:vAlign w:val="bottom"/>
            <w:tcBorders>
              <w:top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60" w:type="dxa"/>
            <w:vAlign w:val="bottom"/>
            <w:tcBorders>
              <w:top w:val="single" w:sz="8" w:color="CFEDF9"/>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Structured Credit</w:t>
            </w:r>
          </w:p>
        </w:tc>
        <w:tc>
          <w:tcPr>
            <w:tcW w:w="100" w:type="dxa"/>
            <w:vAlign w:val="bottom"/>
            <w:tcBorders>
              <w:top w:val="single" w:sz="8" w:color="CFEDF9"/>
            </w:tcBorders>
            <w:shd w:val="clear" w:color="auto" w:fill="CFEDF9"/>
          </w:tcPr>
          <w:p>
            <w:pPr>
              <w:spacing w:after="0"/>
              <w:rPr>
                <w:sz w:val="11"/>
                <w:szCs w:val="11"/>
                <w:color w:val="auto"/>
              </w:rPr>
            </w:pPr>
          </w:p>
        </w:tc>
        <w:tc>
          <w:tcPr>
            <w:tcW w:w="260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880" w:type="dxa"/>
            <w:vAlign w:val="bottom"/>
            <w:tcBorders>
              <w:top w:val="single" w:sz="8" w:color="CFEDF9"/>
            </w:tcBorders>
            <w:shd w:val="clear" w:color="auto" w:fill="CFEDF9"/>
          </w:tcPr>
          <w:p>
            <w:pPr>
              <w:spacing w:after="0"/>
              <w:rPr>
                <w:sz w:val="11"/>
                <w:szCs w:val="11"/>
                <w:color w:val="auto"/>
              </w:rPr>
            </w:pPr>
          </w:p>
        </w:tc>
        <w:tc>
          <w:tcPr>
            <w:tcW w:w="20" w:type="dxa"/>
            <w:vAlign w:val="bottom"/>
            <w:tcBorders>
              <w:top w:val="single" w:sz="8" w:color="CFEDF9"/>
            </w:tcBorders>
            <w:shd w:val="clear" w:color="auto" w:fill="CFEDF9"/>
          </w:tcPr>
          <w:p>
            <w:pPr>
              <w:spacing w:after="0"/>
              <w:rPr>
                <w:sz w:val="11"/>
                <w:szCs w:val="11"/>
                <w:color w:val="auto"/>
              </w:rPr>
            </w:pPr>
          </w:p>
        </w:tc>
        <w:tc>
          <w:tcPr>
            <w:tcW w:w="80" w:type="dxa"/>
            <w:vAlign w:val="bottom"/>
            <w:tcBorders>
              <w:top w:val="single" w:sz="8" w:color="CFEDF9"/>
            </w:tcBorders>
            <w:shd w:val="clear" w:color="auto" w:fill="CFEDF9"/>
          </w:tcPr>
          <w:p>
            <w:pPr>
              <w:spacing w:after="0"/>
              <w:rPr>
                <w:sz w:val="11"/>
                <w:szCs w:val="11"/>
                <w:color w:val="auto"/>
              </w:rPr>
            </w:pPr>
          </w:p>
        </w:tc>
        <w:tc>
          <w:tcPr>
            <w:tcW w:w="940" w:type="dxa"/>
            <w:vAlign w:val="bottom"/>
            <w:tcBorders>
              <w:top w:val="single" w:sz="8" w:color="CFEDF9"/>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920" w:type="dxa"/>
            <w:vAlign w:val="bottom"/>
            <w:tcBorders>
              <w:top w:val="single" w:sz="8" w:color="CFEDF9"/>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240" w:type="dxa"/>
            <w:vAlign w:val="bottom"/>
            <w:tcBorders>
              <w:top w:val="single" w:sz="8" w:color="231F20"/>
            </w:tcBorders>
            <w:shd w:val="clear" w:color="auto" w:fill="CFEDF9"/>
          </w:tcPr>
          <w:p>
            <w:pPr>
              <w:spacing w:after="0"/>
              <w:rPr>
                <w:sz w:val="11"/>
                <w:szCs w:val="11"/>
                <w:color w:val="auto"/>
              </w:rPr>
            </w:pPr>
          </w:p>
        </w:tc>
        <w:tc>
          <w:tcPr>
            <w:tcW w:w="1020" w:type="dxa"/>
            <w:vAlign w:val="bottom"/>
            <w:tcBorders>
              <w:top w:val="single" w:sz="8" w:color="231F20"/>
            </w:tcBorders>
            <w:shd w:val="clear" w:color="auto" w:fill="CFEDF9"/>
          </w:tcPr>
          <w:p>
            <w:pPr>
              <w:spacing w:after="0"/>
              <w:rPr>
                <w:sz w:val="11"/>
                <w:szCs w:val="11"/>
                <w:color w:val="auto"/>
              </w:rPr>
            </w:pPr>
          </w:p>
        </w:tc>
        <w:tc>
          <w:tcPr>
            <w:tcW w:w="20" w:type="dxa"/>
            <w:vAlign w:val="bottom"/>
            <w:tcBorders>
              <w:top w:val="single" w:sz="8" w:color="CFEDF9"/>
            </w:tcBorders>
            <w:shd w:val="clear" w:color="auto" w:fill="CFEDF9"/>
          </w:tcPr>
          <w:p>
            <w:pPr>
              <w:spacing w:after="0"/>
              <w:rPr>
                <w:sz w:val="11"/>
                <w:szCs w:val="11"/>
                <w:color w:val="auto"/>
              </w:rPr>
            </w:pPr>
          </w:p>
        </w:tc>
        <w:tc>
          <w:tcPr>
            <w:tcW w:w="80" w:type="dxa"/>
            <w:vAlign w:val="bottom"/>
            <w:tcBorders>
              <w:top w:val="single" w:sz="8" w:color="CFEDF9"/>
            </w:tcBorders>
            <w:shd w:val="clear" w:color="auto" w:fill="CFEDF9"/>
          </w:tcPr>
          <w:p>
            <w:pPr>
              <w:spacing w:after="0"/>
              <w:rPr>
                <w:sz w:val="11"/>
                <w:szCs w:val="11"/>
                <w:color w:val="auto"/>
              </w:rPr>
            </w:pPr>
          </w:p>
        </w:tc>
        <w:tc>
          <w:tcPr>
            <w:tcW w:w="140" w:type="dxa"/>
            <w:vAlign w:val="bottom"/>
            <w:tcBorders>
              <w:top w:val="single" w:sz="8" w:color="231F20"/>
            </w:tcBorders>
            <w:shd w:val="clear" w:color="auto" w:fill="CFEDF9"/>
          </w:tcPr>
          <w:p>
            <w:pPr>
              <w:spacing w:after="0"/>
              <w:rPr>
                <w:sz w:val="11"/>
                <w:szCs w:val="11"/>
                <w:color w:val="auto"/>
              </w:rPr>
            </w:pPr>
          </w:p>
        </w:tc>
        <w:tc>
          <w:tcPr>
            <w:tcW w:w="860" w:type="dxa"/>
            <w:vAlign w:val="bottom"/>
            <w:tcBorders>
              <w:top w:val="single" w:sz="8" w:color="231F20"/>
            </w:tcBorders>
            <w:shd w:val="clear" w:color="auto" w:fill="CFEDF9"/>
          </w:tcPr>
          <w:p>
            <w:pPr>
              <w:spacing w:after="0"/>
              <w:rPr>
                <w:sz w:val="11"/>
                <w:szCs w:val="11"/>
                <w:color w:val="auto"/>
              </w:rPr>
            </w:pPr>
          </w:p>
        </w:tc>
        <w:tc>
          <w:tcPr>
            <w:tcW w:w="20" w:type="dxa"/>
            <w:vAlign w:val="bottom"/>
            <w:tcBorders>
              <w:top w:val="single" w:sz="8" w:color="CFEDF9"/>
            </w:tcBorders>
            <w:shd w:val="clear" w:color="auto" w:fill="CFEDF9"/>
          </w:tcPr>
          <w:p>
            <w:pPr>
              <w:spacing w:after="0"/>
              <w:rPr>
                <w:sz w:val="11"/>
                <w:szCs w:val="11"/>
                <w:color w:val="auto"/>
              </w:rPr>
            </w:pPr>
          </w:p>
        </w:tc>
        <w:tc>
          <w:tcPr>
            <w:tcW w:w="80" w:type="dxa"/>
            <w:vAlign w:val="bottom"/>
            <w:tcBorders>
              <w:top w:val="single" w:sz="8" w:color="CFEDF9"/>
            </w:tcBorders>
            <w:shd w:val="clear" w:color="auto" w:fill="CFEDF9"/>
          </w:tcPr>
          <w:p>
            <w:pPr>
              <w:spacing w:after="0"/>
              <w:rPr>
                <w:sz w:val="11"/>
                <w:szCs w:val="11"/>
                <w:color w:val="auto"/>
              </w:rPr>
            </w:pPr>
          </w:p>
        </w:tc>
        <w:tc>
          <w:tcPr>
            <w:tcW w:w="900" w:type="dxa"/>
            <w:vAlign w:val="bottom"/>
            <w:tcBorders>
              <w:top w:val="single" w:sz="8" w:color="231F20"/>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Allegro CLO Ltd, Series 2018-</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6/2031)</w:t>
            </w:r>
          </w:p>
        </w:tc>
        <w:tc>
          <w:tcPr>
            <w:tcW w:w="1100" w:type="dxa"/>
            <w:vAlign w:val="bottom"/>
            <w:gridSpan w:val="4"/>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5/26/2022</w:t>
            </w: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+ 3.11%</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8.51%</w:t>
            </w:r>
          </w:p>
        </w:tc>
        <w:tc>
          <w:tcPr>
            <w:tcW w:w="240" w:type="dxa"/>
            <w:vAlign w:val="bottom"/>
          </w:tcPr>
          <w:p>
            <w:pPr>
              <w:spacing w:after="0"/>
              <w:rPr>
                <w:sz w:val="11"/>
                <w:szCs w:val="11"/>
                <w:color w:val="auto"/>
              </w:rPr>
            </w:pPr>
          </w:p>
        </w:tc>
        <w:tc>
          <w:tcPr>
            <w:tcW w:w="10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983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971</w:t>
            </w:r>
          </w:p>
        </w:tc>
        <w:tc>
          <w:tcPr>
            <w:tcW w:w="80" w:type="dxa"/>
            <w:vAlign w:val="bottom"/>
          </w:tcPr>
          <w:p>
            <w:pPr>
              <w:spacing w:after="0"/>
              <w:rPr>
                <w:sz w:val="11"/>
                <w:szCs w:val="11"/>
                <w:color w:val="auto"/>
              </w:rPr>
            </w:pP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1A,</w:t>
            </w:r>
            <w:r>
              <w:rPr>
                <w:rFonts w:ascii="Times New Roman" w:cs="Times New Roman" w:eastAsia="Times New Roman" w:hAnsi="Times New Roman"/>
                <w:sz w:val="7"/>
                <w:szCs w:val="7"/>
                <w:color w:val="231F20"/>
              </w:rPr>
              <w:t xml:space="preserve"> (3)(4)(9)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American Money Management</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($1,500 par, due 5/2031)</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6/22/2022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+ 3.31%</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8.70%</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1,359</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1,475</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Corp CLO Ltd, Series 2016-</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40" w:type="dxa"/>
            <w:vAlign w:val="bottom"/>
            <w:shd w:val="clear" w:color="auto" w:fill="CFEDF9"/>
          </w:tcPr>
          <w:p>
            <w:pPr>
              <w:spacing w:after="0"/>
              <w:rPr>
                <w:sz w:val="11"/>
                <w:szCs w:val="11"/>
                <w:color w:val="auto"/>
              </w:rPr>
            </w:pPr>
          </w:p>
        </w:tc>
        <w:tc>
          <w:tcPr>
            <w:tcW w:w="102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8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18A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w w:val="98"/>
              </w:rPr>
              <w:t>Ares CLO Ltd, Series 2021-59A</w:t>
            </w:r>
          </w:p>
        </w:tc>
        <w:tc>
          <w:tcPr>
            <w:tcW w:w="100" w:type="dxa"/>
            <w:vAlign w:val="bottom"/>
          </w:tcPr>
          <w:p>
            <w:pPr>
              <w:spacing w:after="0"/>
              <w:rPr>
                <w:sz w:val="11"/>
                <w:szCs w:val="11"/>
                <w:color w:val="auto"/>
              </w:rPr>
            </w:pPr>
          </w:p>
        </w:tc>
        <w:tc>
          <w:tcPr>
            <w:tcW w:w="2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Structured Credit ($1,000 par, due 4/2034)</w:t>
            </w:r>
          </w:p>
        </w:tc>
        <w:tc>
          <w:tcPr>
            <w:tcW w:w="10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231F20"/>
              </w:rPr>
              <w:t>6/23/2022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color w:val="231F20"/>
                <w:w w:val="97"/>
              </w:rPr>
              <w:t>SOFR + 6.51%</w:t>
            </w:r>
          </w:p>
        </w:tc>
        <w:tc>
          <w:tcPr>
            <w:tcW w:w="112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11.89%</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898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967</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20"/>
                <w:szCs w:val="20"/>
                <w:color w:val="auto"/>
              </w:rPr>
            </w:pPr>
            <w:r>
              <w:rPr>
                <w:rFonts w:ascii="Times New Roman" w:cs="Times New Roman" w:eastAsia="Times New Roman" w:hAnsi="Times New Roman"/>
                <w:sz w:val="8"/>
                <w:szCs w:val="8"/>
                <w:color w:val="231F20"/>
              </w:rPr>
              <w:t>(3)(4)(9)</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w w:val="99"/>
              </w:rPr>
              <w:t>Ares Loan Funding I Ltd,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10/2034)</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6/24/2022</w:t>
            </w:r>
          </w:p>
        </w:tc>
        <w:tc>
          <w:tcPr>
            <w:tcW w:w="20" w:type="dxa"/>
            <w:vAlign w:val="bottom"/>
            <w:vMerge w:val="continue"/>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+ 6.96%</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12.36%</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944</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988</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2021-ALFA, Class E </w:t>
            </w:r>
            <w:r>
              <w:rPr>
                <w:rFonts w:ascii="Times New Roman" w:cs="Times New Roman" w:eastAsia="Times New Roman" w:hAnsi="Times New Roman"/>
                <w:sz w:val="16"/>
                <w:szCs w:val="16"/>
                <w:color w:val="231F20"/>
                <w:vertAlign w:val="superscript"/>
              </w:rPr>
              <w:t>(3)(4)(9)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Bain Capital Credit CLO Ltd,</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($500 par, due 4/2031)</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10/15/2020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+ 5.61%</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11.02%</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429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445</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2018-1A </w:t>
            </w:r>
            <w:r>
              <w:rPr>
                <w:rFonts w:ascii="Times New Roman" w:cs="Times New Roman" w:eastAsia="Times New Roman" w:hAnsi="Times New Roman"/>
                <w:sz w:val="16"/>
                <w:szCs w:val="16"/>
                <w:color w:val="231F20"/>
                <w:vertAlign w:val="superscript"/>
              </w:rPr>
              <w:t>(3)(4)(9)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Battalion CLO Ltd,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($1,300 par, due 7/2034)</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7/13/2022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+ 3.56%</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8.96%</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1,170</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1,252</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2021-21A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Benefit Street Partners CLO</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($2,500 par, due 7/2034)</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7/13/2022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+ 4.11%</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9.53%</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2,194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2,465</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Ltd, Series 2015-BR </w:t>
            </w:r>
            <w:r>
              <w:rPr>
                <w:rFonts w:ascii="Times New Roman" w:cs="Times New Roman" w:eastAsia="Times New Roman" w:hAnsi="Times New Roman"/>
                <w:sz w:val="16"/>
                <w:szCs w:val="16"/>
                <w:color w:val="231F20"/>
                <w:vertAlign w:val="superscript"/>
              </w:rPr>
              <w:t>(3)(4)(9)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Benefit Street Partners CLO</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($1,425 par, due 1/2031)</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9/13/2022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+ 3.01%</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8.43%</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1,289</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1,367</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Ltd, Series 2015-8A </w:t>
            </w:r>
            <w:r>
              <w:rPr>
                <w:rFonts w:ascii="Times New Roman" w:cs="Times New Roman" w:eastAsia="Times New Roman" w:hAnsi="Times New Roman"/>
                <w:sz w:val="16"/>
                <w:szCs w:val="16"/>
                <w:color w:val="231F20"/>
                <w:vertAlign w:val="superscript"/>
              </w:rPr>
              <w:t>(3)(4)(9)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Carlyle Global Market</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7/2030)</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5/26/2022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+ 3.16%</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8.56%</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962</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231F20"/>
              </w:rPr>
              <w:t>Strategies CLO Ltd, Series</w:t>
            </w: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2014-4RA</w:t>
            </w:r>
            <w:r>
              <w:rPr>
                <w:rFonts w:ascii="Times New Roman" w:cs="Times New Roman" w:eastAsia="Times New Roman" w:hAnsi="Times New Roman"/>
                <w:sz w:val="7"/>
                <w:szCs w:val="7"/>
                <w:color w:val="231F20"/>
              </w:rPr>
              <w:t xml:space="preserve"> (3)(4)(9)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Carlyle Global Market</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($1,600 par, due 4/2034)</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2/15/2023</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+ 6.86%</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12.28%</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1,430</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1,521</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Strategies CLO Ltd,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40" w:type="dxa"/>
            <w:vAlign w:val="bottom"/>
            <w:shd w:val="clear" w:color="auto" w:fill="CFEDF9"/>
          </w:tcPr>
          <w:p>
            <w:pPr>
              <w:spacing w:after="0"/>
              <w:rPr>
                <w:sz w:val="11"/>
                <w:szCs w:val="11"/>
                <w:color w:val="auto"/>
              </w:rPr>
            </w:pPr>
          </w:p>
        </w:tc>
        <w:tc>
          <w:tcPr>
            <w:tcW w:w="102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8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00" w:type="dxa"/>
            <w:vAlign w:val="bottom"/>
            <w:tcBorders>
              <w:right w:val="single" w:sz="8" w:color="CFEDF9"/>
            </w:tcBorders>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2016-1, Ltd </w:t>
            </w:r>
            <w:r>
              <w:rPr>
                <w:rFonts w:ascii="Times New Roman" w:cs="Times New Roman" w:eastAsia="Times New Roman" w:hAnsi="Times New Roman"/>
                <w:sz w:val="16"/>
                <w:szCs w:val="16"/>
                <w:color w:val="231F20"/>
                <w:vertAlign w:val="superscript"/>
              </w:rPr>
              <w:t>(3)(4)(9)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Carlyle Global Market</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($1,550 par, due 4/2031)</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8/11/2020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+ 6.01%</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11.42%</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1,264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1,442</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231F20"/>
              </w:rPr>
              <w:t>Strategies CLO Ltd, Series</w:t>
            </w: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2018-1A</w:t>
            </w:r>
            <w:r>
              <w:rPr>
                <w:rFonts w:ascii="Times New Roman" w:cs="Times New Roman" w:eastAsia="Times New Roman" w:hAnsi="Times New Roman"/>
                <w:sz w:val="7"/>
                <w:szCs w:val="7"/>
                <w:color w:val="231F20"/>
              </w:rPr>
              <w:t xml:space="preserve"> (3)(4)(9)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2"/>
                <w:szCs w:val="12"/>
                <w:color w:val="231F20"/>
              </w:rPr>
              <w:t>CarVal CLO III Ltd,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2"/>
                <w:szCs w:val="12"/>
                <w:color w:val="231F20"/>
              </w:rPr>
              <w:t>Structured Credit ($1,000 par, due 7/2032)</w:t>
            </w:r>
          </w:p>
        </w:tc>
        <w:tc>
          <w:tcPr>
            <w:tcW w:w="1000" w:type="dxa"/>
            <w:vAlign w:val="bottom"/>
            <w:gridSpan w:val="2"/>
            <w:shd w:val="clear" w:color="auto" w:fill="CFEDF9"/>
          </w:tcPr>
          <w:p>
            <w:pPr>
              <w:jc w:val="right"/>
              <w:spacing w:after="0" w:line="127" w:lineRule="exact"/>
              <w:rPr>
                <w:sz w:val="20"/>
                <w:szCs w:val="20"/>
                <w:color w:val="auto"/>
              </w:rPr>
            </w:pPr>
            <w:r>
              <w:rPr>
                <w:rFonts w:ascii="Times New Roman" w:cs="Times New Roman" w:eastAsia="Times New Roman" w:hAnsi="Times New Roman"/>
                <w:sz w:val="12"/>
                <w:szCs w:val="12"/>
                <w:color w:val="231F20"/>
              </w:rPr>
              <w:t>6/30/2022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7" w:lineRule="exact"/>
              <w:rPr>
                <w:sz w:val="20"/>
                <w:szCs w:val="20"/>
                <w:color w:val="auto"/>
              </w:rPr>
            </w:pPr>
            <w:r>
              <w:rPr>
                <w:rFonts w:ascii="Times New Roman" w:cs="Times New Roman" w:eastAsia="Times New Roman" w:hAnsi="Times New Roman"/>
                <w:sz w:val="12"/>
                <w:szCs w:val="12"/>
                <w:color w:val="231F20"/>
                <w:w w:val="97"/>
              </w:rPr>
              <w:t>SOFR + 6.70%</w:t>
            </w:r>
          </w:p>
        </w:tc>
        <w:tc>
          <w:tcPr>
            <w:tcW w:w="1120" w:type="dxa"/>
            <w:vAlign w:val="bottom"/>
            <w:gridSpan w:val="3"/>
            <w:shd w:val="clear" w:color="auto" w:fill="CFEDF9"/>
          </w:tcPr>
          <w:p>
            <w:pPr>
              <w:jc w:val="right"/>
              <w:ind w:right="100"/>
              <w:spacing w:after="0" w:line="127" w:lineRule="exact"/>
              <w:rPr>
                <w:sz w:val="20"/>
                <w:szCs w:val="20"/>
                <w:color w:val="auto"/>
              </w:rPr>
            </w:pPr>
            <w:r>
              <w:rPr>
                <w:rFonts w:ascii="Times New Roman" w:cs="Times New Roman" w:eastAsia="Times New Roman" w:hAnsi="Times New Roman"/>
                <w:sz w:val="12"/>
                <w:szCs w:val="12"/>
                <w:color w:val="231F20"/>
              </w:rPr>
              <w:t>12.11%</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7" w:lineRule="exact"/>
              <w:rPr>
                <w:sz w:val="20"/>
                <w:szCs w:val="20"/>
                <w:color w:val="auto"/>
              </w:rPr>
            </w:pPr>
            <w:r>
              <w:rPr>
                <w:rFonts w:ascii="Times New Roman" w:cs="Times New Roman" w:eastAsia="Times New Roman" w:hAnsi="Times New Roman"/>
                <w:sz w:val="12"/>
                <w:szCs w:val="12"/>
                <w:color w:val="231F20"/>
              </w:rPr>
              <w:t>903</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7" w:lineRule="exact"/>
              <w:rPr>
                <w:sz w:val="20"/>
                <w:szCs w:val="20"/>
                <w:color w:val="auto"/>
              </w:rPr>
            </w:pPr>
            <w:r>
              <w:rPr>
                <w:rFonts w:ascii="Times New Roman" w:cs="Times New Roman" w:eastAsia="Times New Roman" w:hAnsi="Times New Roman"/>
                <w:sz w:val="12"/>
                <w:szCs w:val="12"/>
                <w:color w:val="231F20"/>
              </w:rPr>
              <w:t>971</w:t>
            </w:r>
          </w:p>
        </w:tc>
        <w:tc>
          <w:tcPr>
            <w:tcW w:w="900" w:type="dxa"/>
            <w:vAlign w:val="bottom"/>
            <w:tcBorders>
              <w:right w:val="single" w:sz="8" w:color="CFEDF9"/>
            </w:tcBorders>
            <w:shd w:val="clear" w:color="auto" w:fill="CFEDF9"/>
          </w:tcPr>
          <w:p>
            <w:pPr>
              <w:jc w:val="right"/>
              <w:spacing w:after="0" w:line="127"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2019-2A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Cedar Funding CLO Ltd, Series</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1/2031)</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7/21/2022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+ 4.81%</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10.23%</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874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934</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2018-7A</w:t>
            </w:r>
            <w:r>
              <w:rPr>
                <w:rFonts w:ascii="Times New Roman" w:cs="Times New Roman" w:eastAsia="Times New Roman" w:hAnsi="Times New Roman"/>
                <w:sz w:val="7"/>
                <w:szCs w:val="7"/>
                <w:color w:val="231F20"/>
              </w:rPr>
              <w:t xml:space="preserve"> (3)(4)(9)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6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w w:val="99"/>
              </w:rPr>
              <w:t>CIFC CLO Ltd, Series 2018-3A</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Structured Credit ($1,000 par, due 7/2031)</w:t>
            </w:r>
          </w:p>
        </w:tc>
        <w:tc>
          <w:tcPr>
            <w:tcW w:w="10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6/16/2022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33" w:lineRule="exact"/>
              <w:rPr>
                <w:sz w:val="20"/>
                <w:szCs w:val="20"/>
                <w:color w:val="auto"/>
              </w:rPr>
            </w:pPr>
            <w:r>
              <w:rPr>
                <w:rFonts w:ascii="Times New Roman" w:cs="Times New Roman" w:eastAsia="Times New Roman" w:hAnsi="Times New Roman"/>
                <w:sz w:val="12"/>
                <w:szCs w:val="12"/>
                <w:color w:val="231F20"/>
                <w:w w:val="97"/>
              </w:rPr>
              <w:t>SOFR + 5.76%</w:t>
            </w:r>
          </w:p>
        </w:tc>
        <w:tc>
          <w:tcPr>
            <w:tcW w:w="112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11.16%</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904</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956</w:t>
            </w:r>
          </w:p>
        </w:tc>
        <w:tc>
          <w:tcPr>
            <w:tcW w:w="900" w:type="dxa"/>
            <w:vAlign w:val="bottom"/>
            <w:tcBorders>
              <w:right w:val="single" w:sz="8" w:color="CFEDF9"/>
            </w:tcBorders>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56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(3)(4)(9)</w:t>
            </w:r>
          </w:p>
        </w:tc>
        <w:tc>
          <w:tcPr>
            <w:tcW w:w="100" w:type="dxa"/>
            <w:vAlign w:val="bottom"/>
            <w:tcBorders>
              <w:bottom w:val="single" w:sz="8" w:color="CFEDF9"/>
            </w:tcBorders>
            <w:shd w:val="clear" w:color="auto" w:fill="CFEDF9"/>
          </w:tcPr>
          <w:p>
            <w:pPr>
              <w:spacing w:after="0"/>
              <w:rPr>
                <w:sz w:val="10"/>
                <w:szCs w:val="10"/>
                <w:color w:val="auto"/>
              </w:rPr>
            </w:pPr>
          </w:p>
        </w:tc>
        <w:tc>
          <w:tcPr>
            <w:tcW w:w="26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9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2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240" w:type="dxa"/>
            <w:vAlign w:val="bottom"/>
            <w:tcBorders>
              <w:bottom w:val="single" w:sz="8" w:color="CFEDF9"/>
            </w:tcBorders>
            <w:shd w:val="clear" w:color="auto" w:fill="CFEDF9"/>
          </w:tcPr>
          <w:p>
            <w:pPr>
              <w:spacing w:after="0"/>
              <w:rPr>
                <w:sz w:val="10"/>
                <w:szCs w:val="10"/>
                <w:color w:val="auto"/>
              </w:rPr>
            </w:pPr>
          </w:p>
        </w:tc>
        <w:tc>
          <w:tcPr>
            <w:tcW w:w="1020" w:type="dxa"/>
            <w:vAlign w:val="bottom"/>
            <w:tcBorders>
              <w:bottom w:val="single" w:sz="8" w:color="CFEDF9"/>
            </w:tcBorders>
            <w:shd w:val="clear" w:color="auto" w:fill="CFEDF9"/>
          </w:tcPr>
          <w:p>
            <w:pPr>
              <w:spacing w:after="0"/>
              <w:rPr>
                <w:sz w:val="10"/>
                <w:szCs w:val="10"/>
                <w:color w:val="auto"/>
              </w:rPr>
            </w:pPr>
          </w:p>
        </w:tc>
        <w:tc>
          <w:tcPr>
            <w:tcW w:w="20" w:type="dxa"/>
            <w:vAlign w:val="bottom"/>
            <w:tcBorders>
              <w:bottom w:val="single" w:sz="8" w:color="CFEDF9"/>
            </w:tcBorders>
            <w:shd w:val="clear" w:color="auto" w:fill="CFEDF9"/>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140" w:type="dxa"/>
            <w:vAlign w:val="bottom"/>
            <w:tcBorders>
              <w:bottom w:val="single" w:sz="8" w:color="CFEDF9"/>
            </w:tcBorders>
            <w:shd w:val="clear" w:color="auto" w:fill="CFEDF9"/>
          </w:tcPr>
          <w:p>
            <w:pPr>
              <w:spacing w:after="0"/>
              <w:rPr>
                <w:sz w:val="10"/>
                <w:szCs w:val="10"/>
                <w:color w:val="auto"/>
              </w:rPr>
            </w:pPr>
          </w:p>
        </w:tc>
        <w:tc>
          <w:tcPr>
            <w:tcW w:w="860" w:type="dxa"/>
            <w:vAlign w:val="bottom"/>
            <w:tcBorders>
              <w:bottom w:val="single" w:sz="8" w:color="CFEDF9"/>
            </w:tcBorders>
            <w:shd w:val="clear" w:color="auto" w:fill="CFEDF9"/>
          </w:tcPr>
          <w:p>
            <w:pPr>
              <w:spacing w:after="0"/>
              <w:rPr>
                <w:sz w:val="10"/>
                <w:szCs w:val="10"/>
                <w:color w:val="auto"/>
              </w:rPr>
            </w:pPr>
          </w:p>
        </w:tc>
        <w:tc>
          <w:tcPr>
            <w:tcW w:w="20" w:type="dxa"/>
            <w:vAlign w:val="bottom"/>
            <w:tcBorders>
              <w:bottom w:val="single" w:sz="8" w:color="CFEDF9"/>
            </w:tcBorders>
            <w:shd w:val="clear" w:color="auto" w:fill="CFEDF9"/>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w w:val="99"/>
              </w:rPr>
              <w:t>CIFC CLO Ltd, Series 2021-4A</w:t>
            </w:r>
          </w:p>
        </w:tc>
        <w:tc>
          <w:tcPr>
            <w:tcW w:w="100" w:type="dxa"/>
            <w:vAlign w:val="bottom"/>
          </w:tcPr>
          <w:p>
            <w:pPr>
              <w:spacing w:after="0"/>
              <w:rPr>
                <w:sz w:val="11"/>
                <w:szCs w:val="11"/>
                <w:color w:val="auto"/>
              </w:rPr>
            </w:pPr>
          </w:p>
        </w:tc>
        <w:tc>
          <w:tcPr>
            <w:tcW w:w="2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Structured Credit ($1,000 par, due 7/2033)</w:t>
            </w:r>
          </w:p>
        </w:tc>
        <w:tc>
          <w:tcPr>
            <w:tcW w:w="10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231F20"/>
              </w:rPr>
              <w:t>7/14/2022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color w:val="231F20"/>
                <w:w w:val="97"/>
              </w:rPr>
              <w:t>SOFR + 6.26%</w:t>
            </w:r>
          </w:p>
        </w:tc>
        <w:tc>
          <w:tcPr>
            <w:tcW w:w="112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11.66%</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900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991</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20"/>
                <w:szCs w:val="20"/>
                <w:color w:val="auto"/>
              </w:rPr>
            </w:pPr>
            <w:r>
              <w:rPr>
                <w:rFonts w:ascii="Times New Roman" w:cs="Times New Roman" w:eastAsia="Times New Roman" w:hAnsi="Times New Roman"/>
                <w:sz w:val="8"/>
                <w:szCs w:val="8"/>
                <w:color w:val="231F20"/>
              </w:rPr>
              <w:t>(3)(4)(9)</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Crown Point CLO Ltd,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7/2034)</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6/14/2022</w:t>
            </w:r>
          </w:p>
        </w:tc>
        <w:tc>
          <w:tcPr>
            <w:tcW w:w="20" w:type="dxa"/>
            <w:vAlign w:val="bottom"/>
            <w:vMerge w:val="continue"/>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+ 7.11%</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12.53%</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903</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953</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2021-10A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Dryden Senior Loan Fund,</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4/2031)</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7/25/2022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+ 3.11%</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8.51%</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959</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2018-55A </w:t>
            </w:r>
            <w:r>
              <w:rPr>
                <w:rFonts w:ascii="Times New Roman" w:cs="Times New Roman" w:eastAsia="Times New Roman" w:hAnsi="Times New Roman"/>
                <w:sz w:val="16"/>
                <w:szCs w:val="16"/>
                <w:color w:val="231F20"/>
                <w:vertAlign w:val="superscript"/>
              </w:rPr>
              <w:t>(3)(4)(9)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Dryden Senior Loan Fund,</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($1,500 par, due 7/2034)</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8/17/2022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+ 6.76%</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12.16%</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1,463</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1,433</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2020-86A </w:t>
            </w:r>
            <w:r>
              <w:rPr>
                <w:rFonts w:ascii="Times New Roman" w:cs="Times New Roman" w:eastAsia="Times New Roman" w:hAnsi="Times New Roman"/>
                <w:sz w:val="16"/>
                <w:szCs w:val="16"/>
                <w:color w:val="231F20"/>
                <w:vertAlign w:val="superscript"/>
              </w:rPr>
              <w:t>(3)(4)(9)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w w:val="98"/>
              </w:rPr>
              <w:t>Eaton CLO Ltd, Series 2015-1A</w:t>
            </w:r>
          </w:p>
        </w:tc>
        <w:tc>
          <w:tcPr>
            <w:tcW w:w="100" w:type="dxa"/>
            <w:vAlign w:val="bottom"/>
          </w:tcPr>
          <w:p>
            <w:pPr>
              <w:spacing w:after="0"/>
              <w:rPr>
                <w:sz w:val="11"/>
                <w:szCs w:val="11"/>
                <w:color w:val="auto"/>
              </w:rPr>
            </w:pPr>
          </w:p>
        </w:tc>
        <w:tc>
          <w:tcPr>
            <w:tcW w:w="2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Structured Credit ($2,500 par, due 1/2030)</w:t>
            </w:r>
          </w:p>
        </w:tc>
        <w:tc>
          <w:tcPr>
            <w:tcW w:w="10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231F20"/>
              </w:rPr>
              <w:t>6/23/2022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color w:val="231F20"/>
                <w:w w:val="97"/>
              </w:rPr>
              <w:t>SOFR + 2.76%</w:t>
            </w:r>
          </w:p>
        </w:tc>
        <w:tc>
          <w:tcPr>
            <w:tcW w:w="112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8.18%</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2,260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2,410</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20"/>
                <w:szCs w:val="20"/>
                <w:color w:val="auto"/>
              </w:rPr>
            </w:pPr>
            <w:r>
              <w:rPr>
                <w:rFonts w:ascii="Times New Roman" w:cs="Times New Roman" w:eastAsia="Times New Roman" w:hAnsi="Times New Roman"/>
                <w:sz w:val="8"/>
                <w:szCs w:val="8"/>
                <w:color w:val="231F20"/>
              </w:rPr>
              <w:t>(3)(4)(9)</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156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w w:val="98"/>
              </w:rPr>
              <w:t>Eaton CLO Ltd, Series 2020-1A</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Structured Credit ($1,000 par, due 10/2034)</w:t>
            </w:r>
          </w:p>
        </w:tc>
        <w:tc>
          <w:tcPr>
            <w:tcW w:w="10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8/11/2022</w:t>
            </w:r>
          </w:p>
        </w:tc>
        <w:tc>
          <w:tcPr>
            <w:tcW w:w="20" w:type="dxa"/>
            <w:vAlign w:val="bottom"/>
            <w:vMerge w:val="continue"/>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33" w:lineRule="exact"/>
              <w:rPr>
                <w:sz w:val="20"/>
                <w:szCs w:val="20"/>
                <w:color w:val="auto"/>
              </w:rPr>
            </w:pPr>
            <w:r>
              <w:rPr>
                <w:rFonts w:ascii="Times New Roman" w:cs="Times New Roman" w:eastAsia="Times New Roman" w:hAnsi="Times New Roman"/>
                <w:sz w:val="12"/>
                <w:szCs w:val="12"/>
                <w:color w:val="231F20"/>
                <w:w w:val="97"/>
              </w:rPr>
              <w:t>SOFR + 6.51%</w:t>
            </w:r>
          </w:p>
        </w:tc>
        <w:tc>
          <w:tcPr>
            <w:tcW w:w="112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11.91%</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936</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970</w:t>
            </w:r>
          </w:p>
        </w:tc>
        <w:tc>
          <w:tcPr>
            <w:tcW w:w="900" w:type="dxa"/>
            <w:vAlign w:val="bottom"/>
            <w:tcBorders>
              <w:right w:val="single" w:sz="8" w:color="CFEDF9"/>
            </w:tcBorders>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56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(3)(4)(9)</w:t>
            </w:r>
          </w:p>
        </w:tc>
        <w:tc>
          <w:tcPr>
            <w:tcW w:w="100" w:type="dxa"/>
            <w:vAlign w:val="bottom"/>
            <w:tcBorders>
              <w:bottom w:val="single" w:sz="8" w:color="CFEDF9"/>
            </w:tcBorders>
            <w:shd w:val="clear" w:color="auto" w:fill="CFEDF9"/>
          </w:tcPr>
          <w:p>
            <w:pPr>
              <w:spacing w:after="0"/>
              <w:rPr>
                <w:sz w:val="10"/>
                <w:szCs w:val="10"/>
                <w:color w:val="auto"/>
              </w:rPr>
            </w:pPr>
          </w:p>
        </w:tc>
        <w:tc>
          <w:tcPr>
            <w:tcW w:w="260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94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920" w:type="dxa"/>
            <w:vAlign w:val="bottom"/>
            <w:tcBorders>
              <w:bottom w:val="single" w:sz="8" w:color="CFEDF9"/>
            </w:tcBorders>
            <w:shd w:val="clear" w:color="auto" w:fill="CFEDF9"/>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240" w:type="dxa"/>
            <w:vAlign w:val="bottom"/>
            <w:tcBorders>
              <w:bottom w:val="single" w:sz="8" w:color="CFEDF9"/>
            </w:tcBorders>
            <w:shd w:val="clear" w:color="auto" w:fill="CFEDF9"/>
          </w:tcPr>
          <w:p>
            <w:pPr>
              <w:spacing w:after="0"/>
              <w:rPr>
                <w:sz w:val="10"/>
                <w:szCs w:val="10"/>
                <w:color w:val="auto"/>
              </w:rPr>
            </w:pPr>
          </w:p>
        </w:tc>
        <w:tc>
          <w:tcPr>
            <w:tcW w:w="1020" w:type="dxa"/>
            <w:vAlign w:val="bottom"/>
            <w:tcBorders>
              <w:bottom w:val="single" w:sz="8" w:color="CFEDF9"/>
            </w:tcBorders>
            <w:shd w:val="clear" w:color="auto" w:fill="CFEDF9"/>
          </w:tcPr>
          <w:p>
            <w:pPr>
              <w:spacing w:after="0"/>
              <w:rPr>
                <w:sz w:val="10"/>
                <w:szCs w:val="10"/>
                <w:color w:val="auto"/>
              </w:rPr>
            </w:pPr>
          </w:p>
        </w:tc>
        <w:tc>
          <w:tcPr>
            <w:tcW w:w="20" w:type="dxa"/>
            <w:vAlign w:val="bottom"/>
            <w:tcBorders>
              <w:bottom w:val="single" w:sz="8" w:color="CFEDF9"/>
            </w:tcBorders>
            <w:shd w:val="clear" w:color="auto" w:fill="CFEDF9"/>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140" w:type="dxa"/>
            <w:vAlign w:val="bottom"/>
            <w:tcBorders>
              <w:bottom w:val="single" w:sz="8" w:color="CFEDF9"/>
            </w:tcBorders>
            <w:shd w:val="clear" w:color="auto" w:fill="CFEDF9"/>
          </w:tcPr>
          <w:p>
            <w:pPr>
              <w:spacing w:after="0"/>
              <w:rPr>
                <w:sz w:val="10"/>
                <w:szCs w:val="10"/>
                <w:color w:val="auto"/>
              </w:rPr>
            </w:pPr>
          </w:p>
        </w:tc>
        <w:tc>
          <w:tcPr>
            <w:tcW w:w="860" w:type="dxa"/>
            <w:vAlign w:val="bottom"/>
            <w:tcBorders>
              <w:bottom w:val="single" w:sz="8" w:color="CFEDF9"/>
            </w:tcBorders>
            <w:shd w:val="clear" w:color="auto" w:fill="CFEDF9"/>
          </w:tcPr>
          <w:p>
            <w:pPr>
              <w:spacing w:after="0"/>
              <w:rPr>
                <w:sz w:val="10"/>
                <w:szCs w:val="10"/>
                <w:color w:val="auto"/>
              </w:rPr>
            </w:pPr>
          </w:p>
        </w:tc>
        <w:tc>
          <w:tcPr>
            <w:tcW w:w="20" w:type="dxa"/>
            <w:vAlign w:val="bottom"/>
            <w:tcBorders>
              <w:bottom w:val="single" w:sz="8" w:color="CFEDF9"/>
            </w:tcBorders>
            <w:shd w:val="clear" w:color="auto" w:fill="CFEDF9"/>
          </w:tcPr>
          <w:p>
            <w:pPr>
              <w:spacing w:after="0"/>
              <w:rPr>
                <w:sz w:val="10"/>
                <w:szCs w:val="10"/>
                <w:color w:val="auto"/>
              </w:rPr>
            </w:pPr>
          </w:p>
        </w:tc>
        <w:tc>
          <w:tcPr>
            <w:tcW w:w="80" w:type="dxa"/>
            <w:vAlign w:val="bottom"/>
            <w:tcBorders>
              <w:bottom w:val="single" w:sz="8" w:color="CFEDF9"/>
            </w:tcBorders>
            <w:shd w:val="clear" w:color="auto" w:fill="CFEDF9"/>
          </w:tcPr>
          <w:p>
            <w:pPr>
              <w:spacing w:after="0"/>
              <w:rPr>
                <w:sz w:val="10"/>
                <w:szCs w:val="10"/>
                <w:color w:val="auto"/>
              </w:rPr>
            </w:pPr>
          </w:p>
        </w:tc>
        <w:tc>
          <w:tcPr>
            <w:tcW w:w="900" w:type="dxa"/>
            <w:vAlign w:val="bottom"/>
            <w:tcBorders>
              <w:bottom w:val="single" w:sz="8" w:color="CFEDF9"/>
              <w:right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GoldenTree CLO Ltd, Series</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4/2034)</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6/17/2022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+ 6.76%</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12.18%</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921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994</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2020-7A</w:t>
            </w:r>
            <w:r>
              <w:rPr>
                <w:rFonts w:ascii="Times New Roman" w:cs="Times New Roman" w:eastAsia="Times New Roman" w:hAnsi="Times New Roman"/>
                <w:sz w:val="7"/>
                <w:szCs w:val="7"/>
                <w:color w:val="231F20"/>
              </w:rPr>
              <w:t xml:space="preserve"> (3)(4)(9)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Gulf Stream Meridian,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($1,015 par, due 7/2034)</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6/3/2022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+ 6.61%</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12.01%</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942</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968</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2021-4A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Gulf Stream Meridian, Series</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($2,000 par, due 1/2037)</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9/12/2022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+ 6.62%</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11.93%</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1,851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1,928</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2021-6A</w:t>
            </w:r>
            <w:r>
              <w:rPr>
                <w:rFonts w:ascii="Times New Roman" w:cs="Times New Roman" w:eastAsia="Times New Roman" w:hAnsi="Times New Roman"/>
                <w:sz w:val="7"/>
                <w:szCs w:val="7"/>
                <w:color w:val="231F20"/>
              </w:rPr>
              <w:t xml:space="preserve"> (3)(4)(9)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Jefferson Mill CLO Ltd,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10/2031)</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5/23/2022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+ 3.81%</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9.22%</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908</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965</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2015-1A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KKR CLO Ltd, 49A </w:t>
            </w:r>
            <w:r>
              <w:rPr>
                <w:rFonts w:ascii="Times New Roman" w:cs="Times New Roman" w:eastAsia="Times New Roman" w:hAnsi="Times New Roman"/>
                <w:sz w:val="15"/>
                <w:szCs w:val="15"/>
                <w:color w:val="231F20"/>
                <w:vertAlign w:val="superscript"/>
              </w:rPr>
              <w:t>(3)(4)(9)</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Structured Credit ($1,000 par, due 7/2035)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6/2/2022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2"/>
                <w:szCs w:val="12"/>
                <w:color w:val="231F20"/>
                <w:w w:val="97"/>
              </w:rPr>
              <w:t>SOFR + 8.26%</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13.42%</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978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987</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Madison Park CLO,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7/2030)</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6/28/2022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+ 5.51%</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10.91%</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911</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963</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2018-28A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Magnetite CLO Ltd, Series</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10/2034)</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6/13/2022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+ 6.46%</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11.84%</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988</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2021-30A</w:t>
            </w:r>
            <w:r>
              <w:rPr>
                <w:rFonts w:ascii="Times New Roman" w:cs="Times New Roman" w:eastAsia="Times New Roman" w:hAnsi="Times New Roman"/>
                <w:sz w:val="7"/>
                <w:szCs w:val="7"/>
                <w:color w:val="231F20"/>
              </w:rPr>
              <w:t xml:space="preserve"> (3)(4)(9)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MidOcean Credit CLO Ltd,</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($3,500 par, due 4/2033)</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5/23/2022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+ 3.78%</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9.20%</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3,170</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3,274</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2016-6A </w:t>
            </w:r>
            <w:r>
              <w:rPr>
                <w:rFonts w:ascii="Times New Roman" w:cs="Times New Roman" w:eastAsia="Times New Roman" w:hAnsi="Times New Roman"/>
                <w:sz w:val="16"/>
                <w:szCs w:val="16"/>
                <w:color w:val="231F20"/>
                <w:vertAlign w:val="superscript"/>
              </w:rPr>
              <w:t>(3)(4)(9)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MidOcean Credit CLO Ltd,</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($1,100 par, due 7/2031)</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+ 6.31%</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11.73%</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970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1,012</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2018-9A </w:t>
            </w:r>
            <w:r>
              <w:rPr>
                <w:rFonts w:ascii="Times New Roman" w:cs="Times New Roman" w:eastAsia="Times New Roman" w:hAnsi="Times New Roman"/>
                <w:sz w:val="16"/>
                <w:szCs w:val="16"/>
                <w:color w:val="231F20"/>
                <w:vertAlign w:val="superscript"/>
              </w:rPr>
              <w:t>(3)(4)(9)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Octagon 57 LLC, Series 2021-</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10/2034)</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5/24/2022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+ 6.86%</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12.26%</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951</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940</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1A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w w:val="99"/>
              </w:rPr>
              <w:t>Octagon Investment Partners 18</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4/2031)</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7/26/2022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+ 2.96%</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8.36%</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959</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Ltd, Series 2018-18A </w:t>
            </w:r>
            <w:r>
              <w:rPr>
                <w:rFonts w:ascii="Times New Roman" w:cs="Times New Roman" w:eastAsia="Times New Roman" w:hAnsi="Times New Roman"/>
                <w:sz w:val="16"/>
                <w:szCs w:val="16"/>
                <w:color w:val="231F20"/>
                <w:vertAlign w:val="superscript"/>
              </w:rPr>
              <w:t>(3)(4)(9)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w w:val="99"/>
              </w:rPr>
              <w:t>Octagon Investment Partners 38</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($2,800 par, due 7/2030)</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9/20/2022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+ 3.21%</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8.63%</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2,505</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2,713</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Ltd, Series 2018-1A </w:t>
            </w:r>
            <w:r>
              <w:rPr>
                <w:rFonts w:ascii="Times New Roman" w:cs="Times New Roman" w:eastAsia="Times New Roman" w:hAnsi="Times New Roman"/>
                <w:sz w:val="16"/>
                <w:szCs w:val="16"/>
                <w:color w:val="231F20"/>
                <w:vertAlign w:val="superscript"/>
              </w:rPr>
              <w:t>(3)(4)(9)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Park Avenue Institutional</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10/2031)</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9/23/2022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+ 3.59%</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9.01%</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870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925</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231F20"/>
                <w:w w:val="98"/>
              </w:rPr>
              <w:t>Advisers CLO Ltd, Series 2018-</w:t>
            </w: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1A</w:t>
            </w:r>
            <w:r>
              <w:rPr>
                <w:rFonts w:ascii="Times New Roman" w:cs="Times New Roman" w:eastAsia="Times New Roman" w:hAnsi="Times New Roman"/>
                <w:sz w:val="7"/>
                <w:szCs w:val="7"/>
                <w:color w:val="231F20"/>
              </w:rPr>
              <w:t xml:space="preserve"> (3)(4)(9)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Pikes Peak CLO, Series 2021-</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($2,000 par, due 10/2034)</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8/31/2022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+ 6.84%</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12.23%</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1,787</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1,890</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9A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RR Ltd, Series 2020-8A </w:t>
            </w:r>
            <w:r>
              <w:rPr>
                <w:rFonts w:ascii="Times New Roman" w:cs="Times New Roman" w:eastAsia="Times New Roman" w:hAnsi="Times New Roman"/>
                <w:sz w:val="15"/>
                <w:szCs w:val="15"/>
                <w:color w:val="231F20"/>
                <w:vertAlign w:val="superscript"/>
              </w:rPr>
              <w:t>(3)(4)(9)</w:t>
            </w:r>
          </w:p>
        </w:tc>
        <w:tc>
          <w:tcPr>
            <w:tcW w:w="10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231F20"/>
              </w:rPr>
              <w:t>Structured Credit ($1,000 par, due 4/2033)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8/22/2022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2"/>
                <w:szCs w:val="12"/>
                <w:color w:val="231F20"/>
                <w:w w:val="97"/>
              </w:rPr>
              <w:t>SOFR + 6.66%</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12.06%</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955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995</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Signal Peak CLO LLC,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($333 par, due 4/2031)</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8/9/2022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+ 5.91%</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11.29%</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301</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318</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2018-5A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Southwick Park CLO Ltd,</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7/2032)</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5/25/2022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+ 6.51%</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11.93%</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968</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2019-4A </w:t>
            </w:r>
            <w:r>
              <w:rPr>
                <w:rFonts w:ascii="Times New Roman" w:cs="Times New Roman" w:eastAsia="Times New Roman" w:hAnsi="Times New Roman"/>
                <w:sz w:val="16"/>
                <w:szCs w:val="16"/>
                <w:color w:val="231F20"/>
                <w:vertAlign w:val="superscript"/>
              </w:rPr>
              <w:t>(3)(4)(9)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Stewart Park CLO Ltd,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($1,000 par, due 1/2030)</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7/25/2022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+ 2.86%</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8.26%</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928</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970</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2015-1A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Voya CLO Ltd, Series 2018-3A</w:t>
            </w:r>
          </w:p>
        </w:tc>
        <w:tc>
          <w:tcPr>
            <w:tcW w:w="100" w:type="dxa"/>
            <w:vAlign w:val="bottom"/>
          </w:tcPr>
          <w:p>
            <w:pPr>
              <w:spacing w:after="0"/>
              <w:rPr>
                <w:sz w:val="11"/>
                <w:szCs w:val="11"/>
                <w:color w:val="auto"/>
              </w:rPr>
            </w:pPr>
          </w:p>
        </w:tc>
        <w:tc>
          <w:tcPr>
            <w:tcW w:w="2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Structured Credit ($2,750 par, due 10/2031)</w:t>
            </w:r>
          </w:p>
        </w:tc>
        <w:tc>
          <w:tcPr>
            <w:tcW w:w="10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231F20"/>
              </w:rPr>
              <w:t>6/22/2022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color w:val="231F20"/>
                <w:w w:val="97"/>
              </w:rPr>
              <w:t>SOFR + 6.01%</w:t>
            </w:r>
          </w:p>
        </w:tc>
        <w:tc>
          <w:tcPr>
            <w:tcW w:w="112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11.41%</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2,441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color w:val="231F20"/>
              </w:rPr>
              <w:t>2,484</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20"/>
                <w:szCs w:val="20"/>
                <w:color w:val="auto"/>
              </w:rPr>
            </w:pPr>
            <w:r>
              <w:rPr>
                <w:rFonts w:ascii="Times New Roman" w:cs="Times New Roman" w:eastAsia="Times New Roman" w:hAnsi="Times New Roman"/>
                <w:sz w:val="8"/>
                <w:szCs w:val="8"/>
                <w:color w:val="231F20"/>
              </w:rPr>
              <w:t>(3)(4)(9)</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Wind River CLO Ltd,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($1,500 par, due 1/2031)</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6/23/2022</w:t>
            </w:r>
          </w:p>
        </w:tc>
        <w:tc>
          <w:tcPr>
            <w:tcW w:w="20" w:type="dxa"/>
            <w:vAlign w:val="bottom"/>
            <w:vMerge w:val="continue"/>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+ 3.16%</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8.56%</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1,407</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1,404</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2014-2A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shd w:val="clear" w:color="auto" w:fill="CFEDF9"/>
          </w:tcPr>
          <w:p>
            <w:pPr>
              <w:spacing w:after="0"/>
              <w:rPr>
                <w:sz w:val="12"/>
                <w:szCs w:val="12"/>
                <w:color w:val="auto"/>
              </w:rPr>
            </w:pPr>
          </w:p>
        </w:tc>
        <w:tc>
          <w:tcPr>
            <w:tcW w:w="10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8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Wind River CLO Ltd, Series</w:t>
            </w:r>
          </w:p>
        </w:tc>
        <w:tc>
          <w:tcPr>
            <w:tcW w:w="100" w:type="dxa"/>
            <w:vAlign w:val="bottom"/>
          </w:tcPr>
          <w:p>
            <w:pPr>
              <w:spacing w:after="0"/>
              <w:rPr>
                <w:sz w:val="11"/>
                <w:szCs w:val="11"/>
                <w:color w:val="auto"/>
              </w:rPr>
            </w:pPr>
          </w:p>
        </w:tc>
        <w:tc>
          <w:tcPr>
            <w:tcW w:w="2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($3,000 par, due 4/2036)</w:t>
            </w:r>
          </w:p>
        </w:tc>
        <w:tc>
          <w:tcPr>
            <w:tcW w:w="10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7/14/2022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+ 3.98%</w:t>
            </w:r>
          </w:p>
        </w:tc>
        <w:tc>
          <w:tcPr>
            <w:tcW w:w="11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9.38%</w:t>
            </w:r>
          </w:p>
        </w:tc>
        <w:tc>
          <w:tcPr>
            <w:tcW w:w="240" w:type="dxa"/>
            <w:vAlign w:val="bottom"/>
          </w:tcPr>
          <w:p>
            <w:pPr>
              <w:spacing w:after="0"/>
              <w:rPr>
                <w:sz w:val="11"/>
                <w:szCs w:val="11"/>
                <w:color w:val="auto"/>
              </w:rPr>
            </w:pPr>
          </w:p>
        </w:tc>
        <w:tc>
          <w:tcPr>
            <w:tcW w:w="10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2,633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2,911</w:t>
            </w: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2017-1A</w:t>
            </w:r>
            <w:r>
              <w:rPr>
                <w:rFonts w:ascii="Times New Roman" w:cs="Times New Roman" w:eastAsia="Times New Roman" w:hAnsi="Times New Roman"/>
                <w:sz w:val="7"/>
                <w:szCs w:val="7"/>
                <w:color w:val="231F20"/>
              </w:rPr>
              <w:t xml:space="preserve"> (3)(4)(9)</w:t>
            </w: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Wind River CLO Ltd, Series</w:t>
            </w:r>
          </w:p>
        </w:tc>
        <w:tc>
          <w:tcPr>
            <w:tcW w:w="100" w:type="dxa"/>
            <w:vAlign w:val="bottom"/>
            <w:shd w:val="clear" w:color="auto" w:fill="CFEDF9"/>
          </w:tcPr>
          <w:p>
            <w:pPr>
              <w:spacing w:after="0"/>
              <w:rPr>
                <w:sz w:val="11"/>
                <w:szCs w:val="11"/>
                <w:color w:val="auto"/>
              </w:rPr>
            </w:pPr>
          </w:p>
        </w:tc>
        <w:tc>
          <w:tcPr>
            <w:tcW w:w="260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Credit ($2,000 par, due 1/2031)</w:t>
            </w:r>
          </w:p>
        </w:tc>
        <w:tc>
          <w:tcPr>
            <w:tcW w:w="10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12/12/2022</w:t>
            </w:r>
          </w:p>
        </w:tc>
        <w:tc>
          <w:tcPr>
            <w:tcW w:w="20" w:type="dxa"/>
            <w:vAlign w:val="bottom"/>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940" w:type="dxa"/>
            <w:vAlign w:val="bottom"/>
            <w:shd w:val="clear" w:color="auto" w:fill="CFEDF9"/>
          </w:tcPr>
          <w:p>
            <w:pPr>
              <w:ind w:left="200"/>
              <w:spacing w:after="0" w:line="128" w:lineRule="exact"/>
              <w:rPr>
                <w:sz w:val="20"/>
                <w:szCs w:val="20"/>
                <w:color w:val="auto"/>
              </w:rPr>
            </w:pPr>
            <w:r>
              <w:rPr>
                <w:rFonts w:ascii="Times New Roman" w:cs="Times New Roman" w:eastAsia="Times New Roman" w:hAnsi="Times New Roman"/>
                <w:sz w:val="12"/>
                <w:szCs w:val="12"/>
                <w:color w:val="231F20"/>
                <w:w w:val="97"/>
              </w:rPr>
              <w:t>SOFR + 5.91%</w:t>
            </w:r>
          </w:p>
        </w:tc>
        <w:tc>
          <w:tcPr>
            <w:tcW w:w="112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11.33%</w:t>
            </w:r>
          </w:p>
        </w:tc>
        <w:tc>
          <w:tcPr>
            <w:tcW w:w="240" w:type="dxa"/>
            <w:vAlign w:val="bottom"/>
            <w:shd w:val="clear" w:color="auto" w:fill="CFEDF9"/>
          </w:tcPr>
          <w:p>
            <w:pPr>
              <w:spacing w:after="0"/>
              <w:rPr>
                <w:sz w:val="11"/>
                <w:szCs w:val="11"/>
                <w:color w:val="auto"/>
              </w:rPr>
            </w:pPr>
          </w:p>
        </w:tc>
        <w:tc>
          <w:tcPr>
            <w:tcW w:w="10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1,721</w:t>
            </w:r>
          </w:p>
        </w:tc>
        <w:tc>
          <w:tcPr>
            <w:tcW w:w="8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960" w:type="dxa"/>
            <w:vAlign w:val="bottom"/>
            <w:gridSpan w:val="3"/>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1,856</w:t>
            </w:r>
          </w:p>
        </w:tc>
        <w:tc>
          <w:tcPr>
            <w:tcW w:w="900" w:type="dxa"/>
            <w:vAlign w:val="bottom"/>
            <w:tcBorders>
              <w:righ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2018-3A</w:t>
            </w:r>
            <w:r>
              <w:rPr>
                <w:rFonts w:ascii="Times New Roman" w:cs="Times New Roman" w:eastAsia="Times New Roman" w:hAnsi="Times New Roman"/>
                <w:sz w:val="7"/>
                <w:szCs w:val="7"/>
                <w:color w:val="231F20"/>
              </w:rPr>
              <w:t xml:space="preserve"> (3)(4)(9)</w:t>
            </w:r>
          </w:p>
        </w:tc>
        <w:tc>
          <w:tcPr>
            <w:tcW w:w="100" w:type="dxa"/>
            <w:vAlign w:val="bottom"/>
            <w:shd w:val="clear" w:color="auto" w:fill="CFEDF9"/>
          </w:tcPr>
          <w:p>
            <w:pPr>
              <w:spacing w:after="0"/>
              <w:rPr>
                <w:sz w:val="12"/>
                <w:szCs w:val="12"/>
                <w:color w:val="auto"/>
              </w:rPr>
            </w:pPr>
          </w:p>
        </w:tc>
        <w:tc>
          <w:tcPr>
            <w:tcW w:w="2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40" w:type="dxa"/>
            <w:vAlign w:val="bottom"/>
            <w:tcBorders>
              <w:bottom w:val="single" w:sz="8" w:color="231F20"/>
            </w:tcBorders>
            <w:shd w:val="clear" w:color="auto" w:fill="CFEDF9"/>
          </w:tcPr>
          <w:p>
            <w:pPr>
              <w:spacing w:after="0"/>
              <w:rPr>
                <w:sz w:val="12"/>
                <w:szCs w:val="12"/>
                <w:color w:val="auto"/>
              </w:rPr>
            </w:pPr>
          </w:p>
        </w:tc>
        <w:tc>
          <w:tcPr>
            <w:tcW w:w="1020" w:type="dxa"/>
            <w:vAlign w:val="bottom"/>
            <w:tcBorders>
              <w:bottom w:val="single" w:sz="8" w:color="231F20"/>
            </w:tcBorders>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40" w:type="dxa"/>
            <w:vAlign w:val="bottom"/>
            <w:tcBorders>
              <w:bottom w:val="single" w:sz="8" w:color="231F20"/>
            </w:tcBorders>
            <w:shd w:val="clear" w:color="auto" w:fill="CFEDF9"/>
          </w:tcPr>
          <w:p>
            <w:pPr>
              <w:spacing w:after="0"/>
              <w:rPr>
                <w:sz w:val="12"/>
                <w:szCs w:val="12"/>
                <w:color w:val="auto"/>
              </w:rPr>
            </w:pPr>
          </w:p>
        </w:tc>
        <w:tc>
          <w:tcPr>
            <w:tcW w:w="860" w:type="dxa"/>
            <w:vAlign w:val="bottom"/>
            <w:tcBorders>
              <w:bottom w:val="single" w:sz="8" w:color="231F20"/>
            </w:tcBorders>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900" w:type="dxa"/>
            <w:vAlign w:val="bottom"/>
            <w:tcBorders>
              <w:bottom w:val="single" w:sz="8" w:color="231F20"/>
              <w:right w:val="single" w:sz="8" w:color="CFEDF9"/>
            </w:tcBorders>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6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2600" w:type="dxa"/>
            <w:vAlign w:val="bottom"/>
            <w:tcBorders>
              <w:bottom w:val="single" w:sz="8" w:color="CFEDF9"/>
            </w:tcBorders>
          </w:tcPr>
          <w:p>
            <w:pPr>
              <w:spacing w:after="0"/>
              <w:rPr>
                <w:sz w:val="11"/>
                <w:szCs w:val="11"/>
                <w:color w:val="auto"/>
              </w:rPr>
            </w:pPr>
          </w:p>
        </w:tc>
        <w:tc>
          <w:tcPr>
            <w:tcW w:w="120" w:type="dxa"/>
            <w:vAlign w:val="bottom"/>
            <w:tcBorders>
              <w:bottom w:val="single" w:sz="8" w:color="CFEDF9"/>
            </w:tcBorders>
          </w:tcPr>
          <w:p>
            <w:pPr>
              <w:spacing w:after="0"/>
              <w:rPr>
                <w:sz w:val="11"/>
                <w:szCs w:val="11"/>
                <w:color w:val="auto"/>
              </w:rPr>
            </w:pPr>
          </w:p>
        </w:tc>
        <w:tc>
          <w:tcPr>
            <w:tcW w:w="880" w:type="dxa"/>
            <w:vAlign w:val="bottom"/>
            <w:tcBorders>
              <w:bottom w:val="single" w:sz="8" w:color="CFEDF9"/>
            </w:tcBorders>
          </w:tcPr>
          <w:p>
            <w:pPr>
              <w:spacing w:after="0"/>
              <w:rPr>
                <w:sz w:val="11"/>
                <w:szCs w:val="11"/>
                <w:color w:val="auto"/>
              </w:rPr>
            </w:pP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94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920" w:type="dxa"/>
            <w:vAlign w:val="bottom"/>
            <w:tcBorders>
              <w:bottom w:val="single" w:sz="8" w:color="CFEDF9"/>
            </w:tcBorders>
          </w:tcPr>
          <w:p>
            <w:pPr>
              <w:spacing w:after="0"/>
              <w:rPr>
                <w:sz w:val="11"/>
                <w:szCs w:val="11"/>
                <w:color w:val="auto"/>
              </w:rPr>
            </w:pPr>
          </w:p>
        </w:tc>
        <w:tc>
          <w:tcPr>
            <w:tcW w:w="100" w:type="dxa"/>
            <w:vAlign w:val="bottom"/>
            <w:tcBorders>
              <w:bottom w:val="single" w:sz="8" w:color="CFEDF9"/>
            </w:tcBorders>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1020" w:type="dxa"/>
            <w:vAlign w:val="bottom"/>
            <w:tcBorders>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52,865</w:t>
            </w:r>
          </w:p>
        </w:tc>
        <w:tc>
          <w:tcPr>
            <w:tcW w:w="20" w:type="dxa"/>
            <w:vAlign w:val="bottom"/>
            <w:tcBorders>
              <w:bottom w:val="single" w:sz="8" w:color="CFEDF9"/>
            </w:tcBorders>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140" w:type="dxa"/>
            <w:vAlign w:val="bottom"/>
            <w:tcBorders>
              <w:bottom w:val="single" w:sz="8" w:color="231F20"/>
            </w:tcBorders>
          </w:tcPr>
          <w:p>
            <w:pPr>
              <w:spacing w:after="0"/>
              <w:rPr>
                <w:sz w:val="11"/>
                <w:szCs w:val="11"/>
                <w:color w:val="auto"/>
              </w:rPr>
            </w:pPr>
          </w:p>
        </w:tc>
        <w:tc>
          <w:tcPr>
            <w:tcW w:w="860" w:type="dxa"/>
            <w:vAlign w:val="bottom"/>
            <w:tcBorders>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55,844</w:t>
            </w:r>
          </w:p>
        </w:tc>
        <w:tc>
          <w:tcPr>
            <w:tcW w:w="20" w:type="dxa"/>
            <w:vAlign w:val="bottom"/>
          </w:tcPr>
          <w:p>
            <w:pPr>
              <w:spacing w:after="0"/>
              <w:rPr>
                <w:sz w:val="11"/>
                <w:szCs w:val="11"/>
                <w:color w:val="auto"/>
              </w:rPr>
            </w:pPr>
          </w:p>
        </w:tc>
        <w:tc>
          <w:tcPr>
            <w:tcW w:w="80" w:type="dxa"/>
            <w:vAlign w:val="bottom"/>
            <w:tcBorders>
              <w:bottom w:val="single" w:sz="8" w:color="CFEDF9"/>
            </w:tcBorders>
          </w:tcPr>
          <w:p>
            <w:pPr>
              <w:spacing w:after="0"/>
              <w:rPr>
                <w:sz w:val="11"/>
                <w:szCs w:val="11"/>
                <w:color w:val="auto"/>
              </w:rPr>
            </w:pPr>
          </w:p>
        </w:tc>
        <w:tc>
          <w:tcPr>
            <w:tcW w:w="900" w:type="dxa"/>
            <w:vAlign w:val="bottom"/>
            <w:tcBorders>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color w:val="231F20"/>
              </w:rPr>
              <w:t>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60" w:type="dxa"/>
            <w:vAlign w:val="bottom"/>
            <w:shd w:val="clear" w:color="auto" w:fill="CFEDF9"/>
          </w:tcPr>
          <w:p>
            <w:pPr>
              <w:spacing w:after="0" w:line="115" w:lineRule="exact"/>
              <w:rPr>
                <w:sz w:val="20"/>
                <w:szCs w:val="20"/>
                <w:color w:val="auto"/>
              </w:rPr>
            </w:pPr>
            <w:r>
              <w:rPr>
                <w:rFonts w:ascii="Times New Roman" w:cs="Times New Roman" w:eastAsia="Times New Roman" w:hAnsi="Times New Roman"/>
                <w:sz w:val="12"/>
                <w:szCs w:val="12"/>
                <w:b w:val="1"/>
                <w:bCs w:val="1"/>
                <w:color w:val="231F20"/>
              </w:rPr>
              <w:t>Total Equity and Other</w:t>
            </w:r>
          </w:p>
        </w:tc>
        <w:tc>
          <w:tcPr>
            <w:tcW w:w="100" w:type="dxa"/>
            <w:vAlign w:val="bottom"/>
            <w:shd w:val="clear" w:color="auto" w:fill="CFEDF9"/>
          </w:tcPr>
          <w:p>
            <w:pPr>
              <w:spacing w:after="0"/>
              <w:rPr>
                <w:sz w:val="10"/>
                <w:szCs w:val="10"/>
                <w:color w:val="auto"/>
              </w:rPr>
            </w:pPr>
          </w:p>
        </w:tc>
        <w:tc>
          <w:tcPr>
            <w:tcW w:w="260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880" w:type="dxa"/>
            <w:vAlign w:val="bottom"/>
            <w:shd w:val="clear" w:color="auto" w:fill="CFEDF9"/>
          </w:tcPr>
          <w:p>
            <w:pPr>
              <w:spacing w:after="0"/>
              <w:rPr>
                <w:sz w:val="10"/>
                <w:szCs w:val="10"/>
                <w:color w:val="auto"/>
              </w:rPr>
            </w:pPr>
          </w:p>
        </w:tc>
        <w:tc>
          <w:tcPr>
            <w:tcW w:w="20" w:type="dxa"/>
            <w:vAlign w:val="bottom"/>
            <w:shd w:val="clear" w:color="auto" w:fill="CFEDF9"/>
          </w:tcPr>
          <w:p>
            <w:pPr>
              <w:spacing w:after="0"/>
              <w:rPr>
                <w:sz w:val="10"/>
                <w:szCs w:val="10"/>
                <w:color w:val="auto"/>
              </w:rPr>
            </w:pPr>
          </w:p>
        </w:tc>
        <w:tc>
          <w:tcPr>
            <w:tcW w:w="80" w:type="dxa"/>
            <w:vAlign w:val="bottom"/>
            <w:shd w:val="clear" w:color="auto" w:fill="CFEDF9"/>
          </w:tcPr>
          <w:p>
            <w:pPr>
              <w:spacing w:after="0"/>
              <w:rPr>
                <w:sz w:val="10"/>
                <w:szCs w:val="10"/>
                <w:color w:val="auto"/>
              </w:rPr>
            </w:pPr>
          </w:p>
        </w:tc>
        <w:tc>
          <w:tcPr>
            <w:tcW w:w="94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92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240" w:type="dxa"/>
            <w:vAlign w:val="bottom"/>
            <w:shd w:val="clear" w:color="auto" w:fill="CFEDF9"/>
          </w:tcPr>
          <w:p>
            <w:pPr>
              <w:spacing w:after="0"/>
              <w:rPr>
                <w:sz w:val="10"/>
                <w:szCs w:val="10"/>
                <w:color w:val="auto"/>
              </w:rPr>
            </w:pPr>
          </w:p>
        </w:tc>
        <w:tc>
          <w:tcPr>
            <w:tcW w:w="1020" w:type="dxa"/>
            <w:vAlign w:val="bottom"/>
            <w:shd w:val="clear" w:color="auto" w:fill="CFEDF9"/>
          </w:tcPr>
          <w:p>
            <w:pPr>
              <w:jc w:val="right"/>
              <w:spacing w:after="0" w:line="115" w:lineRule="exact"/>
              <w:rPr>
                <w:sz w:val="20"/>
                <w:szCs w:val="20"/>
                <w:color w:val="auto"/>
              </w:rPr>
            </w:pPr>
            <w:r>
              <w:rPr>
                <w:rFonts w:ascii="Times New Roman" w:cs="Times New Roman" w:eastAsia="Times New Roman" w:hAnsi="Times New Roman"/>
                <w:sz w:val="12"/>
                <w:szCs w:val="12"/>
                <w:color w:val="231F20"/>
              </w:rPr>
              <w:t>205,488</w:t>
            </w:r>
          </w:p>
        </w:tc>
        <w:tc>
          <w:tcPr>
            <w:tcW w:w="20" w:type="dxa"/>
            <w:vAlign w:val="bottom"/>
            <w:shd w:val="clear" w:color="auto" w:fill="CFEDF9"/>
          </w:tcPr>
          <w:p>
            <w:pPr>
              <w:spacing w:after="0"/>
              <w:rPr>
                <w:sz w:val="10"/>
                <w:szCs w:val="10"/>
                <w:color w:val="auto"/>
              </w:rPr>
            </w:pPr>
          </w:p>
        </w:tc>
        <w:tc>
          <w:tcPr>
            <w:tcW w:w="80" w:type="dxa"/>
            <w:vAlign w:val="bottom"/>
            <w:shd w:val="clear" w:color="auto" w:fill="CFEDF9"/>
          </w:tcPr>
          <w:p>
            <w:pPr>
              <w:spacing w:after="0"/>
              <w:rPr>
                <w:sz w:val="10"/>
                <w:szCs w:val="10"/>
                <w:color w:val="auto"/>
              </w:rPr>
            </w:pPr>
          </w:p>
        </w:tc>
        <w:tc>
          <w:tcPr>
            <w:tcW w:w="140" w:type="dxa"/>
            <w:vAlign w:val="bottom"/>
            <w:shd w:val="clear" w:color="auto" w:fill="CFEDF9"/>
          </w:tcPr>
          <w:p>
            <w:pPr>
              <w:spacing w:after="0"/>
              <w:rPr>
                <w:sz w:val="10"/>
                <w:szCs w:val="10"/>
                <w:color w:val="auto"/>
              </w:rPr>
            </w:pPr>
          </w:p>
        </w:tc>
        <w:tc>
          <w:tcPr>
            <w:tcW w:w="880" w:type="dxa"/>
            <w:vAlign w:val="bottom"/>
            <w:gridSpan w:val="2"/>
            <w:shd w:val="clear" w:color="auto" w:fill="CFEDF9"/>
          </w:tcPr>
          <w:p>
            <w:pPr>
              <w:jc w:val="right"/>
              <w:ind w:right="20"/>
              <w:spacing w:after="0" w:line="115" w:lineRule="exact"/>
              <w:rPr>
                <w:sz w:val="20"/>
                <w:szCs w:val="20"/>
                <w:color w:val="auto"/>
              </w:rPr>
            </w:pPr>
            <w:r>
              <w:rPr>
                <w:rFonts w:ascii="Times New Roman" w:cs="Times New Roman" w:eastAsia="Times New Roman" w:hAnsi="Times New Roman"/>
                <w:sz w:val="12"/>
                <w:szCs w:val="12"/>
                <w:color w:val="231F20"/>
              </w:rPr>
              <w:t>211,442</w:t>
            </w:r>
          </w:p>
        </w:tc>
        <w:tc>
          <w:tcPr>
            <w:tcW w:w="80" w:type="dxa"/>
            <w:vAlign w:val="bottom"/>
            <w:shd w:val="clear" w:color="auto" w:fill="CFEDF9"/>
          </w:tcPr>
          <w:p>
            <w:pPr>
              <w:spacing w:after="0"/>
              <w:rPr>
                <w:sz w:val="10"/>
                <w:szCs w:val="10"/>
                <w:color w:val="auto"/>
              </w:rPr>
            </w:pPr>
          </w:p>
        </w:tc>
        <w:tc>
          <w:tcPr>
            <w:tcW w:w="900" w:type="dxa"/>
            <w:vAlign w:val="bottom"/>
            <w:tcBorders>
              <w:right w:val="single" w:sz="8" w:color="CFEDF9"/>
            </w:tcBorders>
            <w:shd w:val="clear" w:color="auto" w:fill="CFEDF9"/>
          </w:tcPr>
          <w:p>
            <w:pPr>
              <w:jc w:val="right"/>
              <w:spacing w:after="0" w:line="115" w:lineRule="exact"/>
              <w:rPr>
                <w:sz w:val="20"/>
                <w:szCs w:val="20"/>
                <w:color w:val="auto"/>
              </w:rPr>
            </w:pPr>
            <w:r>
              <w:rPr>
                <w:rFonts w:ascii="Times New Roman" w:cs="Times New Roman" w:eastAsia="Times New Roman" w:hAnsi="Times New Roman"/>
                <w:sz w:val="12"/>
                <w:szCs w:val="12"/>
                <w:color w:val="231F20"/>
              </w:rPr>
              <w:t>14.1%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6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Investments</w:t>
            </w:r>
          </w:p>
        </w:tc>
        <w:tc>
          <w:tcPr>
            <w:tcW w:w="100" w:type="dxa"/>
            <w:vAlign w:val="bottom"/>
            <w:shd w:val="clear" w:color="auto" w:fill="CFEDF9"/>
          </w:tcPr>
          <w:p>
            <w:pPr>
              <w:spacing w:after="0"/>
              <w:rPr>
                <w:sz w:val="13"/>
                <w:szCs w:val="13"/>
                <w:color w:val="auto"/>
              </w:rPr>
            </w:pPr>
          </w:p>
        </w:tc>
        <w:tc>
          <w:tcPr>
            <w:tcW w:w="260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8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4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240" w:type="dxa"/>
            <w:vAlign w:val="bottom"/>
            <w:tcBorders>
              <w:bottom w:val="single" w:sz="8" w:color="231F20"/>
            </w:tcBorders>
            <w:shd w:val="clear" w:color="auto" w:fill="CFEDF9"/>
          </w:tcPr>
          <w:p>
            <w:pPr>
              <w:spacing w:after="0"/>
              <w:rPr>
                <w:sz w:val="13"/>
                <w:szCs w:val="13"/>
                <w:color w:val="auto"/>
              </w:rPr>
            </w:pPr>
          </w:p>
        </w:tc>
        <w:tc>
          <w:tcPr>
            <w:tcW w:w="1020" w:type="dxa"/>
            <w:vAlign w:val="bottom"/>
            <w:tcBorders>
              <w:bottom w:val="single" w:sz="8" w:color="231F20"/>
            </w:tcBorders>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140" w:type="dxa"/>
            <w:vAlign w:val="bottom"/>
            <w:tcBorders>
              <w:bottom w:val="single" w:sz="8" w:color="231F20"/>
            </w:tcBorders>
            <w:shd w:val="clear" w:color="auto" w:fill="CFEDF9"/>
          </w:tcPr>
          <w:p>
            <w:pPr>
              <w:spacing w:after="0"/>
              <w:rPr>
                <w:sz w:val="13"/>
                <w:szCs w:val="13"/>
                <w:color w:val="auto"/>
              </w:rPr>
            </w:pPr>
          </w:p>
        </w:tc>
        <w:tc>
          <w:tcPr>
            <w:tcW w:w="860" w:type="dxa"/>
            <w:vAlign w:val="bottom"/>
            <w:tcBorders>
              <w:bottom w:val="single" w:sz="8" w:color="231F20"/>
            </w:tcBorders>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900" w:type="dxa"/>
            <w:vAlign w:val="bottom"/>
            <w:tcBorders>
              <w:bottom w:val="single" w:sz="8" w:color="231F20"/>
              <w:right w:val="single" w:sz="8" w:color="CFEDF9"/>
            </w:tcBorders>
            <w:shd w:val="clear" w:color="auto" w:fill="CFEDF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56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Total Investments</w:t>
            </w: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1020" w:type="dxa"/>
            <w:vAlign w:val="bottom"/>
            <w:tcBorders>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231F20"/>
              </w:rPr>
              <w:t>3,251,012</w:t>
            </w:r>
          </w:p>
        </w:tc>
        <w:tc>
          <w:tcPr>
            <w:tcW w:w="20" w:type="dxa"/>
            <w:vAlign w:val="bottom"/>
            <w:tcBorders>
              <w:bottom w:val="single" w:sz="8" w:color="231F20"/>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860" w:type="dxa"/>
            <w:vAlign w:val="bottom"/>
            <w:tcBorders>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231F20"/>
              </w:rPr>
              <w:t>3,283,065</w:t>
            </w:r>
          </w:p>
        </w:tc>
        <w:tc>
          <w:tcPr>
            <w:tcW w:w="20" w:type="dxa"/>
            <w:vAlign w:val="bottom"/>
            <w:tcBorders>
              <w:bottom w:val="single" w:sz="8" w:color="231F20"/>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231F20"/>
            </w:tcBorders>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231F20"/>
              </w:rPr>
              <w:t>219.4%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740" w:top="937" w:right="740" w:bottom="175"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F-9</w:t>
      </w:r>
    </w:p>
    <w:p>
      <w:pPr>
        <w:sectPr>
          <w:pgSz w:w="12240" w:h="15840" w:orient="portrait"/>
          <w:cols w:equalWidth="0" w:num="1">
            <w:col w:w="10760"/>
          </w:cols>
          <w:pgMar w:left="740" w:top="937" w:right="740" w:bottom="175" w:gutter="0" w:footer="0" w:header="0"/>
          <w:type w:val="continuous"/>
        </w:sectPr>
      </w:pPr>
    </w:p>
    <w:bookmarkStart w:id="94" w:name="page95"/>
    <w:bookmarkEnd w:id="94"/>
    <w:tbl>
      <w:tblPr>
        <w:tblLayout w:type="fixed"/>
        <w:tblInd w:w="3"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16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3840" w:type="dxa"/>
            <w:vAlign w:val="bottom"/>
            <w:tcBorders>
              <w:bottom w:val="single" w:sz="8" w:color="231F20"/>
            </w:tcBorders>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Interest Rate Swaps as of December 31, 2023</w:t>
            </w:r>
          </w:p>
        </w:tc>
        <w:tc>
          <w:tcPr>
            <w:tcW w:w="10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Company</w:t>
            </w: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Company</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b w:val="1"/>
                <w:bCs w:val="1"/>
                <w:color w:val="231F20"/>
              </w:rPr>
              <w:t>Notional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6"/>
                <w:szCs w:val="16"/>
                <w:b w:val="1"/>
                <w:bCs w:val="1"/>
                <w:color w:val="231F20"/>
                <w:w w:val="95"/>
              </w:rPr>
              <w:t>Fair</w:t>
            </w:r>
          </w:p>
        </w:tc>
        <w:tc>
          <w:tcPr>
            <w:tcW w:w="100" w:type="dxa"/>
            <w:vAlign w:val="bottom"/>
          </w:tcPr>
          <w:p>
            <w:pPr>
              <w:spacing w:after="0"/>
              <w:rPr>
                <w:sz w:val="13"/>
                <w:szCs w:val="13"/>
                <w:color w:val="auto"/>
              </w:rPr>
            </w:pPr>
          </w:p>
        </w:tc>
        <w:tc>
          <w:tcPr>
            <w:tcW w:w="98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231F20"/>
              </w:rPr>
              <w:t>Upfront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04"/>
              <w:spacing w:after="0" w:line="155" w:lineRule="exact"/>
              <w:rPr>
                <w:sz w:val="20"/>
                <w:szCs w:val="20"/>
                <w:color w:val="auto"/>
              </w:rPr>
            </w:pPr>
            <w:r>
              <w:rPr>
                <w:rFonts w:ascii="Times New Roman" w:cs="Times New Roman" w:eastAsia="Times New Roman" w:hAnsi="Times New Roman"/>
                <w:sz w:val="16"/>
                <w:szCs w:val="16"/>
                <w:b w:val="1"/>
                <w:bCs w:val="1"/>
                <w:color w:val="231F20"/>
              </w:rPr>
              <w:t>Change in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Maturity Date</w:t>
            </w: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rPr>
              <w:t>Market</w:t>
            </w: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(Payments) /</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231F20"/>
                <w:w w:val="99"/>
              </w:rPr>
              <w:t>Unrealized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Receives</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Pays</w:t>
            </w:r>
          </w:p>
        </w:tc>
        <w:tc>
          <w:tcPr>
            <w:tcW w:w="12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90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Receipts</w:t>
            </w:r>
          </w:p>
        </w:tc>
        <w:tc>
          <w:tcPr>
            <w:tcW w:w="2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8"/>
              </w:rPr>
              <w:t>Gains / (Losses)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20" w:type="dxa"/>
            <w:vAlign w:val="bottom"/>
            <w:tcBorders>
              <w:top w:val="single" w:sz="8" w:color="CFEDF9"/>
            </w:tcBorders>
            <w:shd w:val="clear" w:color="auto" w:fill="CFEDF9"/>
          </w:tcPr>
          <w:p>
            <w:pPr>
              <w:spacing w:after="0"/>
              <w:rPr>
                <w:sz w:val="17"/>
                <w:szCs w:val="17"/>
                <w:color w:val="auto"/>
              </w:rPr>
            </w:pPr>
          </w:p>
        </w:tc>
        <w:tc>
          <w:tcPr>
            <w:tcW w:w="1160" w:type="dxa"/>
            <w:vAlign w:val="bottom"/>
            <w:tcBorders>
              <w:top w:val="single" w:sz="8" w:color="231F20"/>
            </w:tcBorders>
            <w:shd w:val="clear" w:color="auto" w:fill="CFEDF9"/>
          </w:tcPr>
          <w:p>
            <w:pPr>
              <w:jc w:val="center"/>
              <w:spacing w:after="0" w:line="201" w:lineRule="exact"/>
              <w:rPr>
                <w:sz w:val="20"/>
                <w:szCs w:val="20"/>
                <w:color w:val="auto"/>
              </w:rPr>
            </w:pPr>
            <w:r>
              <w:rPr>
                <w:rFonts w:ascii="Times New Roman" w:cs="Times New Roman" w:eastAsia="Times New Roman" w:hAnsi="Times New Roman"/>
                <w:sz w:val="20"/>
                <w:szCs w:val="20"/>
                <w:color w:val="231F20"/>
                <w:w w:val="99"/>
              </w:rPr>
              <w:t>SOFR +</w:t>
            </w:r>
          </w:p>
        </w:tc>
        <w:tc>
          <w:tcPr>
            <w:tcW w:w="120" w:type="dxa"/>
            <w:vAlign w:val="bottom"/>
            <w:tcBorders>
              <w:top w:val="single" w:sz="8" w:color="CFEDF9"/>
            </w:tcBorders>
            <w:shd w:val="clear" w:color="auto" w:fill="CFEDF9"/>
          </w:tcPr>
          <w:p>
            <w:pPr>
              <w:spacing w:after="0"/>
              <w:rPr>
                <w:sz w:val="17"/>
                <w:szCs w:val="17"/>
                <w:color w:val="auto"/>
              </w:rPr>
            </w:pPr>
          </w:p>
        </w:tc>
        <w:tc>
          <w:tcPr>
            <w:tcW w:w="116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c>
          <w:tcPr>
            <w:tcW w:w="116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c>
          <w:tcPr>
            <w:tcW w:w="160" w:type="dxa"/>
            <w:vAlign w:val="bottom"/>
            <w:tcBorders>
              <w:top w:val="single" w:sz="8" w:color="231F20"/>
            </w:tcBorders>
            <w:shd w:val="clear" w:color="auto" w:fill="CFEDF9"/>
          </w:tcPr>
          <w:p>
            <w:pPr>
              <w:spacing w:after="0"/>
              <w:rPr>
                <w:sz w:val="17"/>
                <w:szCs w:val="17"/>
                <w:color w:val="auto"/>
              </w:rPr>
            </w:pPr>
          </w:p>
        </w:tc>
        <w:tc>
          <w:tcPr>
            <w:tcW w:w="900" w:type="dxa"/>
            <w:vAlign w:val="bottom"/>
            <w:tcBorders>
              <w:top w:val="single" w:sz="8" w:color="231F20"/>
            </w:tcBorders>
            <w:shd w:val="clear" w:color="auto" w:fill="CFEDF9"/>
          </w:tcPr>
          <w:p>
            <w:pPr>
              <w:spacing w:after="0"/>
              <w:rPr>
                <w:sz w:val="17"/>
                <w:szCs w:val="17"/>
                <w:color w:val="auto"/>
              </w:rPr>
            </w:pPr>
          </w:p>
        </w:tc>
        <w:tc>
          <w:tcPr>
            <w:tcW w:w="220" w:type="dxa"/>
            <w:vAlign w:val="bottom"/>
            <w:tcBorders>
              <w:top w:val="single" w:sz="8" w:color="CFEDF9"/>
            </w:tcBorders>
            <w:shd w:val="clear" w:color="auto" w:fill="CFEDF9"/>
          </w:tcPr>
          <w:p>
            <w:pPr>
              <w:spacing w:after="0"/>
              <w:rPr>
                <w:sz w:val="17"/>
                <w:szCs w:val="17"/>
                <w:color w:val="auto"/>
              </w:rPr>
            </w:pPr>
          </w:p>
        </w:tc>
        <w:tc>
          <w:tcPr>
            <w:tcW w:w="180" w:type="dxa"/>
            <w:vAlign w:val="bottom"/>
            <w:tcBorders>
              <w:top w:val="single" w:sz="8" w:color="231F20"/>
            </w:tcBorders>
            <w:shd w:val="clear" w:color="auto" w:fill="CFEDF9"/>
          </w:tcPr>
          <w:p>
            <w:pPr>
              <w:spacing w:after="0"/>
              <w:rPr>
                <w:sz w:val="17"/>
                <w:szCs w:val="17"/>
                <w:color w:val="auto"/>
              </w:rPr>
            </w:pPr>
          </w:p>
        </w:tc>
        <w:tc>
          <w:tcPr>
            <w:tcW w:w="880" w:type="dxa"/>
            <w:vAlign w:val="bottom"/>
            <w:tcBorders>
              <w:top w:val="single" w:sz="8" w:color="231F20"/>
            </w:tcBorders>
            <w:shd w:val="clear" w:color="auto" w:fill="CFEDF9"/>
          </w:tcPr>
          <w:p>
            <w:pPr>
              <w:spacing w:after="0"/>
              <w:rPr>
                <w:sz w:val="17"/>
                <w:szCs w:val="17"/>
                <w:color w:val="auto"/>
              </w:rPr>
            </w:pPr>
          </w:p>
        </w:tc>
        <w:tc>
          <w:tcPr>
            <w:tcW w:w="220" w:type="dxa"/>
            <w:vAlign w:val="bottom"/>
            <w:tcBorders>
              <w:top w:val="single" w:sz="8" w:color="CFEDF9"/>
            </w:tcBorders>
            <w:shd w:val="clear" w:color="auto" w:fill="CFEDF9"/>
          </w:tcPr>
          <w:p>
            <w:pPr>
              <w:spacing w:after="0"/>
              <w:rPr>
                <w:sz w:val="17"/>
                <w:szCs w:val="17"/>
                <w:color w:val="auto"/>
              </w:rPr>
            </w:pPr>
          </w:p>
        </w:tc>
        <w:tc>
          <w:tcPr>
            <w:tcW w:w="100" w:type="dxa"/>
            <w:vAlign w:val="bottom"/>
            <w:tcBorders>
              <w:top w:val="single" w:sz="8" w:color="231F20"/>
            </w:tcBorders>
            <w:shd w:val="clear" w:color="auto" w:fill="CFEDF9"/>
          </w:tcPr>
          <w:p>
            <w:pPr>
              <w:spacing w:after="0"/>
              <w:rPr>
                <w:sz w:val="17"/>
                <w:szCs w:val="17"/>
                <w:color w:val="auto"/>
              </w:rPr>
            </w:pPr>
          </w:p>
        </w:tc>
        <w:tc>
          <w:tcPr>
            <w:tcW w:w="960" w:type="dxa"/>
            <w:vAlign w:val="bottom"/>
            <w:tcBorders>
              <w:top w:val="single" w:sz="8" w:color="231F20"/>
            </w:tcBorders>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200" w:type="dxa"/>
            <w:vAlign w:val="bottom"/>
            <w:tcBorders>
              <w:top w:val="single" w:sz="8" w:color="CFEDF9"/>
            </w:tcBorders>
            <w:shd w:val="clear" w:color="auto" w:fill="CFEDF9"/>
          </w:tcPr>
          <w:p>
            <w:pPr>
              <w:spacing w:after="0"/>
              <w:rPr>
                <w:sz w:val="17"/>
                <w:szCs w:val="17"/>
                <w:color w:val="auto"/>
              </w:rPr>
            </w:pPr>
          </w:p>
        </w:tc>
        <w:tc>
          <w:tcPr>
            <w:tcW w:w="140" w:type="dxa"/>
            <w:vAlign w:val="bottom"/>
            <w:tcBorders>
              <w:top w:val="single" w:sz="8" w:color="231F20"/>
            </w:tcBorders>
            <w:shd w:val="clear" w:color="auto" w:fill="CFEDF9"/>
          </w:tcPr>
          <w:p>
            <w:pPr>
              <w:spacing w:after="0"/>
              <w:rPr>
                <w:sz w:val="17"/>
                <w:szCs w:val="17"/>
                <w:color w:val="auto"/>
              </w:rPr>
            </w:pPr>
          </w:p>
        </w:tc>
        <w:tc>
          <w:tcPr>
            <w:tcW w:w="940" w:type="dxa"/>
            <w:vAlign w:val="bottom"/>
            <w:tcBorders>
              <w:top w:val="single" w:sz="8" w:color="231F20"/>
            </w:tcBorders>
            <w:shd w:val="clear" w:color="auto" w:fill="CFEDF9"/>
          </w:tcPr>
          <w:p>
            <w:pPr>
              <w:spacing w:after="0"/>
              <w:rPr>
                <w:sz w:val="17"/>
                <w:szCs w:val="17"/>
                <w:color w:val="auto"/>
              </w:rPr>
            </w:pPr>
          </w:p>
        </w:tc>
        <w:tc>
          <w:tcPr>
            <w:tcW w:w="100" w:type="dxa"/>
            <w:vAlign w:val="bottom"/>
            <w:tcBorders>
              <w:top w:val="single" w:sz="8" w:color="CFEDF9"/>
            </w:tcBorders>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20" w:type="dxa"/>
            <w:vAlign w:val="bottom"/>
            <w:shd w:val="clear" w:color="auto" w:fill="CFEDF9"/>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w:t>
            </w:r>
          </w:p>
        </w:tc>
        <w:tc>
          <w:tcPr>
            <w:tcW w:w="116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rPr>
              <w:t>2.54%</w:t>
            </w:r>
          </w:p>
        </w:tc>
        <w:tc>
          <w:tcPr>
            <w:tcW w:w="120" w:type="dxa"/>
            <w:vAlign w:val="bottom"/>
            <w:shd w:val="clear" w:color="auto" w:fill="CFEDF9"/>
          </w:tcPr>
          <w:p>
            <w:pPr>
              <w:spacing w:after="0"/>
              <w:rPr>
                <w:sz w:val="21"/>
                <w:szCs w:val="21"/>
                <w:color w:val="auto"/>
              </w:rPr>
            </w:pPr>
          </w:p>
        </w:tc>
        <w:tc>
          <w:tcPr>
            <w:tcW w:w="116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7"/>
              </w:rPr>
              <w:t>3.875%</w:t>
            </w:r>
          </w:p>
        </w:tc>
        <w:tc>
          <w:tcPr>
            <w:tcW w:w="120" w:type="dxa"/>
            <w:vAlign w:val="bottom"/>
            <w:shd w:val="clear" w:color="auto" w:fill="CFEDF9"/>
          </w:tcPr>
          <w:p>
            <w:pPr>
              <w:spacing w:after="0"/>
              <w:rPr>
                <w:sz w:val="21"/>
                <w:szCs w:val="21"/>
                <w:color w:val="auto"/>
              </w:rPr>
            </w:pPr>
          </w:p>
        </w:tc>
        <w:tc>
          <w:tcPr>
            <w:tcW w:w="1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120" w:type="dxa"/>
            <w:vAlign w:val="bottom"/>
            <w:shd w:val="clear" w:color="auto" w:fill="CFEDF9"/>
          </w:tcPr>
          <w:p>
            <w:pPr>
              <w:spacing w:after="0"/>
              <w:rPr>
                <w:sz w:val="21"/>
                <w:szCs w:val="21"/>
                <w:color w:val="auto"/>
              </w:rPr>
            </w:pPr>
          </w:p>
        </w:tc>
        <w:tc>
          <w:tcPr>
            <w:tcW w:w="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2,500</w:t>
            </w:r>
          </w:p>
        </w:tc>
        <w:tc>
          <w:tcPr>
            <w:tcW w:w="220" w:type="dxa"/>
            <w:vAlign w:val="bottom"/>
            <w:shd w:val="clear" w:color="auto" w:fill="CFEDF9"/>
          </w:tcPr>
          <w:p>
            <w:pPr>
              <w:spacing w:after="0"/>
              <w:rPr>
                <w:sz w:val="21"/>
                <w:szCs w:val="21"/>
                <w:color w:val="auto"/>
              </w:rPr>
            </w:pPr>
          </w:p>
        </w:tc>
        <w:tc>
          <w:tcPr>
            <w:tcW w:w="1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21"/>
                <w:szCs w:val="21"/>
                <w:color w:val="auto"/>
              </w:rPr>
            </w:pPr>
          </w:p>
        </w:tc>
        <w:tc>
          <w:tcPr>
            <w:tcW w:w="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gridSpan w:val="2"/>
            <w:shd w:val="clear" w:color="auto" w:fill="CFEDF9"/>
          </w:tcPr>
          <w:p>
            <w:pPr>
              <w:ind w:left="76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Interest rate swap</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231F20"/>
              </w:rPr>
              <w:t>SOFR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231F20"/>
              </w:rPr>
              <w:t>(a)(b)(c)(d)</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3.875%</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2.51%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(8,846)</w:t>
            </w:r>
          </w:p>
        </w:tc>
        <w:tc>
          <w:tcPr>
            <w:tcW w:w="100" w:type="dxa"/>
            <w:vAlign w:val="bottom"/>
          </w:tcPr>
          <w:p>
            <w:pPr>
              <w:spacing w:after="0"/>
              <w:rPr>
                <w:sz w:val="21"/>
                <w:szCs w:val="21"/>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FEDF9"/>
          </w:tcPr>
          <w:p>
            <w:pPr>
              <w:spacing w:after="0" w:line="210" w:lineRule="exact"/>
              <w:rPr>
                <w:sz w:val="20"/>
                <w:szCs w:val="20"/>
                <w:color w:val="auto"/>
              </w:rPr>
            </w:pPr>
            <w:r>
              <w:rPr>
                <w:rFonts w:ascii="Times New Roman" w:cs="Times New Roman" w:eastAsia="Times New Roman" w:hAnsi="Times New Roman"/>
                <w:sz w:val="20"/>
                <w:szCs w:val="20"/>
                <w:color w:val="231F20"/>
              </w:rPr>
              <w:t>Interest rate swap</w:t>
            </w:r>
          </w:p>
        </w:tc>
        <w:tc>
          <w:tcPr>
            <w:tcW w:w="116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60" w:type="dxa"/>
            <w:vAlign w:val="bottom"/>
            <w:shd w:val="clear" w:color="auto" w:fill="CFEDF9"/>
          </w:tcPr>
          <w:p>
            <w:pPr>
              <w:jc w:val="center"/>
              <w:spacing w:after="0" w:line="210" w:lineRule="exact"/>
              <w:rPr>
                <w:sz w:val="20"/>
                <w:szCs w:val="20"/>
                <w:color w:val="auto"/>
              </w:rPr>
            </w:pPr>
            <w:r>
              <w:rPr>
                <w:rFonts w:ascii="Times New Roman" w:cs="Times New Roman" w:eastAsia="Times New Roman" w:hAnsi="Times New Roman"/>
                <w:sz w:val="20"/>
                <w:szCs w:val="20"/>
                <w:color w:val="231F20"/>
              </w:rPr>
              <w:t>SOFR +</w:t>
            </w:r>
          </w:p>
        </w:tc>
        <w:tc>
          <w:tcPr>
            <w:tcW w:w="120" w:type="dxa"/>
            <w:vAlign w:val="bottom"/>
            <w:shd w:val="clear" w:color="auto" w:fill="CFEDF9"/>
          </w:tcPr>
          <w:p>
            <w:pPr>
              <w:spacing w:after="0"/>
              <w:rPr>
                <w:sz w:val="18"/>
                <w:szCs w:val="18"/>
                <w:color w:val="auto"/>
              </w:rPr>
            </w:pPr>
          </w:p>
        </w:tc>
        <w:tc>
          <w:tcPr>
            <w:tcW w:w="116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60" w:type="dxa"/>
            <w:vAlign w:val="bottom"/>
            <w:shd w:val="clear" w:color="auto" w:fill="CFEDF9"/>
          </w:tcPr>
          <w:p>
            <w:pPr>
              <w:spacing w:after="0"/>
              <w:rPr>
                <w:sz w:val="18"/>
                <w:szCs w:val="18"/>
                <w:color w:val="auto"/>
              </w:rPr>
            </w:pPr>
          </w:p>
        </w:tc>
        <w:tc>
          <w:tcPr>
            <w:tcW w:w="90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180" w:type="dxa"/>
            <w:vAlign w:val="bottom"/>
            <w:shd w:val="clear" w:color="auto" w:fill="CFEDF9"/>
          </w:tcPr>
          <w:p>
            <w:pPr>
              <w:spacing w:after="0"/>
              <w:rPr>
                <w:sz w:val="18"/>
                <w:szCs w:val="18"/>
                <w:color w:val="auto"/>
              </w:rPr>
            </w:pPr>
          </w:p>
        </w:tc>
        <w:tc>
          <w:tcPr>
            <w:tcW w:w="88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96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94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20" w:type="dxa"/>
            <w:vAlign w:val="bottom"/>
            <w:shd w:val="clear" w:color="auto" w:fill="CFEDF9"/>
          </w:tcPr>
          <w:p>
            <w:pPr>
              <w:spacing w:after="0"/>
              <w:rPr>
                <w:sz w:val="20"/>
                <w:szCs w:val="20"/>
                <w:color w:val="auto"/>
              </w:rPr>
            </w:pPr>
            <w:r>
              <w:rPr>
                <w:rFonts w:ascii="Times New Roman" w:cs="Times New Roman" w:eastAsia="Times New Roman" w:hAnsi="Times New Roman"/>
                <w:sz w:val="13"/>
                <w:szCs w:val="13"/>
                <w:color w:val="231F20"/>
              </w:rPr>
              <w:t>(a)(b)(c)(d)</w:t>
            </w:r>
          </w:p>
        </w:tc>
        <w:tc>
          <w:tcPr>
            <w:tcW w:w="116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rPr>
              <w:t>3.875%</w:t>
            </w:r>
          </w:p>
        </w:tc>
        <w:tc>
          <w:tcPr>
            <w:tcW w:w="1280" w:type="dxa"/>
            <w:vAlign w:val="bottom"/>
            <w:gridSpan w:val="2"/>
            <w:shd w:val="clear" w:color="auto" w:fill="CFEDF9"/>
          </w:tcPr>
          <w:p>
            <w:pPr>
              <w:jc w:val="center"/>
              <w:ind w:left="20"/>
              <w:spacing w:after="0"/>
              <w:rPr>
                <w:sz w:val="20"/>
                <w:szCs w:val="20"/>
                <w:color w:val="auto"/>
              </w:rPr>
            </w:pPr>
            <w:r>
              <w:rPr>
                <w:rFonts w:ascii="Times New Roman" w:cs="Times New Roman" w:eastAsia="Times New Roman" w:hAnsi="Times New Roman"/>
                <w:sz w:val="20"/>
                <w:szCs w:val="20"/>
                <w:color w:val="231F20"/>
              </w:rPr>
              <w:t>2.72%</w:t>
            </w:r>
          </w:p>
        </w:tc>
        <w:tc>
          <w:tcPr>
            <w:tcW w:w="12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12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22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110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(1,563)</w:t>
            </w:r>
          </w:p>
        </w:tc>
        <w:tc>
          <w:tcPr>
            <w:tcW w:w="100" w:type="dxa"/>
            <w:vAlign w:val="bottom"/>
            <w:shd w:val="clear" w:color="auto" w:fill="CFEDF9"/>
          </w:tcPr>
          <w:p>
            <w:pPr>
              <w:spacing w:after="0"/>
              <w:rPr>
                <w:sz w:val="21"/>
                <w:szCs w:val="21"/>
                <w:color w:val="auto"/>
              </w:rPr>
            </w:pPr>
          </w:p>
        </w:tc>
        <w:tc>
          <w:tcPr>
            <w:tcW w:w="980" w:type="dxa"/>
            <w:vAlign w:val="bottom"/>
            <w:gridSpan w:val="2"/>
            <w:shd w:val="clear" w:color="auto" w:fill="CFEDF9"/>
          </w:tcPr>
          <w:p>
            <w:pPr>
              <w:ind w:left="76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1,362</w:t>
            </w:r>
          </w:p>
        </w:tc>
        <w:tc>
          <w:tcPr>
            <w:tcW w:w="10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231F20"/>
              </w:rPr>
              <w:t>SOFR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2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(a)(b)</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2.50%</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2.17%</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8/1/2026</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(26,111)</w:t>
            </w:r>
          </w:p>
        </w:tc>
        <w:tc>
          <w:tcPr>
            <w:tcW w:w="100" w:type="dxa"/>
            <w:vAlign w:val="bottom"/>
          </w:tcPr>
          <w:p>
            <w:pPr>
              <w:spacing w:after="0"/>
              <w:rPr>
                <w:sz w:val="21"/>
                <w:szCs w:val="21"/>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20" w:type="dxa"/>
            <w:vAlign w:val="bottom"/>
            <w:shd w:val="clear" w:color="auto" w:fill="CFEDF9"/>
          </w:tcPr>
          <w:p>
            <w:pPr>
              <w:spacing w:after="0"/>
              <w:rPr>
                <w:sz w:val="18"/>
                <w:szCs w:val="18"/>
                <w:color w:val="auto"/>
              </w:rPr>
            </w:pPr>
          </w:p>
        </w:tc>
        <w:tc>
          <w:tcPr>
            <w:tcW w:w="116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60" w:type="dxa"/>
            <w:vAlign w:val="bottom"/>
            <w:shd w:val="clear" w:color="auto" w:fill="CFEDF9"/>
          </w:tcPr>
          <w:p>
            <w:pPr>
              <w:jc w:val="center"/>
              <w:spacing w:after="0" w:line="210" w:lineRule="exact"/>
              <w:rPr>
                <w:sz w:val="20"/>
                <w:szCs w:val="20"/>
                <w:color w:val="auto"/>
              </w:rPr>
            </w:pPr>
            <w:r>
              <w:rPr>
                <w:rFonts w:ascii="Times New Roman" w:cs="Times New Roman" w:eastAsia="Times New Roman" w:hAnsi="Times New Roman"/>
                <w:sz w:val="20"/>
                <w:szCs w:val="20"/>
                <w:color w:val="231F20"/>
              </w:rPr>
              <w:t>SOFR +</w:t>
            </w:r>
          </w:p>
        </w:tc>
        <w:tc>
          <w:tcPr>
            <w:tcW w:w="120" w:type="dxa"/>
            <w:vAlign w:val="bottom"/>
            <w:shd w:val="clear" w:color="auto" w:fill="CFEDF9"/>
          </w:tcPr>
          <w:p>
            <w:pPr>
              <w:spacing w:after="0"/>
              <w:rPr>
                <w:sz w:val="18"/>
                <w:szCs w:val="18"/>
                <w:color w:val="auto"/>
              </w:rPr>
            </w:pPr>
          </w:p>
        </w:tc>
        <w:tc>
          <w:tcPr>
            <w:tcW w:w="116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60" w:type="dxa"/>
            <w:vAlign w:val="bottom"/>
            <w:shd w:val="clear" w:color="auto" w:fill="CFEDF9"/>
          </w:tcPr>
          <w:p>
            <w:pPr>
              <w:spacing w:after="0"/>
              <w:rPr>
                <w:sz w:val="18"/>
                <w:szCs w:val="18"/>
                <w:color w:val="auto"/>
              </w:rPr>
            </w:pPr>
          </w:p>
        </w:tc>
        <w:tc>
          <w:tcPr>
            <w:tcW w:w="90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180" w:type="dxa"/>
            <w:vAlign w:val="bottom"/>
            <w:shd w:val="clear" w:color="auto" w:fill="CFEDF9"/>
          </w:tcPr>
          <w:p>
            <w:pPr>
              <w:spacing w:after="0"/>
              <w:rPr>
                <w:sz w:val="18"/>
                <w:szCs w:val="18"/>
                <w:color w:val="auto"/>
              </w:rPr>
            </w:pPr>
          </w:p>
        </w:tc>
        <w:tc>
          <w:tcPr>
            <w:tcW w:w="88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96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94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20" w:type="dxa"/>
            <w:vAlign w:val="bottom"/>
            <w:shd w:val="clear" w:color="auto" w:fill="CFEDF9"/>
          </w:tcPr>
          <w:p>
            <w:pPr>
              <w:spacing w:after="0" w:line="25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(a)(b)</w:t>
            </w:r>
          </w:p>
        </w:tc>
        <w:tc>
          <w:tcPr>
            <w:tcW w:w="116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rPr>
              <w:t>6.95%</w:t>
            </w:r>
          </w:p>
        </w:tc>
        <w:tc>
          <w:tcPr>
            <w:tcW w:w="1280" w:type="dxa"/>
            <w:vAlign w:val="bottom"/>
            <w:gridSpan w:val="2"/>
            <w:shd w:val="clear" w:color="auto" w:fill="CFEDF9"/>
          </w:tcPr>
          <w:p>
            <w:pPr>
              <w:jc w:val="center"/>
              <w:ind w:left="20"/>
              <w:spacing w:after="0"/>
              <w:rPr>
                <w:sz w:val="20"/>
                <w:szCs w:val="20"/>
                <w:color w:val="auto"/>
              </w:rPr>
            </w:pPr>
            <w:r>
              <w:rPr>
                <w:rFonts w:ascii="Times New Roman" w:cs="Times New Roman" w:eastAsia="Times New Roman" w:hAnsi="Times New Roman"/>
                <w:sz w:val="20"/>
                <w:szCs w:val="20"/>
                <w:color w:val="231F20"/>
              </w:rPr>
              <w:t>2.99%</w:t>
            </w:r>
          </w:p>
        </w:tc>
        <w:tc>
          <w:tcPr>
            <w:tcW w:w="12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8/14/2028</w:t>
            </w:r>
          </w:p>
        </w:tc>
        <w:tc>
          <w:tcPr>
            <w:tcW w:w="12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2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4,680</w:t>
            </w:r>
          </w:p>
        </w:tc>
        <w:tc>
          <w:tcPr>
            <w:tcW w:w="2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980" w:type="dxa"/>
            <w:vAlign w:val="bottom"/>
            <w:gridSpan w:val="2"/>
            <w:shd w:val="clear" w:color="auto" w:fill="CFEDF9"/>
          </w:tcPr>
          <w:p>
            <w:pPr>
              <w:ind w:left="76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4,680</w:t>
            </w:r>
          </w:p>
        </w:tc>
        <w:tc>
          <w:tcPr>
            <w:tcW w:w="10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231F20"/>
              </w:rPr>
              <w:t>Total Hedge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231F20"/>
            </w:tcBorders>
          </w:tcPr>
          <w:p>
            <w:pPr>
              <w:spacing w:after="0"/>
              <w:rPr>
                <w:sz w:val="17"/>
                <w:szCs w:val="17"/>
                <w:color w:val="auto"/>
              </w:rPr>
            </w:pPr>
          </w:p>
        </w:tc>
        <w:tc>
          <w:tcPr>
            <w:tcW w:w="900" w:type="dxa"/>
            <w:vAlign w:val="bottom"/>
            <w:tcBorders>
              <w:top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231F20"/>
            </w:tcBorders>
          </w:tcPr>
          <w:p>
            <w:pPr>
              <w:spacing w:after="0"/>
              <w:rPr>
                <w:sz w:val="17"/>
                <w:szCs w:val="17"/>
                <w:color w:val="auto"/>
              </w:rPr>
            </w:pPr>
          </w:p>
        </w:tc>
        <w:tc>
          <w:tcPr>
            <w:tcW w:w="880" w:type="dxa"/>
            <w:vAlign w:val="bottom"/>
            <w:tcBorders>
              <w:top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231F20"/>
            </w:tcBorders>
          </w:tcPr>
          <w:p>
            <w:pPr>
              <w:spacing w:after="0"/>
              <w:rPr>
                <w:sz w:val="17"/>
                <w:szCs w:val="17"/>
                <w:color w:val="auto"/>
              </w:rPr>
            </w:pPr>
          </w:p>
        </w:tc>
        <w:tc>
          <w:tcPr>
            <w:tcW w:w="960" w:type="dxa"/>
            <w:vAlign w:val="bottom"/>
            <w:tcBorders>
              <w:top w:val="single" w:sz="8" w:color="231F20"/>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940" w:type="dxa"/>
            <w:vAlign w:val="bottom"/>
            <w:tcBorders>
              <w:top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231F20"/>
              </w:rPr>
              <w:t>Accounting Swaps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952,500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(31,840)</w:t>
            </w:r>
          </w:p>
        </w:tc>
        <w:tc>
          <w:tcPr>
            <w:tcW w:w="100" w:type="dxa"/>
            <w:vAlign w:val="bottom"/>
          </w:tcPr>
          <w:p>
            <w:pPr>
              <w:spacing w:after="0"/>
              <w:rPr>
                <w:sz w:val="21"/>
                <w:szCs w:val="21"/>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Cash collateral</w:t>
            </w:r>
          </w:p>
        </w:tc>
        <w:tc>
          <w:tcPr>
            <w:tcW w:w="11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55,819</w:t>
            </w:r>
          </w:p>
        </w:tc>
        <w:tc>
          <w:tcPr>
            <w:tcW w:w="2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980" w:type="dxa"/>
            <w:vAlign w:val="bottom"/>
            <w:gridSpan w:val="2"/>
            <w:shd w:val="clear" w:color="auto" w:fill="CFEDF9"/>
          </w:tcPr>
          <w:p>
            <w:pPr>
              <w:ind w:left="760"/>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derivatives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gridSpan w:val="3"/>
          </w:tcPr>
          <w:p>
            <w:pPr>
              <w:spacing w:after="0"/>
              <w:rPr>
                <w:sz w:val="19"/>
                <w:szCs w:val="19"/>
                <w:color w:val="auto"/>
              </w:rPr>
            </w:pPr>
          </w:p>
        </w:tc>
        <w:tc>
          <w:tcPr>
            <w:tcW w:w="1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952,500</w:t>
            </w:r>
          </w:p>
        </w:tc>
        <w:tc>
          <w:tcPr>
            <w:tcW w:w="220" w:type="dxa"/>
            <w:vAlign w:val="bottom"/>
          </w:tcPr>
          <w:p>
            <w:pPr>
              <w:spacing w:after="0"/>
              <w:rPr>
                <w:sz w:val="19"/>
                <w:szCs w:val="19"/>
                <w:color w:val="auto"/>
              </w:rPr>
            </w:pPr>
          </w:p>
        </w:tc>
        <w:tc>
          <w:tcPr>
            <w:tcW w:w="1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23,979</w:t>
            </w:r>
          </w:p>
        </w:tc>
        <w:tc>
          <w:tcPr>
            <w:tcW w:w="22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bottom w:val="single" w:sz="8" w:color="231F20"/>
            </w:tcBorders>
          </w:tcPr>
          <w:p>
            <w:pPr>
              <w:ind w:left="760"/>
              <w:spacing w:after="0" w:line="220" w:lineRule="exact"/>
              <w:rPr>
                <w:sz w:val="20"/>
                <w:szCs w:val="20"/>
                <w:color w:val="auto"/>
              </w:rPr>
            </w:pPr>
            <w:r>
              <w:rPr>
                <w:rFonts w:ascii="Times New Roman" w:cs="Times New Roman" w:eastAsia="Times New Roman" w:hAnsi="Times New Roman"/>
                <w:sz w:val="20"/>
                <w:szCs w:val="20"/>
                <w:color w:val="231F20"/>
                <w:w w:val="89"/>
              </w:rPr>
              <w:t>—</w:t>
            </w:r>
          </w:p>
        </w:tc>
        <w:tc>
          <w:tcPr>
            <w:tcW w:w="20" w:type="dxa"/>
            <w:vAlign w:val="bottom"/>
            <w:tcBorders>
              <w:bottom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231F20"/>
              <w:bottom w:val="single" w:sz="8" w:color="231F20"/>
            </w:tcBorders>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83" w:hanging="493"/>
        <w:spacing w:after="0"/>
        <w:tabs>
          <w:tab w:leader="none" w:pos="983"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Contains a variable rate structure. Bears interest at a rate determined by SOFR.</w:t>
      </w:r>
    </w:p>
    <w:p>
      <w:pPr>
        <w:spacing w:after="0" w:line="28" w:lineRule="exact"/>
        <w:rPr>
          <w:rFonts w:ascii="Times New Roman" w:cs="Times New Roman" w:eastAsia="Times New Roman" w:hAnsi="Times New Roman"/>
          <w:sz w:val="20"/>
          <w:szCs w:val="20"/>
          <w:color w:val="231F20"/>
        </w:rPr>
      </w:pPr>
    </w:p>
    <w:p>
      <w:pPr>
        <w:ind w:left="983" w:right="600" w:hanging="493"/>
        <w:spacing w:after="0"/>
        <w:tabs>
          <w:tab w:leader="none" w:pos="983"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Instrument is used in a hedge accounting relationship. The associated change in fair value is recorded along with the change in fair value of the hedged item within interest expense.</w:t>
      </w:r>
    </w:p>
    <w:p>
      <w:pPr>
        <w:ind w:left="983" w:right="140" w:hanging="493"/>
        <w:spacing w:after="0" w:line="252" w:lineRule="auto"/>
        <w:tabs>
          <w:tab w:leader="none" w:pos="983" w:val="left"/>
        </w:tabs>
        <w:numPr>
          <w:ilvl w:val="1"/>
          <w:numId w:val="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rFonts w:ascii="Times New Roman" w:cs="Times New Roman" w:eastAsia="Times New Roman" w:hAnsi="Times New Roman"/>
          <w:sz w:val="19"/>
          <w:szCs w:val="19"/>
          <w:color w:val="231F20"/>
        </w:rPr>
      </w:pPr>
    </w:p>
    <w:p>
      <w:pPr>
        <w:ind w:left="983" w:right="20" w:hanging="493"/>
        <w:spacing w:after="0" w:line="248" w:lineRule="auto"/>
        <w:tabs>
          <w:tab w:leader="none" w:pos="983" w:val="left"/>
        </w:tabs>
        <w:numPr>
          <w:ilvl w:val="1"/>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fair market value of this instrument is presented net with the $2.5 million in aggregate notional value of instruments no longer designated as instruments in a hedge accounting relationship.</w:t>
      </w:r>
    </w:p>
    <w:p>
      <w:pPr>
        <w:spacing w:after="0" w:line="76" w:lineRule="exact"/>
        <w:rPr>
          <w:rFonts w:ascii="Times New Roman" w:cs="Times New Roman" w:eastAsia="Times New Roman" w:hAnsi="Times New Roman"/>
          <w:sz w:val="20"/>
          <w:szCs w:val="20"/>
          <w:color w:val="231F20"/>
        </w:rPr>
      </w:pPr>
    </w:p>
    <w:p>
      <w:pPr>
        <w:ind w:left="483" w:hanging="483"/>
        <w:spacing w:after="0"/>
        <w:tabs>
          <w:tab w:leader="none" w:pos="483"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portfolio company investments are subject to contractual restrictions on sales.</w:t>
      </w:r>
    </w:p>
    <w:p>
      <w:pPr>
        <w:spacing w:after="0" w:line="28" w:lineRule="exact"/>
        <w:rPr>
          <w:rFonts w:ascii="Times New Roman" w:cs="Times New Roman" w:eastAsia="Times New Roman" w:hAnsi="Times New Roman"/>
          <w:sz w:val="20"/>
          <w:szCs w:val="20"/>
          <w:color w:val="231F20"/>
        </w:rPr>
      </w:pPr>
    </w:p>
    <w:p>
      <w:pPr>
        <w:ind w:left="483" w:right="260" w:hanging="483"/>
        <w:spacing w:after="0"/>
        <w:tabs>
          <w:tab w:leader="none" w:pos="483"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amortized cost represents the original cost adjusted for the amortization of discounts and premiums, as applicable, on debt investments using the effective interest method.</w:t>
      </w:r>
    </w:p>
    <w:p>
      <w:pPr>
        <w:ind w:left="483" w:right="40" w:hanging="483"/>
        <w:spacing w:after="0"/>
        <w:tabs>
          <w:tab w:leader="none" w:pos="483"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 contains a variable rate structure, subject to an interest rate floor. Variable rate investments bear interest at a rate that may be determined by reference to either Euro Interbank Offer Rate (“Euribor” or “E”), Sterling Overnight Index Average ("SONIA"),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ind w:left="483" w:right="180" w:hanging="483"/>
        <w:spacing w:after="0" w:line="242" w:lineRule="auto"/>
        <w:tabs>
          <w:tab w:leader="none" w:pos="483"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13.1% of total assets as of December 31, 2023.</w:t>
      </w:r>
    </w:p>
    <w:p>
      <w:pPr>
        <w:sectPr>
          <w:pgSz w:w="12240" w:h="15840" w:orient="portrait"/>
          <w:cols w:equalWidth="0" w:num="1">
            <w:col w:w="10883"/>
          </w:cols>
          <w:pgMar w:left="677" w:top="930" w:right="6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231F20"/>
        </w:rPr>
        <w:t>F-10</w:t>
      </w:r>
    </w:p>
    <w:p>
      <w:pPr>
        <w:sectPr>
          <w:pgSz w:w="12240" w:h="15840" w:orient="portrait"/>
          <w:cols w:equalWidth="0" w:num="1">
            <w:col w:w="10883"/>
          </w:cols>
          <w:pgMar w:left="677" w:top="930" w:right="680" w:bottom="186" w:gutter="0" w:footer="0" w:header="0"/>
          <w:type w:val="continuous"/>
        </w:sectPr>
      </w:pPr>
    </w:p>
    <w:bookmarkStart w:id="95" w:name="page96"/>
    <w:bookmarkEnd w:id="95"/>
    <w:p>
      <w:pPr>
        <w:ind w:left="483" w:right="60" w:hanging="483"/>
        <w:spacing w:after="0" w:line="245" w:lineRule="auto"/>
        <w:tabs>
          <w:tab w:leader="none" w:pos="483" w:val="left"/>
        </w:tabs>
        <w:numPr>
          <w:ilvl w:val="0"/>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4" w:lineRule="exact"/>
        <w:rPr>
          <w:rFonts w:ascii="Times New Roman" w:cs="Times New Roman" w:eastAsia="Times New Roman" w:hAnsi="Times New Roman"/>
          <w:sz w:val="20"/>
          <w:szCs w:val="20"/>
          <w:color w:val="231F20"/>
        </w:rPr>
      </w:pPr>
    </w:p>
    <w:p>
      <w:pPr>
        <w:ind w:left="483" w:right="60" w:hanging="483"/>
        <w:spacing w:after="0" w:line="242" w:lineRule="auto"/>
        <w:tabs>
          <w:tab w:leader="none" w:pos="483" w:val="left"/>
        </w:tabs>
        <w:numPr>
          <w:ilvl w:val="0"/>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2023 in which the issuer was an Affiliated Person of and was deemed to Control a portfolio company are as follows:</w:t>
      </w:r>
    </w:p>
    <w:p>
      <w:pPr>
        <w:spacing w:after="0" w:line="200" w:lineRule="exact"/>
        <w:rPr>
          <w:sz w:val="20"/>
          <w:szCs w:val="20"/>
          <w:color w:val="auto"/>
        </w:rPr>
      </w:pPr>
    </w:p>
    <w:p>
      <w:pPr>
        <w:spacing w:after="0" w:line="26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231F20"/>
        </w:rPr>
        <w:t>Controlled, Affiliated Investments during the year ended December 31, 2023</w:t>
      </w:r>
    </w:p>
    <w:p>
      <w:pPr>
        <w:spacing w:after="0" w:line="22" w:lineRule="exact"/>
        <w:rPr>
          <w:sz w:val="20"/>
          <w:szCs w:val="20"/>
          <w:color w:val="auto"/>
        </w:rPr>
      </w:pPr>
    </w:p>
    <w:tbl>
      <w:tblPr>
        <w:tblLayout w:type="fixed"/>
        <w:tblInd w:w="3"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 w:type="dxa"/>
            <w:vAlign w:val="bottom"/>
            <w:tcBorders>
              <w:bottom w:val="single" w:sz="8" w:color="231F20"/>
            </w:tcBorders>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68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Fair</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231F20"/>
              </w:rPr>
              <w:t>Fair</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Net Change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Value at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Value at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Gross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231F20"/>
              </w:rPr>
              <w:t>Gross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231F20"/>
              </w:rPr>
              <w:t>Realized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December</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w w:val="92"/>
              </w:rPr>
              <w:t>Other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Interest</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jc w:val="center"/>
              <w:ind w:right="20"/>
              <w:spacing w:after="0" w:line="176" w:lineRule="exact"/>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4"/>
          </w:tcPr>
          <w:p>
            <w:pPr>
              <w:spacing w:after="0" w:line="176" w:lineRule="exact"/>
              <w:rPr>
                <w:sz w:val="20"/>
                <w:szCs w:val="20"/>
                <w:color w:val="auto"/>
              </w:rPr>
            </w:pPr>
            <w:r>
              <w:rPr>
                <w:rFonts w:ascii="Times New Roman" w:cs="Times New Roman" w:eastAsia="Times New Roman" w:hAnsi="Times New Roman"/>
                <w:sz w:val="16"/>
                <w:szCs w:val="16"/>
                <w:b w:val="1"/>
                <w:bCs w:val="1"/>
                <w:color w:val="231F20"/>
              </w:rPr>
              <w:t>In Unrealized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60"/>
              <w:spacing w:after="0" w:line="176" w:lineRule="exact"/>
              <w:rPr>
                <w:sz w:val="20"/>
                <w:szCs w:val="20"/>
                <w:color w:val="auto"/>
              </w:rPr>
            </w:pPr>
            <w:r>
              <w:rPr>
                <w:rFonts w:ascii="Times New Roman" w:cs="Times New Roman" w:eastAsia="Times New Roman" w:hAnsi="Times New Roman"/>
                <w:sz w:val="16"/>
                <w:szCs w:val="16"/>
                <w:b w:val="1"/>
                <w:bCs w:val="1"/>
                <w:color w:val="231F20"/>
              </w:rPr>
              <w:t>31,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231F20"/>
              </w:rPr>
              <w:t>Company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w w:val="98"/>
              </w:rPr>
              <w:t>Additions (a)</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5"/>
              </w:rPr>
              <w:t>Reductions (b)</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231F20"/>
              </w:rPr>
              <w:t>Gain/(Loss)</w:t>
            </w:r>
          </w:p>
        </w:tc>
        <w:tc>
          <w:tcPr>
            <w:tcW w:w="2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w w:val="97"/>
              </w:rPr>
              <w:t>Gain/(Loss)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Transfers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w w:val="94"/>
              </w:rPr>
              <w:t>Income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Income</w:t>
            </w:r>
          </w:p>
        </w:tc>
        <w:tc>
          <w:tcPr>
            <w:tcW w:w="0" w:type="dxa"/>
            <w:vAlign w:val="bottom"/>
          </w:tcPr>
          <w:p>
            <w:pPr>
              <w:spacing w:after="0"/>
              <w:rPr>
                <w:sz w:val="1"/>
                <w:szCs w:val="1"/>
                <w:color w:val="auto"/>
              </w:rPr>
            </w:pPr>
          </w:p>
        </w:tc>
      </w:tr>
      <w:tr>
        <w:trPr>
          <w:trHeight w:val="194"/>
        </w:trPr>
        <w:tc>
          <w:tcPr>
            <w:tcW w:w="1700" w:type="dxa"/>
            <w:vAlign w:val="bottom"/>
            <w:tcBorders>
              <w:top w:val="single" w:sz="8" w:color="231F20"/>
            </w:tcBorders>
            <w:shd w:val="clear" w:color="auto" w:fill="CFEDF9"/>
          </w:tcPr>
          <w:p>
            <w:pPr>
              <w:spacing w:after="0" w:line="174" w:lineRule="exact"/>
              <w:rPr>
                <w:sz w:val="20"/>
                <w:szCs w:val="20"/>
                <w:color w:val="auto"/>
              </w:rPr>
            </w:pPr>
            <w:r>
              <w:rPr>
                <w:rFonts w:ascii="Times New Roman" w:cs="Times New Roman" w:eastAsia="Times New Roman" w:hAnsi="Times New Roman"/>
                <w:sz w:val="16"/>
                <w:szCs w:val="16"/>
                <w:color w:val="231F20"/>
              </w:rPr>
              <w:t>IRGSE Holding Corp.</w:t>
            </w:r>
          </w:p>
        </w:tc>
        <w:tc>
          <w:tcPr>
            <w:tcW w:w="10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1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40" w:type="dxa"/>
            <w:vAlign w:val="bottom"/>
            <w:tcBorders>
              <w:top w:val="single" w:sz="8" w:color="231F20"/>
            </w:tcBorders>
            <w:gridSpan w:val="3"/>
            <w:shd w:val="clear" w:color="auto" w:fill="CFEDF9"/>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70,755</w:t>
            </w:r>
          </w:p>
        </w:tc>
        <w:tc>
          <w:tcPr>
            <w:tcW w:w="18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140" w:type="dxa"/>
            <w:vAlign w:val="bottom"/>
            <w:tcBorders>
              <w:top w:val="single" w:sz="8" w:color="231F20"/>
            </w:tcBorders>
            <w:shd w:val="clear" w:color="auto" w:fill="CFEDF9"/>
          </w:tcPr>
          <w:p>
            <w:pPr>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top w:val="single" w:sz="8" w:color="231F20"/>
            </w:tcBorders>
            <w:gridSpan w:val="2"/>
            <w:shd w:val="clear" w:color="auto" w:fill="CFEDF9"/>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10,875</w:t>
            </w:r>
          </w:p>
        </w:tc>
        <w:tc>
          <w:tcPr>
            <w:tcW w:w="16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180" w:type="dxa"/>
            <w:vAlign w:val="bottom"/>
            <w:tcBorders>
              <w:top w:val="single" w:sz="8" w:color="231F20"/>
            </w:tcBorders>
            <w:shd w:val="clear" w:color="auto" w:fill="CFEDF9"/>
          </w:tcPr>
          <w:p>
            <w:pPr>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800" w:type="dxa"/>
            <w:vAlign w:val="bottom"/>
            <w:tcBorders>
              <w:top w:val="single" w:sz="8" w:color="231F20"/>
            </w:tcBorders>
            <w:shd w:val="clear" w:color="auto" w:fill="CFEDF9"/>
          </w:tcPr>
          <w:p>
            <w:pPr>
              <w:ind w:left="640"/>
              <w:spacing w:after="0" w:line="174" w:lineRule="exact"/>
              <w:rPr>
                <w:sz w:val="20"/>
                <w:szCs w:val="20"/>
                <w:color w:val="auto"/>
              </w:rPr>
            </w:pPr>
            <w:r>
              <w:rPr>
                <w:rFonts w:ascii="Times New Roman" w:cs="Times New Roman" w:eastAsia="Times New Roman" w:hAnsi="Times New Roman"/>
                <w:sz w:val="16"/>
                <w:szCs w:val="16"/>
                <w:color w:val="231F20"/>
                <w:w w:val="87"/>
              </w:rPr>
              <w:t>—</w:t>
            </w:r>
          </w:p>
        </w:tc>
        <w:tc>
          <w:tcPr>
            <w:tcW w:w="20" w:type="dxa"/>
            <w:vAlign w:val="bottom"/>
            <w:tcBorders>
              <w:top w:val="single" w:sz="8" w:color="231F20"/>
            </w:tcBorders>
            <w:shd w:val="clear" w:color="auto" w:fill="CFEDF9"/>
          </w:tcPr>
          <w:p>
            <w:pPr>
              <w:spacing w:after="0"/>
              <w:rPr>
                <w:sz w:val="16"/>
                <w:szCs w:val="16"/>
                <w:color w:val="auto"/>
              </w:rPr>
            </w:pPr>
          </w:p>
        </w:tc>
        <w:tc>
          <w:tcPr>
            <w:tcW w:w="18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231F20"/>
            </w:tcBorders>
            <w:shd w:val="clear" w:color="auto" w:fill="CFEDF9"/>
          </w:tcPr>
          <w:p>
            <w:pPr>
              <w:spacing w:after="0"/>
              <w:rPr>
                <w:sz w:val="16"/>
                <w:szCs w:val="16"/>
                <w:color w:val="auto"/>
              </w:rPr>
            </w:pPr>
          </w:p>
        </w:tc>
        <w:tc>
          <w:tcPr>
            <w:tcW w:w="240" w:type="dxa"/>
            <w:vAlign w:val="bottom"/>
            <w:tcBorders>
              <w:top w:val="single" w:sz="8" w:color="231F20"/>
            </w:tcBorders>
            <w:shd w:val="clear" w:color="auto" w:fill="CFEDF9"/>
          </w:tcPr>
          <w:p>
            <w:pPr>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700" w:type="dxa"/>
            <w:vAlign w:val="bottom"/>
            <w:tcBorders>
              <w:top w:val="single" w:sz="8" w:color="231F20"/>
            </w:tcBorders>
            <w:gridSpan w:val="2"/>
            <w:shd w:val="clear" w:color="auto" w:fill="CFEDF9"/>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(21,717)</w:t>
            </w:r>
          </w:p>
        </w:tc>
        <w:tc>
          <w:tcPr>
            <w:tcW w:w="18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231F20"/>
            </w:tcBorders>
            <w:shd w:val="clear" w:color="auto" w:fill="CFEDF9"/>
          </w:tcPr>
          <w:p>
            <w:pPr>
              <w:spacing w:after="0"/>
              <w:rPr>
                <w:sz w:val="16"/>
                <w:szCs w:val="16"/>
                <w:color w:val="auto"/>
              </w:rPr>
            </w:pPr>
          </w:p>
        </w:tc>
        <w:tc>
          <w:tcPr>
            <w:tcW w:w="80" w:type="dxa"/>
            <w:vAlign w:val="bottom"/>
            <w:tcBorders>
              <w:top w:val="single" w:sz="8" w:color="231F20"/>
            </w:tcBorders>
            <w:shd w:val="clear" w:color="auto" w:fill="CFEDF9"/>
          </w:tcPr>
          <w:p>
            <w:pPr>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20" w:type="dxa"/>
            <w:vAlign w:val="bottom"/>
            <w:tcBorders>
              <w:top w:val="single" w:sz="8" w:color="231F20"/>
            </w:tcBorders>
            <w:gridSpan w:val="2"/>
            <w:shd w:val="clear" w:color="auto" w:fill="CFEDF9"/>
          </w:tcPr>
          <w:p>
            <w:pPr>
              <w:ind w:left="540"/>
              <w:spacing w:after="0" w:line="174" w:lineRule="exact"/>
              <w:rPr>
                <w:sz w:val="20"/>
                <w:szCs w:val="20"/>
                <w:color w:val="auto"/>
              </w:rPr>
            </w:pPr>
            <w:r>
              <w:rPr>
                <w:rFonts w:ascii="Times New Roman" w:cs="Times New Roman" w:eastAsia="Times New Roman" w:hAnsi="Times New Roman"/>
                <w:sz w:val="16"/>
                <w:szCs w:val="16"/>
                <w:color w:val="231F20"/>
                <w:w w:val="99"/>
              </w:rPr>
              <w:t>—</w:t>
            </w:r>
          </w:p>
        </w:tc>
        <w:tc>
          <w:tcPr>
            <w:tcW w:w="18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231F20"/>
            </w:tcBorders>
            <w:shd w:val="clear" w:color="auto" w:fill="CFEDF9"/>
          </w:tcPr>
          <w:p>
            <w:pPr>
              <w:spacing w:after="0"/>
              <w:rPr>
                <w:sz w:val="16"/>
                <w:szCs w:val="16"/>
                <w:color w:val="auto"/>
              </w:rPr>
            </w:pPr>
          </w:p>
        </w:tc>
        <w:tc>
          <w:tcPr>
            <w:tcW w:w="320" w:type="dxa"/>
            <w:vAlign w:val="bottom"/>
            <w:tcBorders>
              <w:top w:val="single" w:sz="8" w:color="231F20"/>
            </w:tcBorders>
            <w:shd w:val="clear" w:color="auto" w:fill="CFEDF9"/>
          </w:tcPr>
          <w:p>
            <w:pPr>
              <w:jc w:val="right"/>
              <w:ind w:right="197"/>
              <w:spacing w:after="0"/>
              <w:rPr>
                <w:sz w:val="20"/>
                <w:szCs w:val="20"/>
                <w:color w:val="auto"/>
              </w:rPr>
            </w:pPr>
            <w:r>
              <w:rPr>
                <w:rFonts w:ascii="Times New Roman" w:cs="Times New Roman" w:eastAsia="Times New Roman" w:hAnsi="Times New Roman"/>
                <w:sz w:val="11"/>
                <w:szCs w:val="11"/>
                <w:color w:val="231F20"/>
                <w:w w:val="71"/>
              </w:rPr>
              <w:t>$</w:t>
            </w:r>
          </w:p>
        </w:tc>
        <w:tc>
          <w:tcPr>
            <w:tcW w:w="440" w:type="dxa"/>
            <w:vAlign w:val="bottom"/>
            <w:tcBorders>
              <w:top w:val="single" w:sz="8" w:color="231F20"/>
            </w:tcBorders>
            <w:gridSpan w:val="2"/>
            <w:shd w:val="clear" w:color="auto" w:fill="CFEDF9"/>
          </w:tcPr>
          <w:p>
            <w:pPr>
              <w:ind w:left="260"/>
              <w:spacing w:after="0" w:line="174" w:lineRule="exact"/>
              <w:rPr>
                <w:sz w:val="20"/>
                <w:szCs w:val="20"/>
                <w:color w:val="auto"/>
              </w:rPr>
            </w:pPr>
            <w:r>
              <w:rPr>
                <w:rFonts w:ascii="Times New Roman" w:cs="Times New Roman" w:eastAsia="Times New Roman" w:hAnsi="Times New Roman"/>
                <w:sz w:val="16"/>
                <w:szCs w:val="16"/>
                <w:color w:val="231F20"/>
                <w:w w:val="99"/>
              </w:rPr>
              <w:t>—</w:t>
            </w:r>
          </w:p>
        </w:tc>
        <w:tc>
          <w:tcPr>
            <w:tcW w:w="18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231F20"/>
            </w:tcBorders>
            <w:shd w:val="clear" w:color="auto" w:fill="CFEDF9"/>
          </w:tcPr>
          <w:p>
            <w:pPr>
              <w:spacing w:after="0"/>
              <w:rPr>
                <w:sz w:val="16"/>
                <w:szCs w:val="16"/>
                <w:color w:val="auto"/>
              </w:rPr>
            </w:pPr>
          </w:p>
        </w:tc>
        <w:tc>
          <w:tcPr>
            <w:tcW w:w="6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tcBorders>
              <w:top w:val="single" w:sz="8" w:color="231F20"/>
            </w:tcBorders>
            <w:gridSpan w:val="2"/>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59,913</w:t>
            </w:r>
          </w:p>
        </w:tc>
        <w:tc>
          <w:tcPr>
            <w:tcW w:w="24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231F20"/>
            </w:tcBorders>
            <w:shd w:val="clear" w:color="auto" w:fill="CFEDF9"/>
          </w:tcPr>
          <w:p>
            <w:pPr>
              <w:spacing w:after="0"/>
              <w:rPr>
                <w:sz w:val="16"/>
                <w:szCs w:val="16"/>
                <w:color w:val="auto"/>
              </w:rPr>
            </w:pPr>
          </w:p>
        </w:tc>
        <w:tc>
          <w:tcPr>
            <w:tcW w:w="6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48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6</w:t>
            </w:r>
          </w:p>
        </w:tc>
        <w:tc>
          <w:tcPr>
            <w:tcW w:w="20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231F20"/>
            </w:tcBorders>
            <w:shd w:val="clear" w:color="auto" w:fill="CFEDF9"/>
          </w:tcPr>
          <w:p>
            <w:pPr>
              <w:spacing w:after="0"/>
              <w:rPr>
                <w:sz w:val="16"/>
                <w:szCs w:val="16"/>
                <w:color w:val="auto"/>
              </w:rPr>
            </w:pPr>
          </w:p>
        </w:tc>
        <w:tc>
          <w:tcPr>
            <w:tcW w:w="120" w:type="dxa"/>
            <w:vAlign w:val="bottom"/>
            <w:tcBorders>
              <w:top w:val="single" w:sz="8" w:color="231F20"/>
            </w:tcBorders>
            <w:shd w:val="clear" w:color="auto" w:fill="CFEDF9"/>
          </w:tcPr>
          <w:p>
            <w:pPr>
              <w:spacing w:after="0" w:line="174" w:lineRule="exact"/>
              <w:rPr>
                <w:sz w:val="20"/>
                <w:szCs w:val="20"/>
                <w:color w:val="auto"/>
              </w:rPr>
            </w:pPr>
            <w:r>
              <w:rPr>
                <w:rFonts w:ascii="Times New Roman" w:cs="Times New Roman" w:eastAsia="Times New Roman" w:hAnsi="Times New Roman"/>
                <w:sz w:val="16"/>
                <w:szCs w:val="16"/>
                <w:color w:val="231F20"/>
                <w:shd w:val="clear" w:color="auto" w:fill="CFEDF9"/>
              </w:rPr>
              <w:t>$</w:t>
            </w:r>
          </w:p>
        </w:tc>
        <w:tc>
          <w:tcPr>
            <w:tcW w:w="42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shd w:val="clear" w:color="auto" w:fill="CFEDF9"/>
              </w:rPr>
              <w:t>7,756</w:t>
            </w:r>
          </w:p>
        </w:tc>
        <w:tc>
          <w:tcPr>
            <w:tcW w:w="100" w:type="dxa"/>
            <w:vAlign w:val="bottom"/>
            <w:tcBorders>
              <w:top w:val="single" w:sz="8" w:color="CFEDF9"/>
            </w:tcBorders>
            <w:shd w:val="clear" w:color="auto" w:fill="CFEDF9"/>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line="15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10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820" w:type="dxa"/>
            <w:vAlign w:val="bottom"/>
            <w:tcBorders>
              <w:top w:val="single" w:sz="8" w:color="231F20"/>
              <w:bottom w:val="single" w:sz="8" w:color="231F20"/>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231F20"/>
              </w:rPr>
              <w:t>70,755</w:t>
            </w:r>
          </w:p>
        </w:tc>
        <w:tc>
          <w:tcPr>
            <w:tcW w:w="20" w:type="dxa"/>
            <w:vAlign w:val="bottom"/>
            <w:tcBorders>
              <w:top w:val="single" w:sz="8" w:color="CFEDF9"/>
              <w:bottom w:val="single" w:sz="8" w:color="231F20"/>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40" w:type="dxa"/>
            <w:vAlign w:val="bottom"/>
            <w:tcBorders>
              <w:top w:val="single" w:sz="8" w:color="231F20"/>
              <w:bottom w:val="single" w:sz="8" w:color="231F20"/>
            </w:tcBorders>
          </w:tcPr>
          <w:p>
            <w:pPr>
              <w:spacing w:after="0" w:line="154" w:lineRule="exact"/>
              <w:rPr>
                <w:sz w:val="20"/>
                <w:szCs w:val="20"/>
                <w:color w:val="auto"/>
              </w:rPr>
            </w:pPr>
            <w:r>
              <w:rPr>
                <w:rFonts w:ascii="Times New Roman" w:cs="Times New Roman" w:eastAsia="Times New Roman" w:hAnsi="Times New Roman"/>
                <w:sz w:val="16"/>
                <w:szCs w:val="16"/>
                <w:b w:val="1"/>
                <w:bCs w:val="1"/>
                <w:color w:val="231F20"/>
              </w:rPr>
              <w:t>$</w:t>
            </w:r>
          </w:p>
        </w:tc>
        <w:tc>
          <w:tcPr>
            <w:tcW w:w="74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231F20"/>
              </w:rPr>
              <w:t>10,875</w:t>
            </w:r>
          </w:p>
        </w:tc>
        <w:tc>
          <w:tcPr>
            <w:tcW w:w="20" w:type="dxa"/>
            <w:vAlign w:val="bottom"/>
            <w:tcBorders>
              <w:top w:val="single" w:sz="8" w:color="CFEDF9"/>
              <w:bottom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top w:val="single" w:sz="8" w:color="231F20"/>
            </w:tcBorders>
          </w:tcPr>
          <w:p>
            <w:pPr>
              <w:spacing w:after="0"/>
              <w:rPr>
                <w:sz w:val="13"/>
                <w:szCs w:val="13"/>
                <w:color w:val="auto"/>
              </w:rPr>
            </w:pPr>
          </w:p>
        </w:tc>
        <w:tc>
          <w:tcPr>
            <w:tcW w:w="180" w:type="dxa"/>
            <w:vAlign w:val="bottom"/>
            <w:tcBorders>
              <w:top w:val="single" w:sz="8" w:color="231F20"/>
              <w:bottom w:val="single" w:sz="8" w:color="231F20"/>
            </w:tcBorders>
          </w:tcPr>
          <w:p>
            <w:pPr>
              <w:spacing w:after="0" w:line="154" w:lineRule="exact"/>
              <w:rPr>
                <w:sz w:val="20"/>
                <w:szCs w:val="20"/>
                <w:color w:val="auto"/>
              </w:rPr>
            </w:pPr>
            <w:r>
              <w:rPr>
                <w:rFonts w:ascii="Times New Roman" w:cs="Times New Roman" w:eastAsia="Times New Roman" w:hAnsi="Times New Roman"/>
                <w:sz w:val="16"/>
                <w:szCs w:val="16"/>
                <w:b w:val="1"/>
                <w:bCs w:val="1"/>
                <w:color w:val="231F20"/>
              </w:rPr>
              <w:t>$</w:t>
            </w:r>
          </w:p>
        </w:tc>
        <w:tc>
          <w:tcPr>
            <w:tcW w:w="800" w:type="dxa"/>
            <w:vAlign w:val="bottom"/>
            <w:tcBorders>
              <w:top w:val="single" w:sz="8" w:color="231F20"/>
              <w:bottom w:val="single" w:sz="8" w:color="231F20"/>
            </w:tcBorders>
          </w:tcPr>
          <w:p>
            <w:pPr>
              <w:ind w:left="640"/>
              <w:spacing w:after="0" w:line="154" w:lineRule="exact"/>
              <w:rPr>
                <w:sz w:val="20"/>
                <w:szCs w:val="20"/>
                <w:color w:val="auto"/>
              </w:rPr>
            </w:pPr>
            <w:r>
              <w:rPr>
                <w:rFonts w:ascii="Times New Roman" w:cs="Times New Roman" w:eastAsia="Times New Roman" w:hAnsi="Times New Roman"/>
                <w:sz w:val="16"/>
                <w:szCs w:val="16"/>
                <w:b w:val="1"/>
                <w:bCs w:val="1"/>
                <w:color w:val="231F20"/>
                <w:w w:val="87"/>
              </w:rPr>
              <w:t>—</w:t>
            </w:r>
          </w:p>
        </w:tc>
        <w:tc>
          <w:tcPr>
            <w:tcW w:w="20" w:type="dxa"/>
            <w:vAlign w:val="bottom"/>
            <w:tcBorders>
              <w:top w:val="single" w:sz="8" w:color="CFEDF9"/>
              <w:bottom w:val="single" w:sz="8" w:color="231F20"/>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231F20"/>
              <w:bottom w:val="single" w:sz="8" w:color="231F20"/>
            </w:tcBorders>
          </w:tcPr>
          <w:p>
            <w:pPr>
              <w:spacing w:after="0"/>
              <w:rPr>
                <w:sz w:val="13"/>
                <w:szCs w:val="13"/>
                <w:color w:val="auto"/>
              </w:rPr>
            </w:pPr>
          </w:p>
        </w:tc>
        <w:tc>
          <w:tcPr>
            <w:tcW w:w="240" w:type="dxa"/>
            <w:vAlign w:val="bottom"/>
            <w:tcBorders>
              <w:top w:val="single" w:sz="8" w:color="231F20"/>
              <w:bottom w:val="single" w:sz="8" w:color="231F20"/>
            </w:tcBorders>
          </w:tcPr>
          <w:p>
            <w:pPr>
              <w:spacing w:after="0" w:line="154" w:lineRule="exact"/>
              <w:rPr>
                <w:sz w:val="20"/>
                <w:szCs w:val="20"/>
                <w:color w:val="auto"/>
              </w:rPr>
            </w:pPr>
            <w:r>
              <w:rPr>
                <w:rFonts w:ascii="Times New Roman" w:cs="Times New Roman" w:eastAsia="Times New Roman" w:hAnsi="Times New Roman"/>
                <w:sz w:val="16"/>
                <w:szCs w:val="16"/>
                <w:b w:val="1"/>
                <w:bCs w:val="1"/>
                <w:color w:val="231F20"/>
              </w:rPr>
              <w:t>$</w:t>
            </w:r>
          </w:p>
        </w:tc>
        <w:tc>
          <w:tcPr>
            <w:tcW w:w="68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231F20"/>
              </w:rPr>
              <w:t>(21,717)</w:t>
            </w:r>
          </w:p>
        </w:tc>
        <w:tc>
          <w:tcPr>
            <w:tcW w:w="20" w:type="dxa"/>
            <w:vAlign w:val="bottom"/>
            <w:tcBorders>
              <w:top w:val="single" w:sz="8" w:color="CFEDF9"/>
              <w:bottom w:val="single" w:sz="8" w:color="231F20"/>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231F20"/>
              <w:bottom w:val="single" w:sz="8" w:color="231F20"/>
            </w:tcBorders>
          </w:tcPr>
          <w:p>
            <w:pPr>
              <w:spacing w:after="0"/>
              <w:rPr>
                <w:sz w:val="13"/>
                <w:szCs w:val="13"/>
                <w:color w:val="auto"/>
              </w:rPr>
            </w:pPr>
          </w:p>
        </w:tc>
        <w:tc>
          <w:tcPr>
            <w:tcW w:w="80" w:type="dxa"/>
            <w:vAlign w:val="bottom"/>
            <w:tcBorders>
              <w:top w:val="single" w:sz="8" w:color="231F20"/>
              <w:bottom w:val="single" w:sz="8" w:color="231F20"/>
            </w:tcBorders>
          </w:tcPr>
          <w:p>
            <w:pPr>
              <w:spacing w:after="0" w:line="154" w:lineRule="exact"/>
              <w:rPr>
                <w:sz w:val="20"/>
                <w:szCs w:val="20"/>
                <w:color w:val="auto"/>
              </w:rPr>
            </w:pPr>
            <w:r>
              <w:rPr>
                <w:rFonts w:ascii="Times New Roman" w:cs="Times New Roman" w:eastAsia="Times New Roman" w:hAnsi="Times New Roman"/>
                <w:sz w:val="16"/>
                <w:szCs w:val="16"/>
                <w:b w:val="1"/>
                <w:bCs w:val="1"/>
                <w:color w:val="231F20"/>
                <w:w w:val="74"/>
              </w:rPr>
              <w:t>$</w:t>
            </w:r>
          </w:p>
        </w:tc>
        <w:tc>
          <w:tcPr>
            <w:tcW w:w="700" w:type="dxa"/>
            <w:vAlign w:val="bottom"/>
            <w:tcBorders>
              <w:top w:val="single" w:sz="8" w:color="231F20"/>
              <w:bottom w:val="single" w:sz="8" w:color="231F20"/>
            </w:tcBorders>
          </w:tcPr>
          <w:p>
            <w:pPr>
              <w:ind w:left="540"/>
              <w:spacing w:after="0" w:line="154" w:lineRule="exact"/>
              <w:rPr>
                <w:sz w:val="20"/>
                <w:szCs w:val="20"/>
                <w:color w:val="auto"/>
              </w:rPr>
            </w:pPr>
            <w:r>
              <w:rPr>
                <w:rFonts w:ascii="Times New Roman" w:cs="Times New Roman" w:eastAsia="Times New Roman" w:hAnsi="Times New Roman"/>
                <w:sz w:val="16"/>
                <w:szCs w:val="16"/>
                <w:b w:val="1"/>
                <w:bCs w:val="1"/>
                <w:color w:val="231F20"/>
                <w:w w:val="87"/>
              </w:rPr>
              <w:t>—</w:t>
            </w:r>
          </w:p>
        </w:tc>
        <w:tc>
          <w:tcPr>
            <w:tcW w:w="20" w:type="dxa"/>
            <w:vAlign w:val="bottom"/>
            <w:tcBorders>
              <w:top w:val="single" w:sz="8" w:color="CFEDF9"/>
              <w:bottom w:val="single" w:sz="8" w:color="231F20"/>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231F20"/>
              <w:bottom w:val="single" w:sz="8" w:color="231F20"/>
            </w:tcBorders>
          </w:tcPr>
          <w:p>
            <w:pPr>
              <w:spacing w:after="0"/>
              <w:rPr>
                <w:sz w:val="13"/>
                <w:szCs w:val="13"/>
                <w:color w:val="auto"/>
              </w:rPr>
            </w:pPr>
          </w:p>
        </w:tc>
        <w:tc>
          <w:tcPr>
            <w:tcW w:w="320" w:type="dxa"/>
            <w:vAlign w:val="bottom"/>
            <w:tcBorders>
              <w:top w:val="single" w:sz="8" w:color="231F20"/>
              <w:bottom w:val="single" w:sz="8" w:color="231F20"/>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420" w:type="dxa"/>
            <w:vAlign w:val="bottom"/>
            <w:tcBorders>
              <w:top w:val="single" w:sz="8" w:color="231F20"/>
              <w:bottom w:val="single" w:sz="8" w:color="231F20"/>
            </w:tcBorders>
          </w:tcPr>
          <w:p>
            <w:pPr>
              <w:ind w:left="260"/>
              <w:spacing w:after="0" w:line="154" w:lineRule="exact"/>
              <w:rPr>
                <w:sz w:val="20"/>
                <w:szCs w:val="20"/>
                <w:color w:val="auto"/>
              </w:rPr>
            </w:pPr>
            <w:r>
              <w:rPr>
                <w:rFonts w:ascii="Times New Roman" w:cs="Times New Roman" w:eastAsia="Times New Roman" w:hAnsi="Times New Roman"/>
                <w:sz w:val="16"/>
                <w:szCs w:val="16"/>
                <w:b w:val="1"/>
                <w:bCs w:val="1"/>
                <w:color w:val="231F20"/>
                <w:w w:val="87"/>
              </w:rPr>
              <w:t>—</w:t>
            </w:r>
          </w:p>
        </w:tc>
        <w:tc>
          <w:tcPr>
            <w:tcW w:w="20" w:type="dxa"/>
            <w:vAlign w:val="bottom"/>
            <w:tcBorders>
              <w:top w:val="single" w:sz="8" w:color="CFEDF9"/>
              <w:bottom w:val="single" w:sz="8" w:color="231F20"/>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231F20"/>
              <w:bottom w:val="single" w:sz="8" w:color="231F20"/>
            </w:tcBorders>
          </w:tcPr>
          <w:p>
            <w:pPr>
              <w:spacing w:after="0"/>
              <w:rPr>
                <w:sz w:val="13"/>
                <w:szCs w:val="13"/>
                <w:color w:val="auto"/>
              </w:rPr>
            </w:pPr>
          </w:p>
        </w:tc>
        <w:tc>
          <w:tcPr>
            <w:tcW w:w="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820" w:type="dxa"/>
            <w:vAlign w:val="bottom"/>
            <w:tcBorders>
              <w:top w:val="single" w:sz="8" w:color="231F20"/>
              <w:bottom w:val="single" w:sz="8" w:color="231F20"/>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231F20"/>
              </w:rPr>
              <w:t>59,913</w:t>
            </w:r>
          </w:p>
        </w:tc>
        <w:tc>
          <w:tcPr>
            <w:tcW w:w="240" w:type="dxa"/>
            <w:vAlign w:val="bottom"/>
          </w:tcPr>
          <w:p>
            <w:pPr>
              <w:spacing w:after="0"/>
              <w:rPr>
                <w:sz w:val="13"/>
                <w:szCs w:val="13"/>
                <w:color w:val="auto"/>
              </w:rPr>
            </w:pPr>
          </w:p>
        </w:tc>
        <w:tc>
          <w:tcPr>
            <w:tcW w:w="20" w:type="dxa"/>
            <w:vAlign w:val="bottom"/>
            <w:tcBorders>
              <w:top w:val="single" w:sz="8" w:color="231F20"/>
              <w:bottom w:val="single" w:sz="8" w:color="231F20"/>
            </w:tcBorders>
          </w:tcPr>
          <w:p>
            <w:pPr>
              <w:spacing w:after="0"/>
              <w:rPr>
                <w:sz w:val="13"/>
                <w:szCs w:val="13"/>
                <w:color w:val="auto"/>
              </w:rPr>
            </w:pPr>
          </w:p>
        </w:tc>
        <w:tc>
          <w:tcPr>
            <w:tcW w:w="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48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231F20"/>
              </w:rPr>
              <w:t>6</w:t>
            </w:r>
          </w:p>
        </w:tc>
        <w:tc>
          <w:tcPr>
            <w:tcW w:w="200" w:type="dxa"/>
            <w:vAlign w:val="bottom"/>
          </w:tcPr>
          <w:p>
            <w:pPr>
              <w:spacing w:after="0"/>
              <w:rPr>
                <w:sz w:val="13"/>
                <w:szCs w:val="13"/>
                <w:color w:val="auto"/>
              </w:rPr>
            </w:pPr>
          </w:p>
        </w:tc>
        <w:tc>
          <w:tcPr>
            <w:tcW w:w="20" w:type="dxa"/>
            <w:vAlign w:val="bottom"/>
            <w:tcBorders>
              <w:top w:val="single" w:sz="8" w:color="231F20"/>
              <w:bottom w:val="single" w:sz="8" w:color="231F20"/>
            </w:tcBorders>
          </w:tcPr>
          <w:p>
            <w:pPr>
              <w:spacing w:after="0"/>
              <w:rPr>
                <w:sz w:val="13"/>
                <w:szCs w:val="13"/>
                <w:color w:val="auto"/>
              </w:rPr>
            </w:pPr>
          </w:p>
        </w:tc>
        <w:tc>
          <w:tcPr>
            <w:tcW w:w="120" w:type="dxa"/>
            <w:vAlign w:val="bottom"/>
            <w:tcBorders>
              <w:top w:val="single" w:sz="8" w:color="231F20"/>
              <w:bottom w:val="single" w:sz="8" w:color="231F20"/>
            </w:tcBorders>
          </w:tcPr>
          <w:p>
            <w:pPr>
              <w:spacing w:after="0" w:line="154" w:lineRule="exact"/>
              <w:rPr>
                <w:sz w:val="20"/>
                <w:szCs w:val="20"/>
                <w:color w:val="auto"/>
              </w:rPr>
            </w:pPr>
            <w:r>
              <w:rPr>
                <w:rFonts w:ascii="Times New Roman" w:cs="Times New Roman" w:eastAsia="Times New Roman" w:hAnsi="Times New Roman"/>
                <w:sz w:val="16"/>
                <w:szCs w:val="16"/>
                <w:b w:val="1"/>
                <w:bCs w:val="1"/>
                <w:color w:val="231F20"/>
              </w:rPr>
              <w:t>$</w:t>
            </w:r>
          </w:p>
        </w:tc>
        <w:tc>
          <w:tcPr>
            <w:tcW w:w="42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231F20"/>
              </w:rPr>
              <w:t>7,756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983" w:right="40" w:hanging="494"/>
        <w:spacing w:after="0" w:line="254" w:lineRule="auto"/>
        <w:tabs>
          <w:tab w:leader="none" w:pos="983" w:val="left"/>
        </w:tabs>
        <w:numPr>
          <w:ilvl w:val="1"/>
          <w:numId w:val="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Times New Roman" w:cs="Times New Roman" w:eastAsia="Times New Roman" w:hAnsi="Times New Roman"/>
          <w:sz w:val="20"/>
          <w:szCs w:val="20"/>
          <w:color w:val="231F20"/>
        </w:rPr>
      </w:pPr>
    </w:p>
    <w:p>
      <w:pPr>
        <w:ind w:left="983" w:right="640" w:hanging="494"/>
        <w:spacing w:after="0" w:line="242" w:lineRule="auto"/>
        <w:tabs>
          <w:tab w:leader="none" w:pos="983" w:val="left"/>
        </w:tabs>
        <w:numPr>
          <w:ilvl w:val="1"/>
          <w:numId w:val="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1" w:lineRule="exact"/>
        <w:rPr>
          <w:rFonts w:ascii="Times New Roman" w:cs="Times New Roman" w:eastAsia="Times New Roman" w:hAnsi="Times New Roman"/>
          <w:sz w:val="20"/>
          <w:szCs w:val="20"/>
          <w:color w:val="231F20"/>
        </w:rPr>
      </w:pPr>
    </w:p>
    <w:p>
      <w:pPr>
        <w:ind w:left="483" w:right="520" w:hanging="483"/>
        <w:spacing w:after="0" w:line="254" w:lineRule="auto"/>
        <w:tabs>
          <w:tab w:leader="none" w:pos="483"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December 31, 2023, the estimated cost basis of investments for U.S. federal tax purposes was $3,256,630 resulting in estimated gross unrealized gains and losses of $159,281 and $135,606, respectively.</w:t>
      </w:r>
    </w:p>
    <w:p>
      <w:pPr>
        <w:spacing w:after="0" w:line="1" w:lineRule="exact"/>
        <w:rPr>
          <w:rFonts w:ascii="Times New Roman" w:cs="Times New Roman" w:eastAsia="Times New Roman" w:hAnsi="Times New Roman"/>
          <w:sz w:val="20"/>
          <w:szCs w:val="20"/>
          <w:color w:val="231F20"/>
        </w:rPr>
      </w:pPr>
    </w:p>
    <w:p>
      <w:pPr>
        <w:ind w:left="483" w:right="20" w:hanging="483"/>
        <w:spacing w:after="0"/>
        <w:tabs>
          <w:tab w:leader="none" w:pos="483"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 accordance with Financial Accounting Standards Board Accounting Standards Codification Topic 820, </w:t>
      </w:r>
      <w:r>
        <w:rPr>
          <w:rFonts w:ascii="Times New Roman" w:cs="Times New Roman" w:eastAsia="Times New Roman" w:hAnsi="Times New Roman"/>
          <w:sz w:val="20"/>
          <w:szCs w:val="20"/>
          <w:i w:val="1"/>
          <w:iCs w:val="1"/>
          <w:color w:val="231F20"/>
        </w:rPr>
        <w:t>Fair Value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Measurements </w:t>
      </w:r>
      <w:r>
        <w:rPr>
          <w:rFonts w:ascii="Times New Roman" w:cs="Times New Roman" w:eastAsia="Times New Roman" w:hAnsi="Times New Roman"/>
          <w:sz w:val="20"/>
          <w:szCs w:val="20"/>
          <w:color w:val="231F20"/>
        </w:rPr>
        <w:t>(“ASC Topic 820”), unless otherwise indicated, the fair values of all investments were determined using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significant unobservable inputs and are considered Level 3 investments. See Note 6 for further information related to investments at fair value.</w:t>
      </w:r>
    </w:p>
    <w:p>
      <w:pPr>
        <w:ind w:left="483" w:right="400" w:hanging="483"/>
        <w:spacing w:after="0"/>
        <w:tabs>
          <w:tab w:leader="none" w:pos="483"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investment is valued using observable inputs and is considered a Level 2 investment. See Note 6 for further information related to investments at fair value.</w:t>
      </w:r>
    </w:p>
    <w:p>
      <w:pPr>
        <w:ind w:left="483" w:right="400" w:hanging="483"/>
        <w:spacing w:after="0"/>
        <w:tabs>
          <w:tab w:leader="none" w:pos="483"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investment is valued using observable inputs and is considered a Level 1 investment. See Note 6 for further information related to investments at fair value.</w:t>
      </w:r>
    </w:p>
    <w:p>
      <w:pPr>
        <w:ind w:left="483" w:hanging="483"/>
        <w:spacing w:after="0"/>
        <w:tabs>
          <w:tab w:leader="none" w:pos="483"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investment is non-income producing.</w:t>
      </w:r>
    </w:p>
    <w:p>
      <w:pPr>
        <w:ind w:left="483" w:right="80" w:hanging="483"/>
        <w:spacing w:after="0"/>
        <w:tabs>
          <w:tab w:leader="none" w:pos="483"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All or a portion of this security was acquired in a transaction exempt from registration under the Securities Act of 1933, and may be deemed to be “restricted securities” under the Securities Act. As of December 31, 2023, the aggregate fair value of these securities is $13,032, or 0.9% of the Company’s net assets.</w:t>
      </w:r>
    </w:p>
    <w:p>
      <w:pPr>
        <w:ind w:left="483" w:hanging="483"/>
        <w:spacing w:after="0"/>
        <w:tabs>
          <w:tab w:leader="none" w:pos="483"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Ownership of equity investments may occur through a holding company or partnership.</w:t>
      </w:r>
    </w:p>
    <w:p>
      <w:pPr>
        <w:ind w:left="483" w:hanging="483"/>
        <w:spacing w:after="0"/>
        <w:tabs>
          <w:tab w:leader="none" w:pos="483"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 is on non-accrual status as of December 31, 2022.</w:t>
      </w:r>
    </w:p>
    <w:p>
      <w:pPr>
        <w:ind w:left="483" w:right="160" w:hanging="483"/>
        <w:spacing w:after="0" w:line="242" w:lineRule="auto"/>
        <w:tabs>
          <w:tab w:leader="none" w:pos="483"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addition to the principal amount outstanding and accrued interest owed on this investment, the Company is entitled to a separate Make-Whole Amount (the “Make-Whole”) of $11.8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7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2240" w:h="15840" w:orient="portrait"/>
          <w:cols w:equalWidth="0" w:num="1">
            <w:col w:w="10883"/>
          </w:cols>
          <w:pgMar w:left="677" w:top="930" w:right="6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231F20"/>
        </w:rPr>
        <w:t>F-11</w:t>
      </w:r>
    </w:p>
    <w:p>
      <w:pPr>
        <w:sectPr>
          <w:pgSz w:w="12240" w:h="15840" w:orient="portrait"/>
          <w:cols w:equalWidth="0" w:num="1">
            <w:col w:w="10883"/>
          </w:cols>
          <w:pgMar w:left="677" w:top="930" w:right="680" w:bottom="186" w:gutter="0" w:footer="0" w:header="0"/>
          <w:type w:val="continuous"/>
        </w:sectPr>
      </w:pPr>
    </w:p>
    <w:bookmarkStart w:id="96" w:name="page97"/>
    <w:bookmarkEnd w:id="96"/>
    <w:p>
      <w:pPr>
        <w:jc w:val="center"/>
        <w:spacing w:after="0" w:line="263" w:lineRule="auto"/>
        <w:rPr>
          <w:sz w:val="20"/>
          <w:szCs w:val="20"/>
          <w:color w:val="auto"/>
        </w:rPr>
      </w:pPr>
      <w:r>
        <w:rPr>
          <w:rFonts w:ascii="Times New Roman" w:cs="Times New Roman" w:eastAsia="Times New Roman" w:hAnsi="Times New Roman"/>
          <w:sz w:val="20"/>
          <w:szCs w:val="20"/>
          <w:b w:val="1"/>
          <w:bCs w:val="1"/>
          <w:color w:val="231F20"/>
        </w:rPr>
        <w:t>Sixth Street Specialty Lending, Inc. Consolidated Schedule of Investments as of December 31, 2022 (Amounts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231F20"/>
              </w:rPr>
              <w:t>Initial</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231F20"/>
                <w:w w:val="97"/>
              </w:rPr>
              <w:t>Reference</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8"/>
              </w:rPr>
              <w:t>Acquisition</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231F20"/>
                <w:w w:val="99"/>
              </w:rPr>
              <w:t>Rate and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231F20"/>
                <w:w w:val="98"/>
              </w:rPr>
              <w:t>Amortized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rPr>
              <w:t>Percentage</w:t>
            </w:r>
          </w:p>
        </w:tc>
        <w:tc>
          <w:tcPr>
            <w:tcW w:w="0" w:type="dxa"/>
            <w:vAlign w:val="bottom"/>
          </w:tcPr>
          <w:p>
            <w:pPr>
              <w:spacing w:after="0"/>
              <w:rPr>
                <w:sz w:val="1"/>
                <w:szCs w:val="1"/>
                <w:color w:val="auto"/>
              </w:rPr>
            </w:pPr>
          </w:p>
        </w:tc>
      </w:tr>
      <w:tr>
        <w:trPr>
          <w:trHeight w:val="151"/>
        </w:trPr>
        <w:tc>
          <w:tcPr>
            <w:tcW w:w="1540" w:type="dxa"/>
            <w:vAlign w:val="bottom"/>
          </w:tcPr>
          <w:p>
            <w:pPr>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Company </w:t>
            </w:r>
            <w:r>
              <w:rPr>
                <w:rFonts w:ascii="Times New Roman" w:cs="Times New Roman" w:eastAsia="Times New Roman" w:hAnsi="Times New Roman"/>
                <w:sz w:val="16"/>
                <w:szCs w:val="16"/>
                <w:b w:val="1"/>
                <w:bCs w:val="1"/>
                <w:color w:val="231F20"/>
                <w:vertAlign w:val="superscript"/>
              </w:rPr>
              <w:t>(1)</w:t>
            </w:r>
          </w:p>
        </w:tc>
        <w:tc>
          <w:tcPr>
            <w:tcW w:w="100" w:type="dxa"/>
            <w:vAlign w:val="bottom"/>
          </w:tcPr>
          <w:p>
            <w:pPr>
              <w:spacing w:after="0"/>
              <w:rPr>
                <w:sz w:val="13"/>
                <w:szCs w:val="13"/>
                <w:color w:val="auto"/>
              </w:rPr>
            </w:pPr>
          </w:p>
        </w:tc>
        <w:tc>
          <w:tcPr>
            <w:tcW w:w="2540" w:type="dxa"/>
            <w:vAlign w:val="bottom"/>
          </w:tcPr>
          <w:p>
            <w:pPr>
              <w:ind w:left="980"/>
              <w:spacing w:after="0"/>
              <w:rPr>
                <w:sz w:val="20"/>
                <w:szCs w:val="20"/>
                <w:color w:val="auto"/>
              </w:rPr>
            </w:pPr>
            <w:r>
              <w:rPr>
                <w:rFonts w:ascii="Times New Roman" w:cs="Times New Roman" w:eastAsia="Times New Roman" w:hAnsi="Times New Roman"/>
                <w:sz w:val="12"/>
                <w:szCs w:val="12"/>
                <w:b w:val="1"/>
                <w:bCs w:val="1"/>
                <w:color w:val="231F20"/>
              </w:rPr>
              <w:t>Investment</w:t>
            </w:r>
          </w:p>
        </w:tc>
        <w:tc>
          <w:tcPr>
            <w:tcW w:w="12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231F20"/>
                <w:w w:val="99"/>
              </w:rPr>
              <w:t>Date</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231F20"/>
              </w:rPr>
              <w:t>Spread</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231F20"/>
              </w:rPr>
              <w:t>Interest Rate</w:t>
            </w:r>
          </w:p>
        </w:tc>
        <w:tc>
          <w:tcPr>
            <w:tcW w:w="180" w:type="dxa"/>
            <w:vAlign w:val="bottom"/>
          </w:tcPr>
          <w:p>
            <w:pPr>
              <w:spacing w:after="0"/>
              <w:rPr>
                <w:sz w:val="13"/>
                <w:szCs w:val="13"/>
                <w:color w:val="auto"/>
              </w:rPr>
            </w:pPr>
          </w:p>
        </w:tc>
        <w:tc>
          <w:tcPr>
            <w:tcW w:w="1120" w:type="dxa"/>
            <w:vAlign w:val="bottom"/>
            <w:gridSpan w:val="3"/>
          </w:tcPr>
          <w:p>
            <w:pPr>
              <w:jc w:val="center"/>
              <w:ind w:right="300"/>
              <w:spacing w:after="0" w:line="151" w:lineRule="exact"/>
              <w:rPr>
                <w:sz w:val="20"/>
                <w:szCs w:val="20"/>
                <w:color w:val="auto"/>
              </w:rPr>
            </w:pPr>
            <w:r>
              <w:rPr>
                <w:rFonts w:ascii="Times New Roman" w:cs="Times New Roman" w:eastAsia="Times New Roman" w:hAnsi="Times New Roman"/>
                <w:sz w:val="17"/>
                <w:szCs w:val="17"/>
                <w:b w:val="1"/>
                <w:bCs w:val="1"/>
                <w:color w:val="231F20"/>
                <w:vertAlign w:val="subscript"/>
              </w:rPr>
              <w:t>Cost</w:t>
            </w:r>
            <w:r>
              <w:rPr>
                <w:rFonts w:ascii="Times New Roman" w:cs="Times New Roman" w:eastAsia="Times New Roman" w:hAnsi="Times New Roman"/>
                <w:sz w:val="7"/>
                <w:szCs w:val="7"/>
                <w:b w:val="1"/>
                <w:bCs w:val="1"/>
                <w:color w:val="231F20"/>
              </w:rPr>
              <w:t xml:space="preserve"> (2)(8)</w:t>
            </w:r>
          </w:p>
        </w:tc>
        <w:tc>
          <w:tcPr>
            <w:tcW w:w="120" w:type="dxa"/>
            <w:vAlign w:val="bottom"/>
          </w:tcPr>
          <w:p>
            <w:pPr>
              <w:spacing w:after="0"/>
              <w:rPr>
                <w:sz w:val="13"/>
                <w:szCs w:val="13"/>
                <w:color w:val="auto"/>
              </w:rPr>
            </w:pPr>
          </w:p>
        </w:tc>
        <w:tc>
          <w:tcPr>
            <w:tcW w:w="96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Fair Value </w:t>
            </w:r>
            <w:r>
              <w:rPr>
                <w:rFonts w:ascii="Times New Roman" w:cs="Times New Roman" w:eastAsia="Times New Roman" w:hAnsi="Times New Roman"/>
                <w:sz w:val="16"/>
                <w:szCs w:val="16"/>
                <w:b w:val="1"/>
                <w:bCs w:val="1"/>
                <w:color w:val="231F20"/>
                <w:vertAlign w:val="superscript"/>
              </w:rPr>
              <w:t>(9)</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231F20"/>
              </w:rPr>
              <w:t>of Net Assets</w:t>
            </w:r>
          </w:p>
        </w:tc>
        <w:tc>
          <w:tcPr>
            <w:tcW w:w="0" w:type="dxa"/>
            <w:vAlign w:val="bottom"/>
          </w:tcPr>
          <w:p>
            <w:pPr>
              <w:spacing w:after="0"/>
              <w:rPr>
                <w:sz w:val="1"/>
                <w:szCs w:val="1"/>
                <w:color w:val="auto"/>
              </w:rPr>
            </w:pPr>
          </w:p>
        </w:tc>
      </w:tr>
      <w:tr>
        <w:trPr>
          <w:trHeight w:val="128"/>
        </w:trPr>
        <w:tc>
          <w:tcPr>
            <w:tcW w:w="1540" w:type="dxa"/>
            <w:vAlign w:val="bottom"/>
            <w:tcBorders>
              <w:top w:val="single" w:sz="8" w:color="231F20"/>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Debt Investments</w:t>
            </w:r>
          </w:p>
        </w:tc>
        <w:tc>
          <w:tcPr>
            <w:tcW w:w="100" w:type="dxa"/>
            <w:vAlign w:val="bottom"/>
            <w:tcBorders>
              <w:top w:val="single" w:sz="8" w:color="CFEDF9"/>
            </w:tcBorders>
            <w:shd w:val="clear" w:color="auto" w:fill="CFEDF9"/>
          </w:tcPr>
          <w:p>
            <w:pPr>
              <w:spacing w:after="0"/>
              <w:rPr>
                <w:sz w:val="11"/>
                <w:szCs w:val="11"/>
                <w:color w:val="auto"/>
              </w:rPr>
            </w:pPr>
          </w:p>
        </w:tc>
        <w:tc>
          <w:tcPr>
            <w:tcW w:w="2540" w:type="dxa"/>
            <w:vAlign w:val="bottom"/>
            <w:tcBorders>
              <w:top w:val="single" w:sz="8" w:color="231F20"/>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231F20"/>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231F20"/>
            </w:tcBorders>
            <w:shd w:val="clear" w:color="auto" w:fill="CFEDF9"/>
          </w:tcPr>
          <w:p>
            <w:pPr>
              <w:spacing w:after="0"/>
              <w:rPr>
                <w:sz w:val="11"/>
                <w:szCs w:val="11"/>
                <w:color w:val="auto"/>
              </w:rPr>
            </w:pPr>
          </w:p>
        </w:tc>
        <w:tc>
          <w:tcPr>
            <w:tcW w:w="220" w:type="dxa"/>
            <w:vAlign w:val="bottom"/>
            <w:tcBorders>
              <w:top w:val="single" w:sz="8" w:color="CFEDF9"/>
            </w:tcBorders>
            <w:shd w:val="clear" w:color="auto" w:fill="CFEDF9"/>
          </w:tcPr>
          <w:p>
            <w:pPr>
              <w:spacing w:after="0"/>
              <w:rPr>
                <w:sz w:val="11"/>
                <w:szCs w:val="11"/>
                <w:color w:val="auto"/>
              </w:rPr>
            </w:pPr>
          </w:p>
        </w:tc>
        <w:tc>
          <w:tcPr>
            <w:tcW w:w="800" w:type="dxa"/>
            <w:vAlign w:val="bottom"/>
            <w:tcBorders>
              <w:top w:val="single" w:sz="8" w:color="231F20"/>
            </w:tcBorders>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180" w:type="dxa"/>
            <w:vAlign w:val="bottom"/>
            <w:tcBorders>
              <w:top w:val="single" w:sz="8" w:color="231F20"/>
            </w:tcBorders>
            <w:shd w:val="clear" w:color="auto" w:fill="CFEDF9"/>
          </w:tcPr>
          <w:p>
            <w:pPr>
              <w:spacing w:after="0"/>
              <w:rPr>
                <w:sz w:val="11"/>
                <w:szCs w:val="11"/>
                <w:color w:val="auto"/>
              </w:rPr>
            </w:pPr>
          </w:p>
        </w:tc>
        <w:tc>
          <w:tcPr>
            <w:tcW w:w="920" w:type="dxa"/>
            <w:vAlign w:val="bottom"/>
            <w:tcBorders>
              <w:top w:val="single" w:sz="8" w:color="231F20"/>
            </w:tcBorders>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231F20"/>
              <w:left w:val="single" w:sz="8" w:color="CFEDF9"/>
            </w:tcBorders>
            <w:shd w:val="clear" w:color="auto" w:fill="CFEDF9"/>
          </w:tcPr>
          <w:p>
            <w:pPr>
              <w:spacing w:after="0"/>
              <w:rPr>
                <w:sz w:val="11"/>
                <w:szCs w:val="11"/>
                <w:color w:val="auto"/>
              </w:rPr>
            </w:pPr>
          </w:p>
        </w:tc>
        <w:tc>
          <w:tcPr>
            <w:tcW w:w="760" w:type="dxa"/>
            <w:vAlign w:val="bottom"/>
            <w:tcBorders>
              <w:top w:val="single" w:sz="8" w:color="231F20"/>
            </w:tcBorders>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840" w:type="dxa"/>
            <w:vAlign w:val="bottom"/>
            <w:tcBorders>
              <w:top w:val="single" w:sz="8" w:color="231F20"/>
              <w:left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Automotive</w:t>
            </w: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Carlstar Group, LLC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($33,575 par, due 7/2027)</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7/8/2022</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+ 6.60%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10.92%</w:t>
            </w:r>
          </w:p>
        </w:tc>
        <w:tc>
          <w:tcPr>
            <w:tcW w:w="180" w:type="dxa"/>
            <w:vAlign w:val="bottom"/>
            <w:shd w:val="clear" w:color="auto" w:fill="CFEDF9"/>
          </w:tcPr>
          <w:p>
            <w:pPr>
              <w:jc w:val="right"/>
              <w:ind w:right="115"/>
              <w:spacing w:after="0"/>
              <w:rPr>
                <w:sz w:val="20"/>
                <w:szCs w:val="20"/>
                <w:color w:val="auto"/>
              </w:rPr>
            </w:pPr>
            <w:r>
              <w:rPr>
                <w:rFonts w:ascii="Times New Roman" w:cs="Times New Roman" w:eastAsia="Times New Roman" w:hAnsi="Times New Roman"/>
                <w:sz w:val="5"/>
                <w:szCs w:val="5"/>
                <w:color w:val="231F20"/>
                <w:w w:val="78"/>
              </w:rPr>
              <w:t>$</w:t>
            </w: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32,739</w:t>
            </w:r>
          </w:p>
        </w:tc>
        <w:tc>
          <w:tcPr>
            <w:tcW w:w="120" w:type="dxa"/>
            <w:vAlign w:val="bottom"/>
            <w:tcBorders>
              <w:left w:val="single" w:sz="8" w:color="CFEDF9"/>
            </w:tcBorders>
            <w:shd w:val="clear" w:color="auto" w:fill="CFEDF9"/>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33,049</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2.5%</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Business services</w:t>
            </w: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Acceo Solutions, Inc. </w:t>
            </w:r>
            <w:r>
              <w:rPr>
                <w:rFonts w:ascii="Times New Roman" w:cs="Times New Roman" w:eastAsia="Times New Roman" w:hAnsi="Times New Roman"/>
                <w:sz w:val="14"/>
                <w:szCs w:val="14"/>
                <w:color w:val="231F20"/>
                <w:vertAlign w:val="superscript"/>
              </w:rPr>
              <w:t>(3)(4)(5)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(CAD 57,353 par, due 10/2025)</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7/6/2018</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C + 4.75%</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9.49%</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43,241</w:t>
            </w:r>
          </w:p>
        </w:tc>
        <w:tc>
          <w:tcPr>
            <w:tcW w:w="120" w:type="dxa"/>
            <w:vAlign w:val="bottom"/>
            <w:tcBorders>
              <w:left w:val="single" w:sz="8" w:color="CFEDF9"/>
            </w:tcBorders>
            <w:shd w:val="clear" w:color="auto" w:fill="CFEDF9"/>
          </w:tcPr>
          <w:p>
            <w:pPr>
              <w:spacing w:after="0"/>
              <w:rPr>
                <w:sz w:val="11"/>
                <w:szCs w:val="11"/>
                <w:color w:val="auto"/>
              </w:rPr>
            </w:pPr>
          </w:p>
        </w:tc>
        <w:tc>
          <w:tcPr>
            <w:tcW w:w="76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42,540</w:t>
            </w:r>
          </w:p>
        </w:tc>
        <w:tc>
          <w:tcPr>
            <w:tcW w:w="20" w:type="dxa"/>
            <w:vAlign w:val="bottom"/>
            <w:shd w:val="clear" w:color="auto" w:fill="CFEDF9"/>
          </w:tcPr>
          <w:p>
            <w:pPr>
              <w:spacing w:after="0"/>
              <w:rPr>
                <w:sz w:val="11"/>
                <w:szCs w:val="11"/>
                <w:color w:val="auto"/>
              </w:rPr>
            </w:pPr>
          </w:p>
        </w:tc>
        <w:tc>
          <w:tcPr>
            <w:tcW w:w="18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3.2%</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(CAD 57,640)</w:t>
            </w: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Alpha Midco, Inc.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($68,720 par, due 8/2025)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8/15/2019</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+ 7.63%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12.21%</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67,831</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69,242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5.2%</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Dye &amp; Durham Corp. </w:t>
            </w:r>
            <w:r>
              <w:rPr>
                <w:rFonts w:ascii="Times New Roman" w:cs="Times New Roman" w:eastAsia="Times New Roman" w:hAnsi="Times New Roman"/>
                <w:sz w:val="14"/>
                <w:szCs w:val="14"/>
                <w:color w:val="231F20"/>
                <w:vertAlign w:val="superscript"/>
              </w:rPr>
              <w:t>(3)(4)</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(CAD 34,220 par, due 12/2027)</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12/3/2021</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C + 5.75%</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10.69%</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25,076</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24,113</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1.8%</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(CAD 32,672)</w:t>
            </w: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revolving loan (CAD 1,448 par, due</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12/3/2021</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P + 6.75%</w:t>
            </w:r>
          </w:p>
        </w:tc>
        <w:tc>
          <w:tcPr>
            <w:tcW w:w="102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11.20%</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1,095</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1,069</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231F20"/>
              </w:rPr>
              <w:t>12/2026)</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(CAD 1,448)</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ExtraHop Networks,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($57,950 par, due 7/2027)</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7/22/2021</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+ 7.50%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12.23%</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56,812</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56,791</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4.2%</w:t>
            </w: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ForeScout Technologies, Inc.</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($2,606 par, due 8/2026)</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7/1/2022</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+ 9.00%</w:t>
            </w:r>
          </w:p>
        </w:tc>
        <w:tc>
          <w:tcPr>
            <w:tcW w:w="102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13.72% (incl.</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2,533</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2,489</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Times New Roman" w:cs="Times New Roman" w:eastAsia="Times New Roman" w:hAnsi="Times New Roman"/>
                <w:sz w:val="8"/>
                <w:szCs w:val="8"/>
                <w:color w:val="231F20"/>
              </w:rPr>
              <w:t>(3)</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9.00% PIK)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($6,502 par, due 8/2026)</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8/17/2020</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+ 9.50%</w:t>
            </w:r>
          </w:p>
        </w:tc>
        <w:tc>
          <w:tcPr>
            <w:tcW w:w="1020" w:type="dxa"/>
            <w:vAlign w:val="bottom"/>
            <w:tcBorders>
              <w:right w:val="single" w:sz="8" w:color="CFEDF9"/>
            </w:tcBorders>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14.23% (incl.</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6,412</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6,421</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0.5%</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20" w:type="dxa"/>
            <w:vAlign w:val="bottom"/>
            <w:tcBorders>
              <w:right w:val="single" w:sz="8" w:color="CFEDF9"/>
            </w:tcBorders>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9.50% PIK)</w:t>
            </w: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7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Hornetsecurity Holding GmbH</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3,150 par, due 11/2029)</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11/14/2022</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E + 6.50%</w:t>
            </w:r>
          </w:p>
        </w:tc>
        <w:tc>
          <w:tcPr>
            <w:tcW w:w="102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8.26%</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3,140</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3,213</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Times New Roman" w:cs="Times New Roman" w:eastAsia="Times New Roman" w:hAnsi="Times New Roman"/>
                <w:sz w:val="8"/>
                <w:szCs w:val="8"/>
                <w:color w:val="231F20"/>
              </w:rPr>
              <w:t>(3)(4)</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(EUR 3,011)</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Information Clearinghouse,</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($17,820 par, due 12/2026)</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12/20/2021</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SOFR + 6.65%</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11.16%</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17,433</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17,375</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1.3%</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LLC and MS Market Service,</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80" w:type="dxa"/>
            <w:vAlign w:val="bottom"/>
            <w:shd w:val="clear" w:color="auto" w:fill="CFEDF9"/>
          </w:tcPr>
          <w:p>
            <w:pPr>
              <w:spacing w:after="0"/>
              <w:rPr>
                <w:sz w:val="11"/>
                <w:szCs w:val="11"/>
                <w:color w:val="auto"/>
              </w:rPr>
            </w:pPr>
          </w:p>
        </w:tc>
        <w:tc>
          <w:tcPr>
            <w:tcW w:w="92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80" w:type="dxa"/>
            <w:vAlign w:val="bottom"/>
            <w:shd w:val="clear" w:color="auto" w:fill="CFEDF9"/>
          </w:tcPr>
          <w:p>
            <w:pPr>
              <w:spacing w:after="0"/>
              <w:rPr>
                <w:sz w:val="11"/>
                <w:szCs w:val="11"/>
                <w:color w:val="auto"/>
              </w:rPr>
            </w:pPr>
          </w:p>
        </w:tc>
        <w:tc>
          <w:tcPr>
            <w:tcW w:w="120" w:type="dxa"/>
            <w:vAlign w:val="bottom"/>
            <w:tcBorders>
              <w:left w:val="single" w:sz="8" w:color="CFEDF9"/>
            </w:tcBorders>
            <w:shd w:val="clear" w:color="auto" w:fill="CFEDF9"/>
          </w:tcPr>
          <w:p>
            <w:pPr>
              <w:spacing w:after="0"/>
              <w:rPr>
                <w:sz w:val="11"/>
                <w:szCs w:val="11"/>
                <w:color w:val="auto"/>
              </w:rPr>
            </w:pPr>
          </w:p>
        </w:tc>
        <w:tc>
          <w:tcPr>
            <w:tcW w:w="7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80" w:type="dxa"/>
            <w:vAlign w:val="bottom"/>
            <w:shd w:val="clear" w:color="auto" w:fill="CFEDF9"/>
          </w:tcPr>
          <w:p>
            <w:pPr>
              <w:spacing w:after="0"/>
              <w:rPr>
                <w:sz w:val="11"/>
                <w:szCs w:val="11"/>
                <w:color w:val="auto"/>
              </w:rPr>
            </w:pPr>
          </w:p>
        </w:tc>
        <w:tc>
          <w:tcPr>
            <w:tcW w:w="840" w:type="dxa"/>
            <w:vAlign w:val="bottom"/>
            <w:tcBorders>
              <w:left w:val="single" w:sz="8" w:color="CFEDF9"/>
            </w:tcBorders>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 xml:space="preserve"> (3)(5)</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7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Mitnick Corporate Purchaser,</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($333 par, due 5/2029)</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5/2/2022</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SOFR + 4.85%</w:t>
            </w:r>
          </w:p>
        </w:tc>
        <w:tc>
          <w:tcPr>
            <w:tcW w:w="102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8.94%</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333</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311</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Inc.</w:t>
            </w:r>
            <w:r>
              <w:rPr>
                <w:rFonts w:ascii="Times New Roman" w:cs="Times New Roman" w:eastAsia="Times New Roman" w:hAnsi="Times New Roman"/>
                <w:sz w:val="7"/>
                <w:szCs w:val="7"/>
                <w:color w:val="231F20"/>
              </w:rPr>
              <w:t xml:space="preserve"> (3)(10)</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Netwrix Corp.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($36,119 par, due 6/2029)</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6/9/2022</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+ 5.00%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9.70%</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35,515</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35,119</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2.6%</w:t>
            </w:r>
          </w:p>
        </w:tc>
        <w:tc>
          <w:tcPr>
            <w:tcW w:w="0" w:type="dxa"/>
            <w:vAlign w:val="bottom"/>
          </w:tcPr>
          <w:p>
            <w:pPr>
              <w:spacing w:after="0"/>
              <w:rPr>
                <w:sz w:val="1"/>
                <w:szCs w:val="1"/>
                <w:color w:val="auto"/>
              </w:rPr>
            </w:pPr>
          </w:p>
        </w:tc>
      </w:tr>
      <w:tr>
        <w:trPr>
          <w:trHeight w:val="127"/>
        </w:trPr>
        <w:tc>
          <w:tcPr>
            <w:tcW w:w="1540" w:type="dxa"/>
            <w:vAlign w:val="bottom"/>
          </w:tcPr>
          <w:p>
            <w:pPr>
              <w:spacing w:after="0" w:line="127" w:lineRule="exact"/>
              <w:rPr>
                <w:sz w:val="20"/>
                <w:szCs w:val="20"/>
                <w:color w:val="auto"/>
              </w:rPr>
            </w:pPr>
            <w:r>
              <w:rPr>
                <w:rFonts w:ascii="Times New Roman" w:cs="Times New Roman" w:eastAsia="Times New Roman" w:hAnsi="Times New Roman"/>
                <w:sz w:val="11"/>
                <w:szCs w:val="11"/>
                <w:color w:val="231F20"/>
              </w:rPr>
              <w:t>OutSystems Luxco SARL</w:t>
            </w:r>
            <w:r>
              <w:rPr>
                <w:rFonts w:ascii="Times New Roman" w:cs="Times New Roman" w:eastAsia="Times New Roman" w:hAnsi="Times New Roman"/>
                <w:sz w:val="14"/>
                <w:szCs w:val="14"/>
                <w:color w:val="231F20"/>
                <w:vertAlign w:val="superscript"/>
              </w:rPr>
              <w:t>(3)(4)(5)</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3,004 par, due 12/2028)</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12/8/2022</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E + 5.75%</w:t>
            </w:r>
          </w:p>
        </w:tc>
        <w:tc>
          <w:tcPr>
            <w:tcW w:w="102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7.74%</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3,060</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3,112</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(EUR 2,916)</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ReliaQuest Holdings, LLC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($63,477 par, due 10/2026)</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10/8/2020</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11.83%</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62,411</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63,477</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4.7%</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TIBCO Software Inc. </w:t>
            </w:r>
            <w:r>
              <w:rPr>
                <w:rFonts w:ascii="Times New Roman" w:cs="Times New Roman" w:eastAsia="Times New Roman" w:hAnsi="Times New Roman"/>
                <w:sz w:val="15"/>
                <w:szCs w:val="15"/>
                <w:color w:val="231F20"/>
                <w:vertAlign w:val="superscript"/>
              </w:rPr>
              <w:t>(10)</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note ($13,000 par, due 3/2029)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9/20/2022</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6.50%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6.50%</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10,924</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10,944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0.8%</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First-lien loan ($12,000 par, due 3/2029) </w:t>
            </w:r>
            <w:r>
              <w:rPr>
                <w:rFonts w:ascii="Times New Roman" w:cs="Times New Roman" w:eastAsia="Times New Roman" w:hAnsi="Times New Roman"/>
                <w:sz w:val="15"/>
                <w:szCs w:val="15"/>
                <w:color w:val="231F20"/>
                <w:vertAlign w:val="superscript"/>
              </w:rPr>
              <w:t>(3)</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9/20/2022</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+ 4.60%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9.19%</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10,947</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10,680</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0.8%</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WideOrbit,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($35,548 par, due 7/2025)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7/8/2020</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+ 8.50%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12.88%</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35,213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36,347</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2.7%</w:t>
            </w:r>
          </w:p>
        </w:tc>
        <w:tc>
          <w:tcPr>
            <w:tcW w:w="0" w:type="dxa"/>
            <w:vAlign w:val="bottom"/>
          </w:tcPr>
          <w:p>
            <w:pPr>
              <w:spacing w:after="0"/>
              <w:rPr>
                <w:sz w:val="1"/>
                <w:szCs w:val="1"/>
                <w:color w:val="auto"/>
              </w:rPr>
            </w:pPr>
          </w:p>
        </w:tc>
      </w:tr>
      <w:tr>
        <w:trPr>
          <w:trHeight w:val="20"/>
        </w:trPr>
        <w:tc>
          <w:tcPr>
            <w:tcW w:w="154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254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20" w:type="dxa"/>
            <w:vAlign w:val="bottom"/>
            <w:shd w:val="clear" w:color="auto" w:fill="CFEDF9"/>
          </w:tcPr>
          <w:p>
            <w:pPr>
              <w:spacing w:after="0" w:line="20" w:lineRule="exact"/>
              <w:rPr>
                <w:sz w:val="1"/>
                <w:szCs w:val="1"/>
                <w:color w:val="auto"/>
              </w:rPr>
            </w:pPr>
          </w:p>
        </w:tc>
        <w:tc>
          <w:tcPr>
            <w:tcW w:w="800" w:type="dxa"/>
            <w:vAlign w:val="bottom"/>
            <w:shd w:val="clear" w:color="auto" w:fill="CFEDF9"/>
          </w:tcPr>
          <w:p>
            <w:pPr>
              <w:spacing w:after="0" w:line="20" w:lineRule="exact"/>
              <w:rPr>
                <w:sz w:val="1"/>
                <w:szCs w:val="1"/>
                <w:color w:val="auto"/>
              </w:rPr>
            </w:pPr>
          </w:p>
        </w:tc>
        <w:tc>
          <w:tcPr>
            <w:tcW w:w="220" w:type="dxa"/>
            <w:vAlign w:val="bottom"/>
            <w:tcBorders>
              <w:right w:val="single" w:sz="8" w:color="231F20"/>
            </w:tcBorders>
            <w:shd w:val="clear" w:color="auto" w:fill="CFEDF9"/>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CFEDF9"/>
          </w:tcPr>
          <w:p>
            <w:pPr>
              <w:spacing w:after="0" w:line="20" w:lineRule="exact"/>
              <w:rPr>
                <w:sz w:val="1"/>
                <w:szCs w:val="1"/>
                <w:color w:val="auto"/>
              </w:rPr>
            </w:pPr>
          </w:p>
        </w:tc>
        <w:tc>
          <w:tcPr>
            <w:tcW w:w="120" w:type="dxa"/>
            <w:vAlign w:val="bottom"/>
            <w:tcBorders>
              <w:left w:val="single" w:sz="8" w:color="231F20"/>
            </w:tcBorders>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CFEDF9"/>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381,976</w:t>
            </w: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76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383,243</w:t>
            </w: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28.5%</w:t>
            </w:r>
          </w:p>
        </w:tc>
        <w:tc>
          <w:tcPr>
            <w:tcW w:w="0" w:type="dxa"/>
            <w:vAlign w:val="bottom"/>
          </w:tcPr>
          <w:p>
            <w:pPr>
              <w:spacing w:after="0"/>
              <w:rPr>
                <w:sz w:val="1"/>
                <w:szCs w:val="1"/>
                <w:color w:val="auto"/>
              </w:rPr>
            </w:pPr>
          </w:p>
        </w:tc>
      </w:tr>
      <w:tr>
        <w:trPr>
          <w:trHeight w:val="108"/>
        </w:trPr>
        <w:tc>
          <w:tcPr>
            <w:tcW w:w="154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Chemicals</w:t>
            </w:r>
          </w:p>
        </w:tc>
        <w:tc>
          <w:tcPr>
            <w:tcW w:w="100" w:type="dxa"/>
            <w:vAlign w:val="bottom"/>
            <w:tcBorders>
              <w:top w:val="single" w:sz="8" w:color="CFEDF9"/>
            </w:tcBorders>
          </w:tcPr>
          <w:p>
            <w:pPr>
              <w:spacing w:after="0"/>
              <w:rPr>
                <w:sz w:val="9"/>
                <w:szCs w:val="9"/>
                <w:color w:val="auto"/>
              </w:rPr>
            </w:pPr>
          </w:p>
        </w:tc>
        <w:tc>
          <w:tcPr>
            <w:tcW w:w="254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80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180" w:type="dxa"/>
            <w:vAlign w:val="bottom"/>
            <w:tcBorders>
              <w:top w:val="single" w:sz="8" w:color="231F20"/>
            </w:tcBorders>
          </w:tcPr>
          <w:p>
            <w:pPr>
              <w:spacing w:after="0"/>
              <w:rPr>
                <w:sz w:val="9"/>
                <w:szCs w:val="9"/>
                <w:color w:val="auto"/>
              </w:rPr>
            </w:pPr>
          </w:p>
        </w:tc>
        <w:tc>
          <w:tcPr>
            <w:tcW w:w="920" w:type="dxa"/>
            <w:vAlign w:val="bottom"/>
            <w:tcBorders>
              <w:top w:val="single" w:sz="8" w:color="231F20"/>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80" w:type="dxa"/>
            <w:vAlign w:val="bottom"/>
            <w:tcBorders>
              <w:top w:val="single" w:sz="8" w:color="CFEDF9"/>
            </w:tcBorders>
          </w:tcPr>
          <w:p>
            <w:pPr>
              <w:spacing w:after="0"/>
              <w:rPr>
                <w:sz w:val="9"/>
                <w:szCs w:val="9"/>
                <w:color w:val="auto"/>
              </w:rPr>
            </w:pPr>
          </w:p>
        </w:tc>
        <w:tc>
          <w:tcPr>
            <w:tcW w:w="120" w:type="dxa"/>
            <w:vAlign w:val="bottom"/>
            <w:tcBorders>
              <w:top w:val="single" w:sz="8" w:color="231F20"/>
            </w:tcBorders>
          </w:tcPr>
          <w:p>
            <w:pPr>
              <w:spacing w:after="0"/>
              <w:rPr>
                <w:sz w:val="9"/>
                <w:szCs w:val="9"/>
                <w:color w:val="auto"/>
              </w:rPr>
            </w:pPr>
          </w:p>
        </w:tc>
        <w:tc>
          <w:tcPr>
            <w:tcW w:w="760" w:type="dxa"/>
            <w:vAlign w:val="bottom"/>
            <w:tcBorders>
              <w:top w:val="single" w:sz="8" w:color="231F20"/>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80" w:type="dxa"/>
            <w:vAlign w:val="bottom"/>
            <w:tcBorders>
              <w:top w:val="single" w:sz="8" w:color="CFEDF9"/>
            </w:tcBorders>
          </w:tcPr>
          <w:p>
            <w:pPr>
              <w:spacing w:after="0"/>
              <w:rPr>
                <w:sz w:val="9"/>
                <w:szCs w:val="9"/>
                <w:color w:val="auto"/>
              </w:rPr>
            </w:pPr>
          </w:p>
        </w:tc>
        <w:tc>
          <w:tcPr>
            <w:tcW w:w="840" w:type="dxa"/>
            <w:vAlign w:val="bottom"/>
            <w:tcBorders>
              <w:top w:val="single" w:sz="8" w:color="231F2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Erling Lux Bidco SARL</w:t>
            </w:r>
            <w:r>
              <w:rPr>
                <w:rFonts w:ascii="Times New Roman" w:cs="Times New Roman" w:eastAsia="Times New Roman" w:hAnsi="Times New Roman"/>
                <w:sz w:val="14"/>
                <w:szCs w:val="14"/>
                <w:color w:val="231F20"/>
                <w:vertAlign w:val="superscript"/>
              </w:rPr>
              <w:t>(3)(4)</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7,239 par, due 9/2028)</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9/6/2022</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E + 6.75%</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8.73%</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6,908</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7,326</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0.5%</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(EUR 6,864)</w:t>
            </w: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(GBP 10,217 par, due 9/2028)</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9/6/2022</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S + 6.75%</w:t>
            </w:r>
          </w:p>
        </w:tc>
        <w:tc>
          <w:tcPr>
            <w:tcW w:w="102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10.20%</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11,245</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11,922</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0.9%</w:t>
            </w:r>
          </w:p>
        </w:tc>
        <w:tc>
          <w:tcPr>
            <w:tcW w:w="0" w:type="dxa"/>
            <w:vAlign w:val="bottom"/>
          </w:tcPr>
          <w:p>
            <w:pPr>
              <w:spacing w:after="0"/>
              <w:rPr>
                <w:sz w:val="1"/>
                <w:szCs w:val="1"/>
                <w:color w:val="auto"/>
              </w:rPr>
            </w:pPr>
          </w:p>
        </w:tc>
      </w:tr>
      <w:tr>
        <w:trPr>
          <w:trHeight w:val="149"/>
        </w:trPr>
        <w:tc>
          <w:tcPr>
            <w:tcW w:w="1540" w:type="dxa"/>
            <w:vAlign w:val="bottom"/>
            <w:tcBorders>
              <w:bottom w:val="single" w:sz="8" w:color="CFEDF9"/>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254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78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780" w:type="dxa"/>
            <w:vAlign w:val="bottom"/>
            <w:tcBorders>
              <w:bottom w:val="single" w:sz="8" w:color="CFEDF9"/>
            </w:tcBorders>
          </w:tcPr>
          <w:p>
            <w:pPr>
              <w:spacing w:after="0"/>
              <w:rPr>
                <w:sz w:val="12"/>
                <w:szCs w:val="12"/>
                <w:color w:val="auto"/>
              </w:rPr>
            </w:pPr>
          </w:p>
        </w:tc>
        <w:tc>
          <w:tcPr>
            <w:tcW w:w="220" w:type="dxa"/>
            <w:vAlign w:val="bottom"/>
            <w:tcBorders>
              <w:bottom w:val="single" w:sz="8" w:color="CFEDF9"/>
            </w:tcBorders>
          </w:tcPr>
          <w:p>
            <w:pPr>
              <w:spacing w:after="0"/>
              <w:rPr>
                <w:sz w:val="12"/>
                <w:szCs w:val="12"/>
                <w:color w:val="auto"/>
              </w:rPr>
            </w:pPr>
          </w:p>
        </w:tc>
        <w:tc>
          <w:tcPr>
            <w:tcW w:w="800" w:type="dxa"/>
            <w:vAlign w:val="bottom"/>
            <w:tcBorders>
              <w:bottom w:val="single" w:sz="8" w:color="CFEDF9"/>
            </w:tcBorders>
          </w:tcPr>
          <w:p>
            <w:pPr>
              <w:spacing w:after="0"/>
              <w:rPr>
                <w:sz w:val="12"/>
                <w:szCs w:val="12"/>
                <w:color w:val="auto"/>
              </w:rPr>
            </w:pPr>
          </w:p>
        </w:tc>
        <w:tc>
          <w:tcPr>
            <w:tcW w:w="220" w:type="dxa"/>
            <w:vAlign w:val="bottom"/>
            <w:tcBorders>
              <w:bottom w:val="single" w:sz="8" w:color="CFEDF9"/>
            </w:tcBorders>
          </w:tcPr>
          <w:p>
            <w:pPr>
              <w:spacing w:after="0"/>
              <w:rPr>
                <w:sz w:val="12"/>
                <w:szCs w:val="12"/>
                <w:color w:val="auto"/>
              </w:rPr>
            </w:pPr>
          </w:p>
        </w:tc>
        <w:tc>
          <w:tcPr>
            <w:tcW w:w="180" w:type="dxa"/>
            <w:vAlign w:val="bottom"/>
            <w:tcBorders>
              <w:bottom w:val="single" w:sz="8" w:color="231F20"/>
            </w:tcBorders>
          </w:tcPr>
          <w:p>
            <w:pPr>
              <w:spacing w:after="0"/>
              <w:rPr>
                <w:sz w:val="12"/>
                <w:szCs w:val="12"/>
                <w:color w:val="auto"/>
              </w:rPr>
            </w:pPr>
          </w:p>
        </w:tc>
        <w:tc>
          <w:tcPr>
            <w:tcW w:w="92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CFEDF9"/>
            </w:tcBorders>
          </w:tcPr>
          <w:p>
            <w:pPr>
              <w:spacing w:after="0"/>
              <w:rPr>
                <w:sz w:val="12"/>
                <w:szCs w:val="12"/>
                <w:color w:val="auto"/>
              </w:rPr>
            </w:pPr>
          </w:p>
        </w:tc>
        <w:tc>
          <w:tcPr>
            <w:tcW w:w="120" w:type="dxa"/>
            <w:vAlign w:val="bottom"/>
            <w:tcBorders>
              <w:bottom w:val="single" w:sz="8" w:color="231F20"/>
            </w:tcBorders>
          </w:tcPr>
          <w:p>
            <w:pPr>
              <w:spacing w:after="0"/>
              <w:rPr>
                <w:sz w:val="12"/>
                <w:szCs w:val="12"/>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(GBP 9,911)</w:t>
            </w:r>
          </w:p>
        </w:tc>
        <w:tc>
          <w:tcPr>
            <w:tcW w:w="20" w:type="dxa"/>
            <w:vAlign w:val="bottom"/>
          </w:tcPr>
          <w:p>
            <w:pPr>
              <w:spacing w:after="0"/>
              <w:rPr>
                <w:sz w:val="12"/>
                <w:szCs w:val="12"/>
                <w:color w:val="auto"/>
              </w:rPr>
            </w:pPr>
          </w:p>
        </w:tc>
        <w:tc>
          <w:tcPr>
            <w:tcW w:w="180" w:type="dxa"/>
            <w:vAlign w:val="bottom"/>
            <w:tcBorders>
              <w:bottom w:val="single" w:sz="8" w:color="CFEDF9"/>
            </w:tcBorders>
          </w:tcPr>
          <w:p>
            <w:pPr>
              <w:spacing w:after="0"/>
              <w:rPr>
                <w:sz w:val="12"/>
                <w:szCs w:val="12"/>
                <w:color w:val="auto"/>
              </w:rPr>
            </w:pPr>
          </w:p>
        </w:tc>
        <w:tc>
          <w:tcPr>
            <w:tcW w:w="840" w:type="dxa"/>
            <w:vAlign w:val="bottom"/>
            <w:tcBorders>
              <w:bottom w:val="single" w:sz="8" w:color="231F2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18,153</w:t>
            </w: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78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19,248</w:t>
            </w:r>
          </w:p>
        </w:tc>
        <w:tc>
          <w:tcPr>
            <w:tcW w:w="180" w:type="dxa"/>
            <w:vAlign w:val="bottom"/>
            <w:shd w:val="clear" w:color="auto" w:fill="CFEDF9"/>
          </w:tcPr>
          <w:p>
            <w:pPr>
              <w:spacing w:after="0"/>
              <w:rPr>
                <w:sz w:val="12"/>
                <w:szCs w:val="12"/>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1.4%</w:t>
            </w:r>
          </w:p>
        </w:tc>
        <w:tc>
          <w:tcPr>
            <w:tcW w:w="0" w:type="dxa"/>
            <w:vAlign w:val="bottom"/>
          </w:tcPr>
          <w:p>
            <w:pPr>
              <w:spacing w:after="0"/>
              <w:rPr>
                <w:sz w:val="1"/>
                <w:szCs w:val="1"/>
                <w:color w:val="auto"/>
              </w:rPr>
            </w:pPr>
          </w:p>
        </w:tc>
      </w:tr>
      <w:tr>
        <w:trPr>
          <w:trHeight w:val="108"/>
        </w:trPr>
        <w:tc>
          <w:tcPr>
            <w:tcW w:w="154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Communications</w:t>
            </w:r>
          </w:p>
        </w:tc>
        <w:tc>
          <w:tcPr>
            <w:tcW w:w="100" w:type="dxa"/>
            <w:vAlign w:val="bottom"/>
            <w:tcBorders>
              <w:top w:val="single" w:sz="8" w:color="CFEDF9"/>
            </w:tcBorders>
          </w:tcPr>
          <w:p>
            <w:pPr>
              <w:spacing w:after="0"/>
              <w:rPr>
                <w:sz w:val="9"/>
                <w:szCs w:val="9"/>
                <w:color w:val="auto"/>
              </w:rPr>
            </w:pPr>
          </w:p>
        </w:tc>
        <w:tc>
          <w:tcPr>
            <w:tcW w:w="254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80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180" w:type="dxa"/>
            <w:vAlign w:val="bottom"/>
            <w:tcBorders>
              <w:top w:val="single" w:sz="8" w:color="231F20"/>
            </w:tcBorders>
          </w:tcPr>
          <w:p>
            <w:pPr>
              <w:spacing w:after="0"/>
              <w:rPr>
                <w:sz w:val="9"/>
                <w:szCs w:val="9"/>
                <w:color w:val="auto"/>
              </w:rPr>
            </w:pPr>
          </w:p>
        </w:tc>
        <w:tc>
          <w:tcPr>
            <w:tcW w:w="920" w:type="dxa"/>
            <w:vAlign w:val="bottom"/>
            <w:tcBorders>
              <w:top w:val="single" w:sz="8" w:color="231F20"/>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80" w:type="dxa"/>
            <w:vAlign w:val="bottom"/>
            <w:tcBorders>
              <w:top w:val="single" w:sz="8" w:color="CFEDF9"/>
            </w:tcBorders>
          </w:tcPr>
          <w:p>
            <w:pPr>
              <w:spacing w:after="0"/>
              <w:rPr>
                <w:sz w:val="9"/>
                <w:szCs w:val="9"/>
                <w:color w:val="auto"/>
              </w:rPr>
            </w:pPr>
          </w:p>
        </w:tc>
        <w:tc>
          <w:tcPr>
            <w:tcW w:w="120" w:type="dxa"/>
            <w:vAlign w:val="bottom"/>
            <w:tcBorders>
              <w:top w:val="single" w:sz="8" w:color="231F20"/>
            </w:tcBorders>
          </w:tcPr>
          <w:p>
            <w:pPr>
              <w:spacing w:after="0"/>
              <w:rPr>
                <w:sz w:val="9"/>
                <w:szCs w:val="9"/>
                <w:color w:val="auto"/>
              </w:rPr>
            </w:pPr>
          </w:p>
        </w:tc>
        <w:tc>
          <w:tcPr>
            <w:tcW w:w="760" w:type="dxa"/>
            <w:vAlign w:val="bottom"/>
            <w:tcBorders>
              <w:top w:val="single" w:sz="8" w:color="231F20"/>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80" w:type="dxa"/>
            <w:vAlign w:val="bottom"/>
            <w:tcBorders>
              <w:top w:val="single" w:sz="8" w:color="CFEDF9"/>
            </w:tcBorders>
          </w:tcPr>
          <w:p>
            <w:pPr>
              <w:spacing w:after="0"/>
              <w:rPr>
                <w:sz w:val="9"/>
                <w:szCs w:val="9"/>
                <w:color w:val="auto"/>
              </w:rPr>
            </w:pPr>
          </w:p>
        </w:tc>
        <w:tc>
          <w:tcPr>
            <w:tcW w:w="840" w:type="dxa"/>
            <w:vAlign w:val="bottom"/>
            <w:tcBorders>
              <w:top w:val="single" w:sz="8" w:color="231F2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Celtra Technologies,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($34,650 par, due 11/2026)</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11/19/2021</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+ 7.00%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11.38%</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33,764</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33,264</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2.5%</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20"/>
                <w:szCs w:val="20"/>
                <w:color w:val="auto"/>
              </w:rPr>
            </w:pPr>
            <w:r>
              <w:rPr>
                <w:rFonts w:ascii="Times New Roman" w:cs="Times New Roman" w:eastAsia="Times New Roman" w:hAnsi="Times New Roman"/>
                <w:sz w:val="12"/>
                <w:szCs w:val="12"/>
                <w:color w:val="231F20"/>
              </w:rPr>
              <w:t>IntelePeer Holdings, Inc.</w:t>
            </w:r>
          </w:p>
        </w:tc>
        <w:tc>
          <w:tcPr>
            <w:tcW w:w="10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First-lien loan ($34,677 par, due 12/2024) </w:t>
            </w:r>
            <w:r>
              <w:rPr>
                <w:rFonts w:ascii="Times New Roman" w:cs="Times New Roman" w:eastAsia="Times New Roman" w:hAnsi="Times New Roman"/>
                <w:sz w:val="15"/>
                <w:szCs w:val="15"/>
                <w:color w:val="231F20"/>
                <w:vertAlign w:val="superscript"/>
              </w:rPr>
              <w:t>(3)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12/2/2019</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+ 8.25%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12.63%</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34,633</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33,983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2.5%</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Convertible note ($4,382 par, due 5/2028)</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5/12/2021</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6.50%</w:t>
            </w:r>
          </w:p>
        </w:tc>
        <w:tc>
          <w:tcPr>
            <w:tcW w:w="1020" w:type="dxa"/>
            <w:vAlign w:val="bottom"/>
            <w:tcBorders>
              <w:right w:val="single" w:sz="8" w:color="CFEDF9"/>
            </w:tcBorders>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6.50% PIK</w:t>
            </w:r>
          </w:p>
        </w:tc>
        <w:tc>
          <w:tcPr>
            <w:tcW w:w="180" w:type="dxa"/>
            <w:vAlign w:val="bottom"/>
            <w:shd w:val="clear" w:color="auto" w:fill="CFEDF9"/>
          </w:tcPr>
          <w:p>
            <w:pPr>
              <w:spacing w:after="0"/>
              <w:rPr>
                <w:sz w:val="11"/>
                <w:szCs w:val="11"/>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4,350</w:t>
            </w:r>
          </w:p>
        </w:tc>
        <w:tc>
          <w:tcPr>
            <w:tcW w:w="200" w:type="dxa"/>
            <w:vAlign w:val="bottom"/>
            <w:gridSpan w:val="2"/>
            <w:shd w:val="clear" w:color="auto" w:fill="CFEDF9"/>
          </w:tcPr>
          <w:p>
            <w:pPr>
              <w:spacing w:after="0"/>
              <w:rPr>
                <w:sz w:val="11"/>
                <w:szCs w:val="11"/>
                <w:color w:val="auto"/>
              </w:rPr>
            </w:pPr>
          </w:p>
        </w:tc>
        <w:tc>
          <w:tcPr>
            <w:tcW w:w="120" w:type="dxa"/>
            <w:vAlign w:val="bottom"/>
            <w:tcBorders>
              <w:left w:val="single" w:sz="8" w:color="CFEDF9"/>
            </w:tcBorders>
            <w:shd w:val="clear" w:color="auto" w:fill="CFEDF9"/>
          </w:tcPr>
          <w:p>
            <w:pPr>
              <w:spacing w:after="0"/>
              <w:rPr>
                <w:sz w:val="11"/>
                <w:szCs w:val="11"/>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4,240</w:t>
            </w:r>
          </w:p>
        </w:tc>
        <w:tc>
          <w:tcPr>
            <w:tcW w:w="200" w:type="dxa"/>
            <w:vAlign w:val="bottom"/>
            <w:gridSpan w:val="2"/>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0.3%</w:t>
            </w:r>
          </w:p>
        </w:tc>
        <w:tc>
          <w:tcPr>
            <w:tcW w:w="0" w:type="dxa"/>
            <w:vAlign w:val="bottom"/>
          </w:tcPr>
          <w:p>
            <w:pPr>
              <w:spacing w:after="0"/>
              <w:rPr>
                <w:sz w:val="1"/>
                <w:szCs w:val="1"/>
                <w:color w:val="auto"/>
              </w:rPr>
            </w:pPr>
          </w:p>
        </w:tc>
      </w:tr>
      <w:tr>
        <w:trPr>
          <w:trHeight w:val="20"/>
        </w:trPr>
        <w:tc>
          <w:tcPr>
            <w:tcW w:w="1540" w:type="dxa"/>
            <w:vAlign w:val="bottom"/>
            <w:tcBorders>
              <w:top w:val="single" w:sz="8" w:color="CFEDF9"/>
            </w:tcBorders>
          </w:tcPr>
          <w:p>
            <w:pPr>
              <w:spacing w:after="0" w:line="20" w:lineRule="exact"/>
              <w:rPr>
                <w:sz w:val="1"/>
                <w:szCs w:val="1"/>
                <w:color w:val="auto"/>
              </w:rPr>
            </w:pPr>
          </w:p>
        </w:tc>
        <w:tc>
          <w:tcPr>
            <w:tcW w:w="100" w:type="dxa"/>
            <w:vAlign w:val="bottom"/>
            <w:tcBorders>
              <w:top w:val="single" w:sz="8" w:color="CFEDF9"/>
            </w:tcBorders>
          </w:tcPr>
          <w:p>
            <w:pPr>
              <w:spacing w:after="0" w:line="20" w:lineRule="exact"/>
              <w:rPr>
                <w:sz w:val="1"/>
                <w:szCs w:val="1"/>
                <w:color w:val="auto"/>
              </w:rPr>
            </w:pPr>
          </w:p>
        </w:tc>
        <w:tc>
          <w:tcPr>
            <w:tcW w:w="2540" w:type="dxa"/>
            <w:vAlign w:val="bottom"/>
            <w:tcBorders>
              <w:top w:val="single" w:sz="8" w:color="CFEDF9"/>
            </w:tcBorders>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tcBorders>
          </w:tcPr>
          <w:p>
            <w:pPr>
              <w:spacing w:after="0" w:line="20" w:lineRule="exact"/>
              <w:rPr>
                <w:sz w:val="1"/>
                <w:szCs w:val="1"/>
                <w:color w:val="auto"/>
              </w:rPr>
            </w:pPr>
          </w:p>
        </w:tc>
        <w:tc>
          <w:tcPr>
            <w:tcW w:w="80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right w:val="single" w:sz="8" w:color="231F20"/>
            </w:tcBorders>
          </w:tcPr>
          <w:p>
            <w:pPr>
              <w:spacing w:after="0" w:line="20" w:lineRule="exact"/>
              <w:rPr>
                <w:sz w:val="1"/>
                <w:szCs w:val="1"/>
                <w:color w:val="auto"/>
              </w:rPr>
            </w:pPr>
          </w:p>
        </w:tc>
        <w:tc>
          <w:tcPr>
            <w:tcW w:w="18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gridSpan w:val="2"/>
            <w:vMerge w:val="restart"/>
          </w:tcPr>
          <w:p>
            <w:pPr>
              <w:spacing w:after="0" w:line="20" w:lineRule="exact"/>
              <w:rPr>
                <w:sz w:val="1"/>
                <w:szCs w:val="1"/>
                <w:color w:val="auto"/>
              </w:rPr>
            </w:pPr>
          </w:p>
        </w:tc>
        <w:tc>
          <w:tcPr>
            <w:tcW w:w="12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76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gridSpan w:val="2"/>
            <w:vMerge w:val="restart"/>
          </w:tcPr>
          <w:p>
            <w:pPr>
              <w:spacing w:after="0" w:line="20" w:lineRule="exact"/>
              <w:rPr>
                <w:sz w:val="1"/>
                <w:szCs w:val="1"/>
                <w:color w:val="auto"/>
              </w:rPr>
            </w:pPr>
          </w:p>
        </w:tc>
        <w:tc>
          <w:tcPr>
            <w:tcW w:w="84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72,747</w:t>
            </w:r>
          </w:p>
        </w:tc>
        <w:tc>
          <w:tcPr>
            <w:tcW w:w="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71,487</w:t>
            </w:r>
          </w:p>
        </w:tc>
        <w:tc>
          <w:tcPr>
            <w:tcW w:w="200" w:type="dxa"/>
            <w:vAlign w:val="bottom"/>
            <w:gridSpan w:val="2"/>
            <w:vMerge w:val="continue"/>
          </w:tcPr>
          <w:p>
            <w:pPr>
              <w:spacing w:after="0"/>
              <w:rPr>
                <w:sz w:val="9"/>
                <w:szCs w:val="9"/>
                <w:color w:val="auto"/>
              </w:rPr>
            </w:pPr>
          </w:p>
        </w:tc>
        <w:tc>
          <w:tcPr>
            <w:tcW w:w="9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231F20"/>
              </w:rPr>
              <w:t>5.3%</w:t>
            </w:r>
          </w:p>
        </w:tc>
        <w:tc>
          <w:tcPr>
            <w:tcW w:w="0" w:type="dxa"/>
            <w:vAlign w:val="bottom"/>
          </w:tcPr>
          <w:p>
            <w:pPr>
              <w:spacing w:after="0"/>
              <w:rPr>
                <w:sz w:val="1"/>
                <w:szCs w:val="1"/>
                <w:color w:val="auto"/>
              </w:rPr>
            </w:pPr>
          </w:p>
        </w:tc>
      </w:tr>
      <w:tr>
        <w:trPr>
          <w:trHeight w:val="128"/>
        </w:trPr>
        <w:tc>
          <w:tcPr>
            <w:tcW w:w="1540" w:type="dxa"/>
            <w:vAlign w:val="bottom"/>
            <w:tcBorders>
              <w:top w:val="single" w:sz="8" w:color="CFEDF9"/>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Education</w:t>
            </w:r>
          </w:p>
        </w:tc>
        <w:tc>
          <w:tcPr>
            <w:tcW w:w="100" w:type="dxa"/>
            <w:vAlign w:val="bottom"/>
            <w:tcBorders>
              <w:top w:val="single" w:sz="8" w:color="CFEDF9"/>
            </w:tcBorders>
            <w:shd w:val="clear" w:color="auto" w:fill="CFEDF9"/>
          </w:tcPr>
          <w:p>
            <w:pPr>
              <w:spacing w:after="0"/>
              <w:rPr>
                <w:sz w:val="11"/>
                <w:szCs w:val="11"/>
                <w:color w:val="auto"/>
              </w:rPr>
            </w:pPr>
          </w:p>
        </w:tc>
        <w:tc>
          <w:tcPr>
            <w:tcW w:w="254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tcBorders>
            <w:shd w:val="clear" w:color="auto" w:fill="CFEDF9"/>
          </w:tcPr>
          <w:p>
            <w:pPr>
              <w:spacing w:after="0"/>
              <w:rPr>
                <w:sz w:val="11"/>
                <w:szCs w:val="11"/>
                <w:color w:val="auto"/>
              </w:rPr>
            </w:pPr>
          </w:p>
        </w:tc>
        <w:tc>
          <w:tcPr>
            <w:tcW w:w="80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180" w:type="dxa"/>
            <w:vAlign w:val="bottom"/>
            <w:tcBorders>
              <w:top w:val="single" w:sz="8" w:color="231F20"/>
            </w:tcBorders>
            <w:shd w:val="clear" w:color="auto" w:fill="CFEDF9"/>
          </w:tcPr>
          <w:p>
            <w:pPr>
              <w:spacing w:after="0"/>
              <w:rPr>
                <w:sz w:val="11"/>
                <w:szCs w:val="11"/>
                <w:color w:val="auto"/>
              </w:rPr>
            </w:pPr>
          </w:p>
        </w:tc>
        <w:tc>
          <w:tcPr>
            <w:tcW w:w="920" w:type="dxa"/>
            <w:vAlign w:val="bottom"/>
            <w:tcBorders>
              <w:top w:val="single" w:sz="8" w:color="231F20"/>
            </w:tcBorders>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231F20"/>
              <w:left w:val="single" w:sz="8" w:color="CFEDF9"/>
            </w:tcBorders>
            <w:shd w:val="clear" w:color="auto" w:fill="CFEDF9"/>
          </w:tcPr>
          <w:p>
            <w:pPr>
              <w:spacing w:after="0"/>
              <w:rPr>
                <w:sz w:val="11"/>
                <w:szCs w:val="11"/>
                <w:color w:val="auto"/>
              </w:rPr>
            </w:pPr>
          </w:p>
        </w:tc>
        <w:tc>
          <w:tcPr>
            <w:tcW w:w="760" w:type="dxa"/>
            <w:vAlign w:val="bottom"/>
            <w:tcBorders>
              <w:top w:val="single" w:sz="8" w:color="231F20"/>
            </w:tcBorders>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840" w:type="dxa"/>
            <w:vAlign w:val="bottom"/>
            <w:tcBorders>
              <w:top w:val="single" w:sz="8" w:color="231F20"/>
              <w:left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Astra Acquisition Corp.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Second-lien loan ($43,479 par, due 10/2029)</w:t>
            </w: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231F20"/>
              </w:rPr>
              <w:t>10/25/2021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+ 8.88%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13.26%</w:t>
            </w:r>
          </w:p>
        </w:tc>
        <w:tc>
          <w:tcPr>
            <w:tcW w:w="180" w:type="dxa"/>
            <w:vAlign w:val="bottom"/>
          </w:tcPr>
          <w:p>
            <w:pPr>
              <w:spacing w:after="0"/>
              <w:rPr>
                <w:sz w:val="11"/>
                <w:szCs w:val="1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42,743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40,762</w:t>
            </w:r>
          </w:p>
        </w:tc>
        <w:tc>
          <w:tcPr>
            <w:tcW w:w="18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3.0%</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Destiny Solutions Parent</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($60,000 par, due 6/2026)</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6/8/2021</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+ 5.75%</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10.13%</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59,046</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58,350</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4.3%</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Holding Company </w:t>
            </w:r>
            <w:r>
              <w:rPr>
                <w:rFonts w:ascii="Times New Roman" w:cs="Times New Roman" w:eastAsia="Times New Roman" w:hAnsi="Times New Roman"/>
                <w:sz w:val="16"/>
                <w:szCs w:val="16"/>
                <w:color w:val="231F20"/>
                <w:vertAlign w:val="superscript"/>
              </w:rPr>
              <w:t>(3)(5)</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7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EMS Linq,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($56,216 par, due 12/2027)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12/22/2021</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+ 6.25%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10.63%</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55,103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53,291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4.0%</w:t>
            </w:r>
          </w:p>
        </w:tc>
        <w:tc>
          <w:tcPr>
            <w:tcW w:w="0" w:type="dxa"/>
            <w:vAlign w:val="bottom"/>
          </w:tcPr>
          <w:p>
            <w:pPr>
              <w:spacing w:after="0"/>
              <w:rPr>
                <w:sz w:val="1"/>
                <w:szCs w:val="1"/>
                <w:color w:val="auto"/>
              </w:rPr>
            </w:pPr>
          </w:p>
        </w:tc>
      </w:tr>
      <w:tr>
        <w:trPr>
          <w:trHeight w:val="20"/>
        </w:trPr>
        <w:tc>
          <w:tcPr>
            <w:tcW w:w="154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254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20" w:type="dxa"/>
            <w:vAlign w:val="bottom"/>
            <w:shd w:val="clear" w:color="auto" w:fill="CFEDF9"/>
          </w:tcPr>
          <w:p>
            <w:pPr>
              <w:spacing w:after="0" w:line="20" w:lineRule="exact"/>
              <w:rPr>
                <w:sz w:val="1"/>
                <w:szCs w:val="1"/>
                <w:color w:val="auto"/>
              </w:rPr>
            </w:pPr>
          </w:p>
        </w:tc>
        <w:tc>
          <w:tcPr>
            <w:tcW w:w="800" w:type="dxa"/>
            <w:vAlign w:val="bottom"/>
            <w:shd w:val="clear" w:color="auto" w:fill="CFEDF9"/>
          </w:tcPr>
          <w:p>
            <w:pPr>
              <w:spacing w:after="0" w:line="20" w:lineRule="exact"/>
              <w:rPr>
                <w:sz w:val="1"/>
                <w:szCs w:val="1"/>
                <w:color w:val="auto"/>
              </w:rPr>
            </w:pPr>
          </w:p>
        </w:tc>
        <w:tc>
          <w:tcPr>
            <w:tcW w:w="220" w:type="dxa"/>
            <w:vAlign w:val="bottom"/>
            <w:tcBorders>
              <w:right w:val="single" w:sz="8" w:color="231F20"/>
            </w:tcBorders>
            <w:shd w:val="clear" w:color="auto" w:fill="CFEDF9"/>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CFEDF9"/>
          </w:tcPr>
          <w:p>
            <w:pPr>
              <w:spacing w:after="0" w:line="20" w:lineRule="exact"/>
              <w:rPr>
                <w:sz w:val="1"/>
                <w:szCs w:val="1"/>
                <w:color w:val="auto"/>
              </w:rPr>
            </w:pPr>
          </w:p>
        </w:tc>
        <w:tc>
          <w:tcPr>
            <w:tcW w:w="120" w:type="dxa"/>
            <w:vAlign w:val="bottom"/>
            <w:tcBorders>
              <w:left w:val="single" w:sz="8" w:color="231F20"/>
            </w:tcBorders>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CFEDF9"/>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156,892</w:t>
            </w: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76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152,403</w:t>
            </w: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11.3%</w:t>
            </w:r>
          </w:p>
        </w:tc>
        <w:tc>
          <w:tcPr>
            <w:tcW w:w="0" w:type="dxa"/>
            <w:vAlign w:val="bottom"/>
          </w:tcPr>
          <w:p>
            <w:pPr>
              <w:spacing w:after="0"/>
              <w:rPr>
                <w:sz w:val="1"/>
                <w:szCs w:val="1"/>
                <w:color w:val="auto"/>
              </w:rPr>
            </w:pPr>
          </w:p>
        </w:tc>
      </w:tr>
      <w:tr>
        <w:trPr>
          <w:trHeight w:val="108"/>
        </w:trPr>
        <w:tc>
          <w:tcPr>
            <w:tcW w:w="154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Financial Services</w:t>
            </w:r>
          </w:p>
        </w:tc>
        <w:tc>
          <w:tcPr>
            <w:tcW w:w="100" w:type="dxa"/>
            <w:vAlign w:val="bottom"/>
            <w:tcBorders>
              <w:top w:val="single" w:sz="8" w:color="CFEDF9"/>
            </w:tcBorders>
          </w:tcPr>
          <w:p>
            <w:pPr>
              <w:spacing w:after="0"/>
              <w:rPr>
                <w:sz w:val="9"/>
                <w:szCs w:val="9"/>
                <w:color w:val="auto"/>
              </w:rPr>
            </w:pPr>
          </w:p>
        </w:tc>
        <w:tc>
          <w:tcPr>
            <w:tcW w:w="254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80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180" w:type="dxa"/>
            <w:vAlign w:val="bottom"/>
            <w:tcBorders>
              <w:top w:val="single" w:sz="8" w:color="231F20"/>
            </w:tcBorders>
          </w:tcPr>
          <w:p>
            <w:pPr>
              <w:spacing w:after="0"/>
              <w:rPr>
                <w:sz w:val="9"/>
                <w:szCs w:val="9"/>
                <w:color w:val="auto"/>
              </w:rPr>
            </w:pPr>
          </w:p>
        </w:tc>
        <w:tc>
          <w:tcPr>
            <w:tcW w:w="920" w:type="dxa"/>
            <w:vAlign w:val="bottom"/>
            <w:tcBorders>
              <w:top w:val="single" w:sz="8" w:color="231F20"/>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80" w:type="dxa"/>
            <w:vAlign w:val="bottom"/>
            <w:tcBorders>
              <w:top w:val="single" w:sz="8" w:color="CFEDF9"/>
            </w:tcBorders>
          </w:tcPr>
          <w:p>
            <w:pPr>
              <w:spacing w:after="0"/>
              <w:rPr>
                <w:sz w:val="9"/>
                <w:szCs w:val="9"/>
                <w:color w:val="auto"/>
              </w:rPr>
            </w:pPr>
          </w:p>
        </w:tc>
        <w:tc>
          <w:tcPr>
            <w:tcW w:w="120" w:type="dxa"/>
            <w:vAlign w:val="bottom"/>
            <w:tcBorders>
              <w:top w:val="single" w:sz="8" w:color="231F20"/>
            </w:tcBorders>
          </w:tcPr>
          <w:p>
            <w:pPr>
              <w:spacing w:after="0"/>
              <w:rPr>
                <w:sz w:val="9"/>
                <w:szCs w:val="9"/>
                <w:color w:val="auto"/>
              </w:rPr>
            </w:pPr>
          </w:p>
        </w:tc>
        <w:tc>
          <w:tcPr>
            <w:tcW w:w="760" w:type="dxa"/>
            <w:vAlign w:val="bottom"/>
            <w:tcBorders>
              <w:top w:val="single" w:sz="8" w:color="231F20"/>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80" w:type="dxa"/>
            <w:vAlign w:val="bottom"/>
            <w:tcBorders>
              <w:top w:val="single" w:sz="8" w:color="CFEDF9"/>
            </w:tcBorders>
          </w:tcPr>
          <w:p>
            <w:pPr>
              <w:spacing w:after="0"/>
              <w:rPr>
                <w:sz w:val="9"/>
                <w:szCs w:val="9"/>
                <w:color w:val="auto"/>
              </w:rPr>
            </w:pPr>
          </w:p>
        </w:tc>
        <w:tc>
          <w:tcPr>
            <w:tcW w:w="840" w:type="dxa"/>
            <w:vAlign w:val="bottom"/>
            <w:tcBorders>
              <w:top w:val="single" w:sz="8" w:color="231F2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BTRS Holdings, Inc.</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($45,180 par, due 12/2028)</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12/16/2022</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+ 8.00%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12.50%</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43,688</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43,465</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3.2%</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Bear OpCo,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($20,169 par, due 10/2024)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10/10/2019</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+ 7.65%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11.97%</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19,953</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20,169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1.5%</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BlueSnap,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($42,000 par, due 10/2024)</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10/25/2019</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+ 6.75%</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11.48%</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41,646</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41,889</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3.1%</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G Treasury SS,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($65,859 par, due 4/2024)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4/9/2018</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+ 8.40%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12.94%</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65,709</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65,859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4.9%</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Ibis Intermediate Co.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($1,526 par, due 5/2027)</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5/28/2021</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+ 5.00%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9.73%</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1,416</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1,565</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Ibis US Blocker Co.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($13,957 par, due 5/2028)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5/28/2021</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+ 8.25%</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12.98% PIK</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13,713</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13,643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1.0%</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Jonas Collections and</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($19,125 par, due 6/2026)</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6/21/2021</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+ 5.25%</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10.40%</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18,832</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18,790</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1.4%</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Recovery, Inc. </w:t>
            </w:r>
            <w:r>
              <w:rPr>
                <w:rFonts w:ascii="Times New Roman" w:cs="Times New Roman" w:eastAsia="Times New Roman" w:hAnsi="Times New Roman"/>
                <w:sz w:val="16"/>
                <w:szCs w:val="16"/>
                <w:color w:val="231F20"/>
                <w:vertAlign w:val="superscript"/>
              </w:rPr>
              <w:t>(3)(5)</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7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7" w:lineRule="exact"/>
              <w:rPr>
                <w:sz w:val="20"/>
                <w:szCs w:val="20"/>
                <w:color w:val="auto"/>
              </w:rPr>
            </w:pPr>
            <w:r>
              <w:rPr>
                <w:rFonts w:ascii="Times New Roman" w:cs="Times New Roman" w:eastAsia="Times New Roman" w:hAnsi="Times New Roman"/>
                <w:sz w:val="11"/>
                <w:szCs w:val="11"/>
                <w:color w:val="231F20"/>
              </w:rPr>
              <w:t>Kyriba Corp.</w:t>
            </w:r>
            <w:r>
              <w:rPr>
                <w:rFonts w:ascii="Times New Roman" w:cs="Times New Roman" w:eastAsia="Times New Roman" w:hAnsi="Times New Roman"/>
                <w:sz w:val="14"/>
                <w:szCs w:val="14"/>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($19,051 par, due 4/2025)</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4/9/2019</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+ 9.00%</w:t>
            </w:r>
          </w:p>
        </w:tc>
        <w:tc>
          <w:tcPr>
            <w:tcW w:w="102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13.73% (incl.</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18,870</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19,147</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1.4%</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9.00% PIK)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(EUR 9,924 par, due 4/2025)</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4/9/2019</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E + 9.00%</w:t>
            </w:r>
          </w:p>
        </w:tc>
        <w:tc>
          <w:tcPr>
            <w:tcW w:w="1020" w:type="dxa"/>
            <w:vAlign w:val="bottom"/>
            <w:tcBorders>
              <w:right w:val="single" w:sz="8" w:color="CFEDF9"/>
            </w:tcBorders>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11.20% (incl.</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11,004</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10,645</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0.8%</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20" w:type="dxa"/>
            <w:vAlign w:val="bottom"/>
            <w:tcBorders>
              <w:right w:val="single" w:sz="8" w:color="CFEDF9"/>
            </w:tcBorders>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9.00% PIK)</w:t>
            </w: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(EUR 9,974)</w:t>
            </w: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revolving loan ($1,411 par, due 4/2025)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4/9/2019</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+ 7.25%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11.98%</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1,394</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1,418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revolving loan (EUR 336 par, due 4/2025)</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4/9/2019</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E + 7.25%</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9.45%</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372</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358</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(EUR 336)</w:t>
            </w: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Passport Labs, Inc. </w:t>
            </w:r>
            <w:r>
              <w:rPr>
                <w:rFonts w:ascii="Times New Roman" w:cs="Times New Roman" w:eastAsia="Times New Roman" w:hAnsi="Times New Roman"/>
                <w:sz w:val="14"/>
                <w:szCs w:val="14"/>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($23,390 par, due 4/2026)</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4/28/2021</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+ 8.25%</w:t>
            </w:r>
          </w:p>
        </w:tc>
        <w:tc>
          <w:tcPr>
            <w:tcW w:w="102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12.58% (incl.</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23,169</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22,783</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1.7%</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4.125% PIK)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Ping Identity Holding Corp.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($22,727 par, due 10/2029)</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10/17/2022</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+ 7.00%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11.32%</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22,116</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21,977</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1.6%</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PrimeRevenue,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($22,507 par, due 12/2023)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12/31/2018</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+ 7.00%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11.38%</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22,434</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22,507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1.7%</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TradingScreen,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($44,663 par, due 4/2027)</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4/30/2021</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+ 6.25%</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10.66%</w:t>
            </w:r>
          </w:p>
        </w:tc>
        <w:tc>
          <w:tcPr>
            <w:tcW w:w="180" w:type="dxa"/>
            <w:vAlign w:val="bottom"/>
            <w:shd w:val="clear" w:color="auto" w:fill="CFEDF9"/>
          </w:tcPr>
          <w:p>
            <w:pPr>
              <w:spacing w:after="0"/>
              <w:rPr>
                <w:sz w:val="11"/>
                <w:szCs w:val="11"/>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43,648</w:t>
            </w:r>
          </w:p>
        </w:tc>
        <w:tc>
          <w:tcPr>
            <w:tcW w:w="200" w:type="dxa"/>
            <w:vAlign w:val="bottom"/>
            <w:gridSpan w:val="2"/>
            <w:shd w:val="clear" w:color="auto" w:fill="CFEDF9"/>
          </w:tcPr>
          <w:p>
            <w:pPr>
              <w:spacing w:after="0"/>
              <w:rPr>
                <w:sz w:val="11"/>
                <w:szCs w:val="11"/>
                <w:color w:val="auto"/>
              </w:rPr>
            </w:pPr>
          </w:p>
        </w:tc>
        <w:tc>
          <w:tcPr>
            <w:tcW w:w="120" w:type="dxa"/>
            <w:vAlign w:val="bottom"/>
            <w:tcBorders>
              <w:left w:val="single" w:sz="8" w:color="CFEDF9"/>
            </w:tcBorders>
            <w:shd w:val="clear" w:color="auto" w:fill="CFEDF9"/>
          </w:tcPr>
          <w:p>
            <w:pPr>
              <w:spacing w:after="0"/>
              <w:rPr>
                <w:sz w:val="11"/>
                <w:szCs w:val="11"/>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43,769</w:t>
            </w:r>
          </w:p>
        </w:tc>
        <w:tc>
          <w:tcPr>
            <w:tcW w:w="200" w:type="dxa"/>
            <w:vAlign w:val="bottom"/>
            <w:gridSpan w:val="2"/>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3.3%</w:t>
            </w:r>
          </w:p>
        </w:tc>
        <w:tc>
          <w:tcPr>
            <w:tcW w:w="0" w:type="dxa"/>
            <w:vAlign w:val="bottom"/>
          </w:tcPr>
          <w:p>
            <w:pPr>
              <w:spacing w:after="0"/>
              <w:rPr>
                <w:sz w:val="1"/>
                <w:szCs w:val="1"/>
                <w:color w:val="auto"/>
              </w:rPr>
            </w:pPr>
          </w:p>
        </w:tc>
      </w:tr>
      <w:tr>
        <w:trPr>
          <w:trHeight w:val="20"/>
        </w:trPr>
        <w:tc>
          <w:tcPr>
            <w:tcW w:w="1540" w:type="dxa"/>
            <w:vAlign w:val="bottom"/>
            <w:tcBorders>
              <w:top w:val="single" w:sz="8" w:color="CFEDF9"/>
            </w:tcBorders>
          </w:tcPr>
          <w:p>
            <w:pPr>
              <w:spacing w:after="0" w:line="20" w:lineRule="exact"/>
              <w:rPr>
                <w:sz w:val="1"/>
                <w:szCs w:val="1"/>
                <w:color w:val="auto"/>
              </w:rPr>
            </w:pPr>
          </w:p>
        </w:tc>
        <w:tc>
          <w:tcPr>
            <w:tcW w:w="100" w:type="dxa"/>
            <w:vAlign w:val="bottom"/>
            <w:tcBorders>
              <w:top w:val="single" w:sz="8" w:color="CFEDF9"/>
            </w:tcBorders>
          </w:tcPr>
          <w:p>
            <w:pPr>
              <w:spacing w:after="0" w:line="20" w:lineRule="exact"/>
              <w:rPr>
                <w:sz w:val="1"/>
                <w:szCs w:val="1"/>
                <w:color w:val="auto"/>
              </w:rPr>
            </w:pPr>
          </w:p>
        </w:tc>
        <w:tc>
          <w:tcPr>
            <w:tcW w:w="2540" w:type="dxa"/>
            <w:vAlign w:val="bottom"/>
            <w:tcBorders>
              <w:top w:val="single" w:sz="8" w:color="CFEDF9"/>
            </w:tcBorders>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tcBorders>
          </w:tcPr>
          <w:p>
            <w:pPr>
              <w:spacing w:after="0" w:line="20" w:lineRule="exact"/>
              <w:rPr>
                <w:sz w:val="1"/>
                <w:szCs w:val="1"/>
                <w:color w:val="auto"/>
              </w:rPr>
            </w:pPr>
          </w:p>
        </w:tc>
        <w:tc>
          <w:tcPr>
            <w:tcW w:w="80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right w:val="single" w:sz="8" w:color="231F20"/>
            </w:tcBorders>
          </w:tcPr>
          <w:p>
            <w:pPr>
              <w:spacing w:after="0" w:line="20" w:lineRule="exact"/>
              <w:rPr>
                <w:sz w:val="1"/>
                <w:szCs w:val="1"/>
                <w:color w:val="auto"/>
              </w:rPr>
            </w:pPr>
          </w:p>
        </w:tc>
        <w:tc>
          <w:tcPr>
            <w:tcW w:w="18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gridSpan w:val="2"/>
            <w:vMerge w:val="restart"/>
          </w:tcPr>
          <w:p>
            <w:pPr>
              <w:spacing w:after="0" w:line="20" w:lineRule="exact"/>
              <w:rPr>
                <w:sz w:val="1"/>
                <w:szCs w:val="1"/>
                <w:color w:val="auto"/>
              </w:rPr>
            </w:pPr>
          </w:p>
        </w:tc>
        <w:tc>
          <w:tcPr>
            <w:tcW w:w="12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76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gridSpan w:val="2"/>
            <w:vMerge w:val="restart"/>
          </w:tcPr>
          <w:p>
            <w:pPr>
              <w:spacing w:after="0" w:line="20" w:lineRule="exact"/>
              <w:rPr>
                <w:sz w:val="1"/>
                <w:szCs w:val="1"/>
                <w:color w:val="auto"/>
              </w:rPr>
            </w:pPr>
          </w:p>
        </w:tc>
        <w:tc>
          <w:tcPr>
            <w:tcW w:w="84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347,964</w:t>
            </w:r>
          </w:p>
        </w:tc>
        <w:tc>
          <w:tcPr>
            <w:tcW w:w="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347,984</w:t>
            </w:r>
          </w:p>
        </w:tc>
        <w:tc>
          <w:tcPr>
            <w:tcW w:w="200" w:type="dxa"/>
            <w:vAlign w:val="bottom"/>
            <w:gridSpan w:val="2"/>
            <w:vMerge w:val="continue"/>
          </w:tcPr>
          <w:p>
            <w:pPr>
              <w:spacing w:after="0"/>
              <w:rPr>
                <w:sz w:val="9"/>
                <w:szCs w:val="9"/>
                <w:color w:val="auto"/>
              </w:rPr>
            </w:pPr>
          </w:p>
        </w:tc>
        <w:tc>
          <w:tcPr>
            <w:tcW w:w="9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231F20"/>
              </w:rPr>
              <w:t>25.8%</w:t>
            </w:r>
          </w:p>
        </w:tc>
        <w:tc>
          <w:tcPr>
            <w:tcW w:w="0" w:type="dxa"/>
            <w:vAlign w:val="bottom"/>
          </w:tcPr>
          <w:p>
            <w:pPr>
              <w:spacing w:after="0"/>
              <w:rPr>
                <w:sz w:val="1"/>
                <w:szCs w:val="1"/>
                <w:color w:val="auto"/>
              </w:rPr>
            </w:pPr>
          </w:p>
        </w:tc>
      </w:tr>
      <w:tr>
        <w:trPr>
          <w:trHeight w:val="128"/>
        </w:trPr>
        <w:tc>
          <w:tcPr>
            <w:tcW w:w="1540" w:type="dxa"/>
            <w:vAlign w:val="bottom"/>
            <w:tcBorders>
              <w:top w:val="single" w:sz="8" w:color="CFEDF9"/>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Healthcare</w:t>
            </w:r>
          </w:p>
        </w:tc>
        <w:tc>
          <w:tcPr>
            <w:tcW w:w="100" w:type="dxa"/>
            <w:vAlign w:val="bottom"/>
            <w:tcBorders>
              <w:top w:val="single" w:sz="8" w:color="CFEDF9"/>
            </w:tcBorders>
            <w:shd w:val="clear" w:color="auto" w:fill="CFEDF9"/>
          </w:tcPr>
          <w:p>
            <w:pPr>
              <w:spacing w:after="0"/>
              <w:rPr>
                <w:sz w:val="11"/>
                <w:szCs w:val="11"/>
                <w:color w:val="auto"/>
              </w:rPr>
            </w:pPr>
          </w:p>
        </w:tc>
        <w:tc>
          <w:tcPr>
            <w:tcW w:w="254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tcBorders>
            <w:shd w:val="clear" w:color="auto" w:fill="CFEDF9"/>
          </w:tcPr>
          <w:p>
            <w:pPr>
              <w:spacing w:after="0"/>
              <w:rPr>
                <w:sz w:val="11"/>
                <w:szCs w:val="11"/>
                <w:color w:val="auto"/>
              </w:rPr>
            </w:pPr>
          </w:p>
        </w:tc>
        <w:tc>
          <w:tcPr>
            <w:tcW w:w="80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180" w:type="dxa"/>
            <w:vAlign w:val="bottom"/>
            <w:tcBorders>
              <w:top w:val="single" w:sz="8" w:color="231F20"/>
            </w:tcBorders>
            <w:shd w:val="clear" w:color="auto" w:fill="CFEDF9"/>
          </w:tcPr>
          <w:p>
            <w:pPr>
              <w:spacing w:after="0"/>
              <w:rPr>
                <w:sz w:val="11"/>
                <w:szCs w:val="11"/>
                <w:color w:val="auto"/>
              </w:rPr>
            </w:pPr>
          </w:p>
        </w:tc>
        <w:tc>
          <w:tcPr>
            <w:tcW w:w="920" w:type="dxa"/>
            <w:vAlign w:val="bottom"/>
            <w:tcBorders>
              <w:top w:val="single" w:sz="8" w:color="231F20"/>
            </w:tcBorders>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231F20"/>
              <w:left w:val="single" w:sz="8" w:color="CFEDF9"/>
            </w:tcBorders>
            <w:shd w:val="clear" w:color="auto" w:fill="CFEDF9"/>
          </w:tcPr>
          <w:p>
            <w:pPr>
              <w:spacing w:after="0"/>
              <w:rPr>
                <w:sz w:val="11"/>
                <w:szCs w:val="11"/>
                <w:color w:val="auto"/>
              </w:rPr>
            </w:pPr>
          </w:p>
        </w:tc>
        <w:tc>
          <w:tcPr>
            <w:tcW w:w="760" w:type="dxa"/>
            <w:vAlign w:val="bottom"/>
            <w:tcBorders>
              <w:top w:val="single" w:sz="8" w:color="231F20"/>
            </w:tcBorders>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840" w:type="dxa"/>
            <w:vAlign w:val="bottom"/>
            <w:tcBorders>
              <w:top w:val="single" w:sz="8" w:color="231F20"/>
              <w:left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BCTO Ace Purchaser, Inc.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($63,565 par, due 11/2026)</w:t>
            </w: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231F20"/>
              </w:rPr>
              <w:t>11/23/2020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+ 7.70%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12.10%</w:t>
            </w:r>
          </w:p>
        </w:tc>
        <w:tc>
          <w:tcPr>
            <w:tcW w:w="180" w:type="dxa"/>
            <w:vAlign w:val="bottom"/>
          </w:tcPr>
          <w:p>
            <w:pPr>
              <w:spacing w:after="0"/>
              <w:rPr>
                <w:sz w:val="11"/>
                <w:szCs w:val="1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62,440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62,930</w:t>
            </w:r>
          </w:p>
        </w:tc>
        <w:tc>
          <w:tcPr>
            <w:tcW w:w="18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4.7%</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Caris Life Sciences, Inc.</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($5,000 par, due 9/2023)</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9/21/2018</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11.30%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11.30%</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4,967</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5,100</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0.4%</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($3,750 par, due 4/2025)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4/2/2020</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11.30%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11.30%</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3,601</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3,900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0.3%</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Convertible note ($2,602 par, due 9/2023)</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9/21/2018</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8.00%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8.00%</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2,602</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5,848</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0.4%</w:t>
            </w: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Homecare Software Solutions,</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($65,000 par, due 10/2026)</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10/6/2021</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SOFR + 5.70%</w:t>
            </w:r>
          </w:p>
        </w:tc>
        <w:tc>
          <w:tcPr>
            <w:tcW w:w="102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10.02%</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63,733</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63,213</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4.7%</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 xml:space="preserve"> (3)(5)</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Integrated Practice Solutions,</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($46,312 par, due 10/2024)</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6/30/2017</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+ 7.50%</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11.89%</w:t>
            </w:r>
          </w:p>
        </w:tc>
        <w:tc>
          <w:tcPr>
            <w:tcW w:w="180" w:type="dxa"/>
            <w:vAlign w:val="bottom"/>
            <w:shd w:val="clear" w:color="auto" w:fill="CFEDF9"/>
          </w:tcPr>
          <w:p>
            <w:pPr>
              <w:spacing w:after="0"/>
              <w:rPr>
                <w:sz w:val="11"/>
                <w:szCs w:val="11"/>
                <w:color w:val="auto"/>
              </w:rPr>
            </w:pPr>
          </w:p>
        </w:tc>
        <w:tc>
          <w:tcPr>
            <w:tcW w:w="112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45,590</w:t>
            </w:r>
          </w:p>
        </w:tc>
        <w:tc>
          <w:tcPr>
            <w:tcW w:w="120" w:type="dxa"/>
            <w:vAlign w:val="bottom"/>
            <w:tcBorders>
              <w:left w:val="single" w:sz="8" w:color="CFEDF9"/>
            </w:tcBorders>
            <w:shd w:val="clear" w:color="auto" w:fill="CFEDF9"/>
          </w:tcPr>
          <w:p>
            <w:pPr>
              <w:spacing w:after="0"/>
              <w:rPr>
                <w:sz w:val="11"/>
                <w:szCs w:val="11"/>
                <w:color w:val="auto"/>
              </w:rPr>
            </w:pPr>
          </w:p>
        </w:tc>
        <w:tc>
          <w:tcPr>
            <w:tcW w:w="960" w:type="dxa"/>
            <w:vAlign w:val="bottom"/>
            <w:gridSpan w:val="3"/>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46,312</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3.5%</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Inc.</w:t>
            </w:r>
            <w:r>
              <w:rPr>
                <w:rFonts w:ascii="Times New Roman" w:cs="Times New Roman" w:eastAsia="Times New Roman" w:hAnsi="Times New Roman"/>
                <w:sz w:val="7"/>
                <w:szCs w:val="7"/>
                <w:color w:val="231F20"/>
              </w:rPr>
              <w:t xml:space="preserve"> (3)(5)</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7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Merative L.P.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($70,103 par, due 6/2028)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6/30/2022</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11.84%</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67,906</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67,299</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5.0%</w:t>
            </w:r>
          </w:p>
        </w:tc>
        <w:tc>
          <w:tcPr>
            <w:tcW w:w="0" w:type="dxa"/>
            <w:vAlign w:val="bottom"/>
          </w:tcPr>
          <w:p>
            <w:pPr>
              <w:spacing w:after="0"/>
              <w:rPr>
                <w:sz w:val="1"/>
                <w:szCs w:val="1"/>
                <w:color w:val="auto"/>
              </w:rPr>
            </w:pPr>
          </w:p>
        </w:tc>
      </w:tr>
      <w:tr>
        <w:trPr>
          <w:trHeight w:val="20"/>
        </w:trPr>
        <w:tc>
          <w:tcPr>
            <w:tcW w:w="154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254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20" w:type="dxa"/>
            <w:vAlign w:val="bottom"/>
            <w:shd w:val="clear" w:color="auto" w:fill="CFEDF9"/>
          </w:tcPr>
          <w:p>
            <w:pPr>
              <w:spacing w:after="0" w:line="20" w:lineRule="exact"/>
              <w:rPr>
                <w:sz w:val="1"/>
                <w:szCs w:val="1"/>
                <w:color w:val="auto"/>
              </w:rPr>
            </w:pPr>
          </w:p>
        </w:tc>
        <w:tc>
          <w:tcPr>
            <w:tcW w:w="800" w:type="dxa"/>
            <w:vAlign w:val="bottom"/>
            <w:shd w:val="clear" w:color="auto" w:fill="CFEDF9"/>
          </w:tcPr>
          <w:p>
            <w:pPr>
              <w:spacing w:after="0" w:line="20" w:lineRule="exact"/>
              <w:rPr>
                <w:sz w:val="1"/>
                <w:szCs w:val="1"/>
                <w:color w:val="auto"/>
              </w:rPr>
            </w:pPr>
          </w:p>
        </w:tc>
        <w:tc>
          <w:tcPr>
            <w:tcW w:w="220" w:type="dxa"/>
            <w:vAlign w:val="bottom"/>
            <w:tcBorders>
              <w:right w:val="single" w:sz="8" w:color="231F20"/>
            </w:tcBorders>
            <w:shd w:val="clear" w:color="auto" w:fill="CFEDF9"/>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CFEDF9"/>
          </w:tcPr>
          <w:p>
            <w:pPr>
              <w:spacing w:after="0" w:line="20" w:lineRule="exact"/>
              <w:rPr>
                <w:sz w:val="1"/>
                <w:szCs w:val="1"/>
                <w:color w:val="auto"/>
              </w:rPr>
            </w:pPr>
          </w:p>
        </w:tc>
        <w:tc>
          <w:tcPr>
            <w:tcW w:w="120" w:type="dxa"/>
            <w:vAlign w:val="bottom"/>
            <w:tcBorders>
              <w:left w:val="single" w:sz="8" w:color="231F20"/>
            </w:tcBorders>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CFEDF9"/>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2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250,839</w:t>
            </w: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20" w:type="dxa"/>
            <w:vAlign w:val="bottom"/>
            <w:tcBorders>
              <w:left w:val="single" w:sz="8" w:color="CFEDF9"/>
            </w:tcBorders>
            <w:shd w:val="clear" w:color="auto" w:fill="CFEDF9"/>
          </w:tcPr>
          <w:p>
            <w:pPr>
              <w:spacing w:after="0"/>
              <w:rPr>
                <w:sz w:val="12"/>
                <w:szCs w:val="12"/>
                <w:color w:val="auto"/>
              </w:rPr>
            </w:pPr>
          </w:p>
        </w:tc>
        <w:tc>
          <w:tcPr>
            <w:tcW w:w="76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254,602</w:t>
            </w: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19.0%</w:t>
            </w:r>
          </w:p>
        </w:tc>
        <w:tc>
          <w:tcPr>
            <w:tcW w:w="0" w:type="dxa"/>
            <w:vAlign w:val="bottom"/>
          </w:tcPr>
          <w:p>
            <w:pPr>
              <w:spacing w:after="0"/>
              <w:rPr>
                <w:sz w:val="1"/>
                <w:szCs w:val="1"/>
                <w:color w:val="auto"/>
              </w:rPr>
            </w:pPr>
          </w:p>
        </w:tc>
      </w:tr>
      <w:tr>
        <w:trPr>
          <w:trHeight w:val="108"/>
        </w:trPr>
        <w:tc>
          <w:tcPr>
            <w:tcW w:w="154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Hotel, Gaming and Leisure</w:t>
            </w:r>
          </w:p>
        </w:tc>
        <w:tc>
          <w:tcPr>
            <w:tcW w:w="100" w:type="dxa"/>
            <w:vAlign w:val="bottom"/>
            <w:tcBorders>
              <w:top w:val="single" w:sz="8" w:color="CFEDF9"/>
            </w:tcBorders>
          </w:tcPr>
          <w:p>
            <w:pPr>
              <w:spacing w:after="0"/>
              <w:rPr>
                <w:sz w:val="9"/>
                <w:szCs w:val="9"/>
                <w:color w:val="auto"/>
              </w:rPr>
            </w:pPr>
          </w:p>
        </w:tc>
        <w:tc>
          <w:tcPr>
            <w:tcW w:w="254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80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180" w:type="dxa"/>
            <w:vAlign w:val="bottom"/>
            <w:tcBorders>
              <w:top w:val="single" w:sz="8" w:color="231F20"/>
            </w:tcBorders>
          </w:tcPr>
          <w:p>
            <w:pPr>
              <w:spacing w:after="0"/>
              <w:rPr>
                <w:sz w:val="9"/>
                <w:szCs w:val="9"/>
                <w:color w:val="auto"/>
              </w:rPr>
            </w:pPr>
          </w:p>
        </w:tc>
        <w:tc>
          <w:tcPr>
            <w:tcW w:w="920" w:type="dxa"/>
            <w:vAlign w:val="bottom"/>
            <w:tcBorders>
              <w:top w:val="single" w:sz="8" w:color="231F20"/>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80" w:type="dxa"/>
            <w:vAlign w:val="bottom"/>
            <w:tcBorders>
              <w:top w:val="single" w:sz="8" w:color="CFEDF9"/>
            </w:tcBorders>
          </w:tcPr>
          <w:p>
            <w:pPr>
              <w:spacing w:after="0"/>
              <w:rPr>
                <w:sz w:val="9"/>
                <w:szCs w:val="9"/>
                <w:color w:val="auto"/>
              </w:rPr>
            </w:pPr>
          </w:p>
        </w:tc>
        <w:tc>
          <w:tcPr>
            <w:tcW w:w="120" w:type="dxa"/>
            <w:vAlign w:val="bottom"/>
            <w:tcBorders>
              <w:top w:val="single" w:sz="8" w:color="231F20"/>
            </w:tcBorders>
          </w:tcPr>
          <w:p>
            <w:pPr>
              <w:spacing w:after="0"/>
              <w:rPr>
                <w:sz w:val="9"/>
                <w:szCs w:val="9"/>
                <w:color w:val="auto"/>
              </w:rPr>
            </w:pPr>
          </w:p>
        </w:tc>
        <w:tc>
          <w:tcPr>
            <w:tcW w:w="760" w:type="dxa"/>
            <w:vAlign w:val="bottom"/>
            <w:tcBorders>
              <w:top w:val="single" w:sz="8" w:color="231F20"/>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80" w:type="dxa"/>
            <w:vAlign w:val="bottom"/>
            <w:tcBorders>
              <w:top w:val="single" w:sz="8" w:color="CFEDF9"/>
            </w:tcBorders>
          </w:tcPr>
          <w:p>
            <w:pPr>
              <w:spacing w:after="0"/>
              <w:rPr>
                <w:sz w:val="9"/>
                <w:szCs w:val="9"/>
                <w:color w:val="auto"/>
              </w:rPr>
            </w:pPr>
          </w:p>
        </w:tc>
        <w:tc>
          <w:tcPr>
            <w:tcW w:w="840" w:type="dxa"/>
            <w:vAlign w:val="bottom"/>
            <w:tcBorders>
              <w:top w:val="single" w:sz="8" w:color="231F2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ASG II, LLC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($58,048 par, due 5/2028)</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5/25/2022</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+ 6.35%</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10.67%</w:t>
            </w:r>
          </w:p>
        </w:tc>
        <w:tc>
          <w:tcPr>
            <w:tcW w:w="180" w:type="dxa"/>
            <w:vAlign w:val="bottom"/>
            <w:shd w:val="clear" w:color="auto" w:fill="CFEDF9"/>
          </w:tcPr>
          <w:p>
            <w:pPr>
              <w:spacing w:after="0"/>
              <w:rPr>
                <w:sz w:val="11"/>
                <w:szCs w:val="11"/>
                <w:color w:val="auto"/>
              </w:rPr>
            </w:pPr>
          </w:p>
        </w:tc>
        <w:tc>
          <w:tcPr>
            <w:tcW w:w="9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56,609</w:t>
            </w:r>
          </w:p>
        </w:tc>
        <w:tc>
          <w:tcPr>
            <w:tcW w:w="180" w:type="dxa"/>
            <w:vAlign w:val="bottom"/>
            <w:shd w:val="clear" w:color="auto" w:fill="CFEDF9"/>
          </w:tcPr>
          <w:p>
            <w:pPr>
              <w:spacing w:after="0"/>
              <w:rPr>
                <w:sz w:val="11"/>
                <w:szCs w:val="11"/>
                <w:color w:val="auto"/>
              </w:rPr>
            </w:pPr>
          </w:p>
        </w:tc>
        <w:tc>
          <w:tcPr>
            <w:tcW w:w="120" w:type="dxa"/>
            <w:vAlign w:val="bottom"/>
            <w:tcBorders>
              <w:left w:val="single" w:sz="8" w:color="CFEDF9"/>
            </w:tcBorders>
            <w:shd w:val="clear" w:color="auto" w:fill="CFEDF9"/>
          </w:tcPr>
          <w:p>
            <w:pPr>
              <w:spacing w:after="0"/>
              <w:rPr>
                <w:sz w:val="11"/>
                <w:szCs w:val="11"/>
                <w:color w:val="auto"/>
              </w:rPr>
            </w:pPr>
          </w:p>
        </w:tc>
        <w:tc>
          <w:tcPr>
            <w:tcW w:w="78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56,260</w:t>
            </w:r>
          </w:p>
        </w:tc>
        <w:tc>
          <w:tcPr>
            <w:tcW w:w="18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4.2%</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IRGSE Holding Corp. </w:t>
            </w:r>
            <w:r>
              <w:rPr>
                <w:rFonts w:ascii="Times New Roman" w:cs="Times New Roman" w:eastAsia="Times New Roman" w:hAnsi="Times New Roman"/>
                <w:sz w:val="15"/>
                <w:szCs w:val="15"/>
                <w:color w:val="231F20"/>
                <w:vertAlign w:val="superscript"/>
              </w:rPr>
              <w:t>(3)(7)</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($30,261 par, due 6/2023)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9/29/2015</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+ 9.50%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14.19%</w:t>
            </w:r>
          </w:p>
        </w:tc>
        <w:tc>
          <w:tcPr>
            <w:tcW w:w="180" w:type="dxa"/>
            <w:vAlign w:val="bottom"/>
          </w:tcPr>
          <w:p>
            <w:pPr>
              <w:spacing w:after="0"/>
              <w:rPr>
                <w:sz w:val="11"/>
                <w:szCs w:val="1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28,595</w:t>
            </w:r>
          </w:p>
        </w:tc>
        <w:tc>
          <w:tcPr>
            <w:tcW w:w="120" w:type="dxa"/>
            <w:vAlign w:val="bottom"/>
          </w:tcPr>
          <w:p>
            <w:pPr>
              <w:spacing w:after="0"/>
              <w:rPr>
                <w:sz w:val="11"/>
                <w:szCs w:val="1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231F20"/>
              </w:rPr>
              <w:t>29,807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2.2%</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revolving loan ($16,747 par, due 6/2023)</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9/29/2015</w:t>
            </w:r>
          </w:p>
        </w:tc>
        <w:tc>
          <w:tcPr>
            <w:tcW w:w="12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+ 9.50%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14.23%</w:t>
            </w:r>
          </w:p>
        </w:tc>
        <w:tc>
          <w:tcPr>
            <w:tcW w:w="180" w:type="dxa"/>
            <w:vAlign w:val="bottom"/>
            <w:shd w:val="clear" w:color="auto" w:fill="CFEDF9"/>
          </w:tcPr>
          <w:p>
            <w:pPr>
              <w:spacing w:after="0"/>
              <w:rPr>
                <w:sz w:val="11"/>
                <w:szCs w:val="11"/>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16,747</w:t>
            </w:r>
          </w:p>
        </w:tc>
        <w:tc>
          <w:tcPr>
            <w:tcW w:w="200" w:type="dxa"/>
            <w:vAlign w:val="bottom"/>
            <w:gridSpan w:val="2"/>
            <w:shd w:val="clear" w:color="auto" w:fill="CFEDF9"/>
          </w:tcPr>
          <w:p>
            <w:pPr>
              <w:spacing w:after="0"/>
              <w:rPr>
                <w:sz w:val="11"/>
                <w:szCs w:val="11"/>
                <w:color w:val="auto"/>
              </w:rPr>
            </w:pPr>
          </w:p>
        </w:tc>
        <w:tc>
          <w:tcPr>
            <w:tcW w:w="120" w:type="dxa"/>
            <w:vAlign w:val="bottom"/>
            <w:tcBorders>
              <w:left w:val="single" w:sz="8" w:color="CFEDF9"/>
            </w:tcBorders>
            <w:shd w:val="clear" w:color="auto" w:fill="CFEDF9"/>
          </w:tcPr>
          <w:p>
            <w:pPr>
              <w:spacing w:after="0"/>
              <w:rPr>
                <w:sz w:val="11"/>
                <w:szCs w:val="11"/>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16,492</w:t>
            </w:r>
          </w:p>
        </w:tc>
        <w:tc>
          <w:tcPr>
            <w:tcW w:w="200" w:type="dxa"/>
            <w:vAlign w:val="bottom"/>
            <w:gridSpan w:val="2"/>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1.2%</w:t>
            </w:r>
          </w:p>
        </w:tc>
        <w:tc>
          <w:tcPr>
            <w:tcW w:w="0" w:type="dxa"/>
            <w:vAlign w:val="bottom"/>
          </w:tcPr>
          <w:p>
            <w:pPr>
              <w:spacing w:after="0"/>
              <w:rPr>
                <w:sz w:val="1"/>
                <w:szCs w:val="1"/>
                <w:color w:val="auto"/>
              </w:rPr>
            </w:pPr>
          </w:p>
        </w:tc>
      </w:tr>
      <w:tr>
        <w:trPr>
          <w:trHeight w:val="20"/>
        </w:trPr>
        <w:tc>
          <w:tcPr>
            <w:tcW w:w="1540" w:type="dxa"/>
            <w:vAlign w:val="bottom"/>
            <w:tcBorders>
              <w:top w:val="single" w:sz="8" w:color="CFEDF9"/>
            </w:tcBorders>
          </w:tcPr>
          <w:p>
            <w:pPr>
              <w:spacing w:after="0" w:line="20" w:lineRule="exact"/>
              <w:rPr>
                <w:sz w:val="1"/>
                <w:szCs w:val="1"/>
                <w:color w:val="auto"/>
              </w:rPr>
            </w:pPr>
          </w:p>
        </w:tc>
        <w:tc>
          <w:tcPr>
            <w:tcW w:w="100" w:type="dxa"/>
            <w:vAlign w:val="bottom"/>
            <w:tcBorders>
              <w:top w:val="single" w:sz="8" w:color="CFEDF9"/>
            </w:tcBorders>
          </w:tcPr>
          <w:p>
            <w:pPr>
              <w:spacing w:after="0" w:line="20" w:lineRule="exact"/>
              <w:rPr>
                <w:sz w:val="1"/>
                <w:szCs w:val="1"/>
                <w:color w:val="auto"/>
              </w:rPr>
            </w:pPr>
          </w:p>
        </w:tc>
        <w:tc>
          <w:tcPr>
            <w:tcW w:w="2540" w:type="dxa"/>
            <w:vAlign w:val="bottom"/>
            <w:tcBorders>
              <w:top w:val="single" w:sz="8" w:color="CFEDF9"/>
            </w:tcBorders>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tcBorders>
          </w:tcPr>
          <w:p>
            <w:pPr>
              <w:spacing w:after="0" w:line="20" w:lineRule="exact"/>
              <w:rPr>
                <w:sz w:val="1"/>
                <w:szCs w:val="1"/>
                <w:color w:val="auto"/>
              </w:rPr>
            </w:pPr>
          </w:p>
        </w:tc>
        <w:tc>
          <w:tcPr>
            <w:tcW w:w="80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right w:val="single" w:sz="8" w:color="231F20"/>
            </w:tcBorders>
          </w:tcPr>
          <w:p>
            <w:pPr>
              <w:spacing w:after="0" w:line="20" w:lineRule="exact"/>
              <w:rPr>
                <w:sz w:val="1"/>
                <w:szCs w:val="1"/>
                <w:color w:val="auto"/>
              </w:rPr>
            </w:pPr>
          </w:p>
        </w:tc>
        <w:tc>
          <w:tcPr>
            <w:tcW w:w="180" w:type="dxa"/>
            <w:vAlign w:val="bottom"/>
            <w:tcBorders>
              <w:top w:val="single" w:sz="8" w:color="231F20"/>
            </w:tcBorders>
            <w:shd w:val="clear" w:color="auto" w:fill="231F20"/>
          </w:tcPr>
          <w:p>
            <w:pPr>
              <w:spacing w:after="0" w:line="20" w:lineRule="exact"/>
              <w:rPr>
                <w:sz w:val="1"/>
                <w:szCs w:val="1"/>
                <w:color w:val="auto"/>
              </w:rPr>
            </w:pPr>
          </w:p>
        </w:tc>
        <w:tc>
          <w:tcPr>
            <w:tcW w:w="92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gridSpan w:val="2"/>
            <w:vMerge w:val="restart"/>
          </w:tcPr>
          <w:p>
            <w:pPr>
              <w:spacing w:after="0" w:line="20" w:lineRule="exact"/>
              <w:rPr>
                <w:sz w:val="1"/>
                <w:szCs w:val="1"/>
                <w:color w:val="auto"/>
              </w:rPr>
            </w:pPr>
          </w:p>
        </w:tc>
        <w:tc>
          <w:tcPr>
            <w:tcW w:w="12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76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gridSpan w:val="2"/>
            <w:vMerge w:val="restart"/>
          </w:tcPr>
          <w:p>
            <w:pPr>
              <w:spacing w:after="0" w:line="20" w:lineRule="exact"/>
              <w:rPr>
                <w:sz w:val="1"/>
                <w:szCs w:val="1"/>
                <w:color w:val="auto"/>
              </w:rPr>
            </w:pPr>
          </w:p>
        </w:tc>
        <w:tc>
          <w:tcPr>
            <w:tcW w:w="84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101,951</w:t>
            </w:r>
          </w:p>
        </w:tc>
        <w:tc>
          <w:tcPr>
            <w:tcW w:w="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102,559</w:t>
            </w:r>
          </w:p>
        </w:tc>
        <w:tc>
          <w:tcPr>
            <w:tcW w:w="200" w:type="dxa"/>
            <w:vAlign w:val="bottom"/>
            <w:gridSpan w:val="2"/>
            <w:vMerge w:val="continue"/>
          </w:tcPr>
          <w:p>
            <w:pPr>
              <w:spacing w:after="0"/>
              <w:rPr>
                <w:sz w:val="9"/>
                <w:szCs w:val="9"/>
                <w:color w:val="auto"/>
              </w:rPr>
            </w:pPr>
          </w:p>
        </w:tc>
        <w:tc>
          <w:tcPr>
            <w:tcW w:w="9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231F20"/>
              </w:rPr>
              <w:t>7.6%</w:t>
            </w:r>
          </w:p>
        </w:tc>
        <w:tc>
          <w:tcPr>
            <w:tcW w:w="0" w:type="dxa"/>
            <w:vAlign w:val="bottom"/>
          </w:tcPr>
          <w:p>
            <w:pPr>
              <w:spacing w:after="0"/>
              <w:rPr>
                <w:sz w:val="1"/>
                <w:szCs w:val="1"/>
                <w:color w:val="auto"/>
              </w:rPr>
            </w:pPr>
          </w:p>
        </w:tc>
      </w:tr>
      <w:tr>
        <w:trPr>
          <w:trHeight w:val="115"/>
        </w:trPr>
        <w:tc>
          <w:tcPr>
            <w:tcW w:w="1540" w:type="dxa"/>
            <w:vAlign w:val="bottom"/>
            <w:tcBorders>
              <w:top w:val="single" w:sz="8" w:color="CFEDF9"/>
            </w:tcBorders>
            <w:shd w:val="clear" w:color="auto" w:fill="CFEDF9"/>
          </w:tcPr>
          <w:p>
            <w:pPr>
              <w:spacing w:after="0" w:line="115" w:lineRule="exact"/>
              <w:rPr>
                <w:sz w:val="20"/>
                <w:szCs w:val="20"/>
                <w:color w:val="auto"/>
              </w:rPr>
            </w:pPr>
            <w:r>
              <w:rPr>
                <w:rFonts w:ascii="Times New Roman" w:cs="Times New Roman" w:eastAsia="Times New Roman" w:hAnsi="Times New Roman"/>
                <w:sz w:val="12"/>
                <w:szCs w:val="12"/>
                <w:b w:val="1"/>
                <w:bCs w:val="1"/>
                <w:color w:val="231F20"/>
              </w:rPr>
              <w:t>Human Resource Support</w:t>
            </w:r>
          </w:p>
        </w:tc>
        <w:tc>
          <w:tcPr>
            <w:tcW w:w="100" w:type="dxa"/>
            <w:vAlign w:val="bottom"/>
            <w:tcBorders>
              <w:top w:val="single" w:sz="8" w:color="CFEDF9"/>
            </w:tcBorders>
            <w:shd w:val="clear" w:color="auto" w:fill="CFEDF9"/>
          </w:tcPr>
          <w:p>
            <w:pPr>
              <w:spacing w:after="0"/>
              <w:rPr>
                <w:sz w:val="10"/>
                <w:szCs w:val="10"/>
                <w:color w:val="auto"/>
              </w:rPr>
            </w:pPr>
          </w:p>
        </w:tc>
        <w:tc>
          <w:tcPr>
            <w:tcW w:w="2540" w:type="dxa"/>
            <w:vAlign w:val="bottom"/>
            <w:tcBorders>
              <w:top w:val="single" w:sz="8" w:color="CFEDF9"/>
            </w:tcBorders>
            <w:shd w:val="clear" w:color="auto" w:fill="CFEDF9"/>
          </w:tcPr>
          <w:p>
            <w:pPr>
              <w:spacing w:after="0"/>
              <w:rPr>
                <w:sz w:val="10"/>
                <w:szCs w:val="10"/>
                <w:color w:val="auto"/>
              </w:rPr>
            </w:pPr>
          </w:p>
        </w:tc>
        <w:tc>
          <w:tcPr>
            <w:tcW w:w="120" w:type="dxa"/>
            <w:vAlign w:val="bottom"/>
            <w:tcBorders>
              <w:top w:val="single" w:sz="8" w:color="CFEDF9"/>
            </w:tcBorders>
            <w:shd w:val="clear" w:color="auto" w:fill="CFEDF9"/>
          </w:tcPr>
          <w:p>
            <w:pPr>
              <w:spacing w:after="0"/>
              <w:rPr>
                <w:sz w:val="10"/>
                <w:szCs w:val="10"/>
                <w:color w:val="auto"/>
              </w:rPr>
            </w:pPr>
          </w:p>
        </w:tc>
        <w:tc>
          <w:tcPr>
            <w:tcW w:w="780" w:type="dxa"/>
            <w:vAlign w:val="bottom"/>
            <w:tcBorders>
              <w:top w:val="single" w:sz="8" w:color="CFEDF9"/>
            </w:tcBorders>
            <w:shd w:val="clear" w:color="auto" w:fill="CFEDF9"/>
          </w:tcPr>
          <w:p>
            <w:pPr>
              <w:spacing w:after="0"/>
              <w:rPr>
                <w:sz w:val="10"/>
                <w:szCs w:val="10"/>
                <w:color w:val="auto"/>
              </w:rPr>
            </w:pPr>
          </w:p>
        </w:tc>
        <w:tc>
          <w:tcPr>
            <w:tcW w:w="120" w:type="dxa"/>
            <w:vAlign w:val="bottom"/>
            <w:tcBorders>
              <w:top w:val="single" w:sz="8" w:color="CFEDF9"/>
            </w:tcBorders>
            <w:shd w:val="clear" w:color="auto" w:fill="CFEDF9"/>
          </w:tcPr>
          <w:p>
            <w:pPr>
              <w:spacing w:after="0"/>
              <w:rPr>
                <w:sz w:val="10"/>
                <w:szCs w:val="10"/>
                <w:color w:val="auto"/>
              </w:rPr>
            </w:pPr>
          </w:p>
        </w:tc>
        <w:tc>
          <w:tcPr>
            <w:tcW w:w="780" w:type="dxa"/>
            <w:vAlign w:val="bottom"/>
            <w:tcBorders>
              <w:top w:val="single" w:sz="8" w:color="CFEDF9"/>
            </w:tcBorders>
            <w:shd w:val="clear" w:color="auto" w:fill="CFEDF9"/>
          </w:tcPr>
          <w:p>
            <w:pPr>
              <w:spacing w:after="0"/>
              <w:rPr>
                <w:sz w:val="10"/>
                <w:szCs w:val="10"/>
                <w:color w:val="auto"/>
              </w:rPr>
            </w:pPr>
          </w:p>
        </w:tc>
        <w:tc>
          <w:tcPr>
            <w:tcW w:w="220" w:type="dxa"/>
            <w:vAlign w:val="bottom"/>
            <w:tcBorders>
              <w:top w:val="single" w:sz="8" w:color="CFEDF9"/>
            </w:tcBorders>
            <w:shd w:val="clear" w:color="auto" w:fill="CFEDF9"/>
          </w:tcPr>
          <w:p>
            <w:pPr>
              <w:spacing w:after="0"/>
              <w:rPr>
                <w:sz w:val="10"/>
                <w:szCs w:val="10"/>
                <w:color w:val="auto"/>
              </w:rPr>
            </w:pPr>
          </w:p>
        </w:tc>
        <w:tc>
          <w:tcPr>
            <w:tcW w:w="800" w:type="dxa"/>
            <w:vAlign w:val="bottom"/>
            <w:tcBorders>
              <w:top w:val="single" w:sz="8" w:color="CFEDF9"/>
            </w:tcBorders>
            <w:shd w:val="clear" w:color="auto" w:fill="CFEDF9"/>
          </w:tcPr>
          <w:p>
            <w:pPr>
              <w:spacing w:after="0"/>
              <w:rPr>
                <w:sz w:val="10"/>
                <w:szCs w:val="10"/>
                <w:color w:val="auto"/>
              </w:rPr>
            </w:pPr>
          </w:p>
        </w:tc>
        <w:tc>
          <w:tcPr>
            <w:tcW w:w="220" w:type="dxa"/>
            <w:vAlign w:val="bottom"/>
            <w:tcBorders>
              <w:top w:val="single" w:sz="8" w:color="CFEDF9"/>
              <w:right w:val="single" w:sz="8" w:color="CFEDF9"/>
            </w:tcBorders>
            <w:shd w:val="clear" w:color="auto" w:fill="CFEDF9"/>
          </w:tcPr>
          <w:p>
            <w:pPr>
              <w:spacing w:after="0"/>
              <w:rPr>
                <w:sz w:val="10"/>
                <w:szCs w:val="10"/>
                <w:color w:val="auto"/>
              </w:rPr>
            </w:pPr>
          </w:p>
        </w:tc>
        <w:tc>
          <w:tcPr>
            <w:tcW w:w="180" w:type="dxa"/>
            <w:vAlign w:val="bottom"/>
            <w:tcBorders>
              <w:top w:val="single" w:sz="8" w:color="231F20"/>
            </w:tcBorders>
            <w:shd w:val="clear" w:color="auto" w:fill="CFEDF9"/>
          </w:tcPr>
          <w:p>
            <w:pPr>
              <w:spacing w:after="0"/>
              <w:rPr>
                <w:sz w:val="10"/>
                <w:szCs w:val="10"/>
                <w:color w:val="auto"/>
              </w:rPr>
            </w:pPr>
          </w:p>
        </w:tc>
        <w:tc>
          <w:tcPr>
            <w:tcW w:w="920" w:type="dxa"/>
            <w:vAlign w:val="bottom"/>
            <w:tcBorders>
              <w:top w:val="single" w:sz="8" w:color="231F20"/>
            </w:tcBorders>
            <w:shd w:val="clear" w:color="auto" w:fill="CFEDF9"/>
          </w:tcPr>
          <w:p>
            <w:pPr>
              <w:spacing w:after="0"/>
              <w:rPr>
                <w:sz w:val="10"/>
                <w:szCs w:val="10"/>
                <w:color w:val="auto"/>
              </w:rPr>
            </w:pPr>
          </w:p>
        </w:tc>
        <w:tc>
          <w:tcPr>
            <w:tcW w:w="20" w:type="dxa"/>
            <w:vAlign w:val="bottom"/>
            <w:shd w:val="clear" w:color="auto" w:fill="CFEDF9"/>
          </w:tcPr>
          <w:p>
            <w:pPr>
              <w:spacing w:after="0"/>
              <w:rPr>
                <w:sz w:val="10"/>
                <w:szCs w:val="10"/>
                <w:color w:val="auto"/>
              </w:rPr>
            </w:pPr>
          </w:p>
        </w:tc>
        <w:tc>
          <w:tcPr>
            <w:tcW w:w="180" w:type="dxa"/>
            <w:vAlign w:val="bottom"/>
            <w:tcBorders>
              <w:top w:val="single" w:sz="8" w:color="CFEDF9"/>
            </w:tcBorders>
            <w:shd w:val="clear" w:color="auto" w:fill="CFEDF9"/>
          </w:tcPr>
          <w:p>
            <w:pPr>
              <w:spacing w:after="0"/>
              <w:rPr>
                <w:sz w:val="10"/>
                <w:szCs w:val="10"/>
                <w:color w:val="auto"/>
              </w:rPr>
            </w:pPr>
          </w:p>
        </w:tc>
        <w:tc>
          <w:tcPr>
            <w:tcW w:w="120" w:type="dxa"/>
            <w:vAlign w:val="bottom"/>
            <w:tcBorders>
              <w:top w:val="single" w:sz="8" w:color="231F20"/>
              <w:left w:val="single" w:sz="8" w:color="CFEDF9"/>
            </w:tcBorders>
            <w:shd w:val="clear" w:color="auto" w:fill="CFEDF9"/>
          </w:tcPr>
          <w:p>
            <w:pPr>
              <w:spacing w:after="0"/>
              <w:rPr>
                <w:sz w:val="10"/>
                <w:szCs w:val="10"/>
                <w:color w:val="auto"/>
              </w:rPr>
            </w:pPr>
          </w:p>
        </w:tc>
        <w:tc>
          <w:tcPr>
            <w:tcW w:w="760" w:type="dxa"/>
            <w:vAlign w:val="bottom"/>
            <w:tcBorders>
              <w:top w:val="single" w:sz="8" w:color="231F20"/>
            </w:tcBorders>
            <w:shd w:val="clear" w:color="auto" w:fill="CFEDF9"/>
          </w:tcPr>
          <w:p>
            <w:pPr>
              <w:spacing w:after="0"/>
              <w:rPr>
                <w:sz w:val="10"/>
                <w:szCs w:val="10"/>
                <w:color w:val="auto"/>
              </w:rPr>
            </w:pPr>
          </w:p>
        </w:tc>
        <w:tc>
          <w:tcPr>
            <w:tcW w:w="20" w:type="dxa"/>
            <w:vAlign w:val="bottom"/>
            <w:shd w:val="clear" w:color="auto" w:fill="CFEDF9"/>
          </w:tcPr>
          <w:p>
            <w:pPr>
              <w:spacing w:after="0"/>
              <w:rPr>
                <w:sz w:val="10"/>
                <w:szCs w:val="10"/>
                <w:color w:val="auto"/>
              </w:rPr>
            </w:pPr>
          </w:p>
        </w:tc>
        <w:tc>
          <w:tcPr>
            <w:tcW w:w="180" w:type="dxa"/>
            <w:vAlign w:val="bottom"/>
            <w:tcBorders>
              <w:top w:val="single" w:sz="8" w:color="CFEDF9"/>
            </w:tcBorders>
            <w:shd w:val="clear" w:color="auto" w:fill="CFEDF9"/>
          </w:tcPr>
          <w:p>
            <w:pPr>
              <w:spacing w:after="0"/>
              <w:rPr>
                <w:sz w:val="10"/>
                <w:szCs w:val="10"/>
                <w:color w:val="auto"/>
              </w:rPr>
            </w:pPr>
          </w:p>
        </w:tc>
        <w:tc>
          <w:tcPr>
            <w:tcW w:w="840" w:type="dxa"/>
            <w:vAlign w:val="bottom"/>
            <w:tcBorders>
              <w:top w:val="single" w:sz="8" w:color="231F20"/>
              <w:left w:val="single" w:sz="8" w:color="CFEDF9"/>
            </w:tcBorders>
            <w:shd w:val="clear" w:color="auto" w:fill="CFEDF9"/>
          </w:tcPr>
          <w:p>
            <w:pPr>
              <w:spacing w:after="0"/>
              <w:rPr>
                <w:sz w:val="10"/>
                <w:szCs w:val="10"/>
                <w:color w:val="auto"/>
              </w:rPr>
            </w:pPr>
          </w:p>
        </w:tc>
        <w:tc>
          <w:tcPr>
            <w:tcW w:w="120" w:type="dxa"/>
            <w:vAlign w:val="bottom"/>
            <w:tcBorders>
              <w:top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Services</w:t>
            </w:r>
          </w:p>
        </w:tc>
        <w:tc>
          <w:tcPr>
            <w:tcW w:w="100" w:type="dxa"/>
            <w:vAlign w:val="bottom"/>
            <w:shd w:val="clear" w:color="auto" w:fill="CFEDF9"/>
          </w:tcPr>
          <w:p>
            <w:pPr>
              <w:spacing w:after="0"/>
              <w:rPr>
                <w:sz w:val="13"/>
                <w:szCs w:val="13"/>
                <w:color w:val="auto"/>
              </w:rPr>
            </w:pPr>
          </w:p>
        </w:tc>
        <w:tc>
          <w:tcPr>
            <w:tcW w:w="254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78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780" w:type="dxa"/>
            <w:vAlign w:val="bottom"/>
            <w:shd w:val="clear" w:color="auto" w:fill="CFEDF9"/>
          </w:tcPr>
          <w:p>
            <w:pPr>
              <w:spacing w:after="0"/>
              <w:rPr>
                <w:sz w:val="13"/>
                <w:szCs w:val="13"/>
                <w:color w:val="auto"/>
              </w:rPr>
            </w:pPr>
          </w:p>
        </w:tc>
        <w:tc>
          <w:tcPr>
            <w:tcW w:w="220" w:type="dxa"/>
            <w:vAlign w:val="bottom"/>
            <w:shd w:val="clear" w:color="auto" w:fill="CFEDF9"/>
          </w:tcPr>
          <w:p>
            <w:pPr>
              <w:spacing w:after="0"/>
              <w:rPr>
                <w:sz w:val="13"/>
                <w:szCs w:val="13"/>
                <w:color w:val="auto"/>
              </w:rPr>
            </w:pPr>
          </w:p>
        </w:tc>
        <w:tc>
          <w:tcPr>
            <w:tcW w:w="800" w:type="dxa"/>
            <w:vAlign w:val="bottom"/>
            <w:shd w:val="clear" w:color="auto" w:fill="CFEDF9"/>
          </w:tcPr>
          <w:p>
            <w:pPr>
              <w:spacing w:after="0"/>
              <w:rPr>
                <w:sz w:val="13"/>
                <w:szCs w:val="13"/>
                <w:color w:val="auto"/>
              </w:rPr>
            </w:pPr>
          </w:p>
        </w:tc>
        <w:tc>
          <w:tcPr>
            <w:tcW w:w="220" w:type="dxa"/>
            <w:vAlign w:val="bottom"/>
            <w:tcBorders>
              <w:right w:val="single" w:sz="8" w:color="CFEDF9"/>
            </w:tcBorders>
            <w:shd w:val="clear" w:color="auto" w:fill="CFEDF9"/>
          </w:tcPr>
          <w:p>
            <w:pPr>
              <w:spacing w:after="0"/>
              <w:rPr>
                <w:sz w:val="13"/>
                <w:szCs w:val="13"/>
                <w:color w:val="auto"/>
              </w:rPr>
            </w:pPr>
          </w:p>
        </w:tc>
        <w:tc>
          <w:tcPr>
            <w:tcW w:w="180" w:type="dxa"/>
            <w:vAlign w:val="bottom"/>
            <w:shd w:val="clear" w:color="auto" w:fill="CFEDF9"/>
          </w:tcPr>
          <w:p>
            <w:pPr>
              <w:spacing w:after="0"/>
              <w:rPr>
                <w:sz w:val="13"/>
                <w:szCs w:val="13"/>
                <w:color w:val="auto"/>
              </w:rPr>
            </w:pPr>
          </w:p>
        </w:tc>
        <w:tc>
          <w:tcPr>
            <w:tcW w:w="92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180" w:type="dxa"/>
            <w:vAlign w:val="bottom"/>
            <w:shd w:val="clear" w:color="auto" w:fill="CFEDF9"/>
          </w:tcPr>
          <w:p>
            <w:pPr>
              <w:spacing w:after="0"/>
              <w:rPr>
                <w:sz w:val="13"/>
                <w:szCs w:val="13"/>
                <w:color w:val="auto"/>
              </w:rPr>
            </w:pPr>
          </w:p>
        </w:tc>
        <w:tc>
          <w:tcPr>
            <w:tcW w:w="120" w:type="dxa"/>
            <w:vAlign w:val="bottom"/>
            <w:tcBorders>
              <w:left w:val="single" w:sz="8" w:color="CFEDF9"/>
            </w:tcBorders>
            <w:shd w:val="clear" w:color="auto" w:fill="CFEDF9"/>
          </w:tcPr>
          <w:p>
            <w:pPr>
              <w:spacing w:after="0"/>
              <w:rPr>
                <w:sz w:val="13"/>
                <w:szCs w:val="13"/>
                <w:color w:val="auto"/>
              </w:rPr>
            </w:pPr>
          </w:p>
        </w:tc>
        <w:tc>
          <w:tcPr>
            <w:tcW w:w="76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180" w:type="dxa"/>
            <w:vAlign w:val="bottom"/>
            <w:shd w:val="clear" w:color="auto" w:fill="CFEDF9"/>
          </w:tcPr>
          <w:p>
            <w:pPr>
              <w:spacing w:after="0"/>
              <w:rPr>
                <w:sz w:val="13"/>
                <w:szCs w:val="13"/>
                <w:color w:val="auto"/>
              </w:rPr>
            </w:pPr>
          </w:p>
        </w:tc>
        <w:tc>
          <w:tcPr>
            <w:tcW w:w="840" w:type="dxa"/>
            <w:vAlign w:val="bottom"/>
            <w:tcBorders>
              <w:left w:val="single" w:sz="8" w:color="CFEDF9"/>
            </w:tcBorders>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6101715</wp:posOffset>
                </wp:positionH>
                <wp:positionV relativeFrom="paragraph">
                  <wp:posOffset>-5163820</wp:posOffset>
                </wp:positionV>
                <wp:extent cx="527050" cy="8763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34" o:spid="_x0000_s1059" style="position:absolute;margin-left:480.45pt;margin-top:-406.59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-4625340</wp:posOffset>
                </wp:positionV>
                <wp:extent cx="527050" cy="8763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35" o:spid="_x0000_s1060" style="position:absolute;margin-left:480.45pt;margin-top:-364.19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-3636645</wp:posOffset>
                </wp:positionV>
                <wp:extent cx="527050" cy="8763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36" o:spid="_x0000_s1061" style="position:absolute;margin-left:480.45pt;margin-top:-286.34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-719455</wp:posOffset>
                </wp:positionV>
                <wp:extent cx="527050" cy="8763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37" o:spid="_x0000_s1062" style="position:absolute;margin-left:480.45pt;margin-top:-56.64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ectPr>
          <w:pgSz w:w="12240" w:h="15840" w:orient="portrait"/>
          <w:cols w:equalWidth="0" w:num="1">
            <w:col w:w="10560"/>
          </w:cols>
          <w:pgMar w:left="840" w:top="926" w:right="840" w:bottom="186"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F-12</w:t>
      </w:r>
    </w:p>
    <w:p>
      <w:pPr>
        <w:sectPr>
          <w:pgSz w:w="12240" w:h="15840" w:orient="portrait"/>
          <w:cols w:equalWidth="0" w:num="1">
            <w:col w:w="10560"/>
          </w:cols>
          <w:pgMar w:left="840" w:top="926" w:right="840" w:bottom="186"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5"/>
              </w:rPr>
              <w:t>Initial</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231F20"/>
                <w:w w:val="97"/>
              </w:rPr>
              <w:t>Reference</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8"/>
              </w:rPr>
              <w:t>Acquisition</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231F20"/>
                <w:w w:val="99"/>
              </w:rPr>
              <w:t>Rate and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231F20"/>
              </w:rPr>
              <w:t>Amortized</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8"/>
              </w:rPr>
              <w:t>Percentage</w:t>
            </w:r>
          </w:p>
        </w:tc>
        <w:tc>
          <w:tcPr>
            <w:tcW w:w="0" w:type="dxa"/>
            <w:vAlign w:val="bottom"/>
          </w:tcPr>
          <w:p>
            <w:pPr>
              <w:spacing w:after="0"/>
              <w:rPr>
                <w:sz w:val="1"/>
                <w:szCs w:val="1"/>
                <w:color w:val="auto"/>
              </w:rPr>
            </w:pPr>
          </w:p>
        </w:tc>
      </w:tr>
      <w:tr>
        <w:trPr>
          <w:trHeight w:val="151"/>
        </w:trPr>
        <w:tc>
          <w:tcPr>
            <w:tcW w:w="1540" w:type="dxa"/>
            <w:vAlign w:val="bottom"/>
            <w:tcBorders>
              <w:bottom w:val="single" w:sz="8" w:color="231F20"/>
            </w:tcBorders>
          </w:tcPr>
          <w:p>
            <w:pPr>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Company </w:t>
            </w:r>
            <w:r>
              <w:rPr>
                <w:rFonts w:ascii="Times New Roman" w:cs="Times New Roman" w:eastAsia="Times New Roman" w:hAnsi="Times New Roman"/>
                <w:sz w:val="16"/>
                <w:szCs w:val="16"/>
                <w:b w:val="1"/>
                <w:bCs w:val="1"/>
                <w:color w:val="231F20"/>
                <w:vertAlign w:val="superscript"/>
              </w:rPr>
              <w:t>(1)</w:t>
            </w:r>
          </w:p>
        </w:tc>
        <w:tc>
          <w:tcPr>
            <w:tcW w:w="100" w:type="dxa"/>
            <w:vAlign w:val="bottom"/>
          </w:tcPr>
          <w:p>
            <w:pPr>
              <w:spacing w:after="0"/>
              <w:rPr>
                <w:sz w:val="13"/>
                <w:szCs w:val="13"/>
                <w:color w:val="auto"/>
              </w:rPr>
            </w:pPr>
          </w:p>
        </w:tc>
        <w:tc>
          <w:tcPr>
            <w:tcW w:w="2540" w:type="dxa"/>
            <w:vAlign w:val="bottom"/>
            <w:tcBorders>
              <w:bottom w:val="single" w:sz="8" w:color="231F20"/>
            </w:tcBorders>
          </w:tcPr>
          <w:p>
            <w:pPr>
              <w:ind w:left="980"/>
              <w:spacing w:after="0"/>
              <w:rPr>
                <w:sz w:val="20"/>
                <w:szCs w:val="20"/>
                <w:color w:val="auto"/>
              </w:rPr>
            </w:pPr>
            <w:r>
              <w:rPr>
                <w:rFonts w:ascii="Times New Roman" w:cs="Times New Roman" w:eastAsia="Times New Roman" w:hAnsi="Times New Roman"/>
                <w:sz w:val="12"/>
                <w:szCs w:val="12"/>
                <w:b w:val="1"/>
                <w:bCs w:val="1"/>
                <w:color w:val="231F20"/>
              </w:rPr>
              <w:t>Investment</w:t>
            </w:r>
          </w:p>
        </w:tc>
        <w:tc>
          <w:tcPr>
            <w:tcW w:w="120" w:type="dxa"/>
            <w:vAlign w:val="bottom"/>
          </w:tcPr>
          <w:p>
            <w:pPr>
              <w:spacing w:after="0"/>
              <w:rPr>
                <w:sz w:val="13"/>
                <w:szCs w:val="13"/>
                <w:color w:val="auto"/>
              </w:rPr>
            </w:pPr>
          </w:p>
        </w:tc>
        <w:tc>
          <w:tcPr>
            <w:tcW w:w="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231F20"/>
                <w:w w:val="99"/>
              </w:rPr>
              <w:t>Date</w:t>
            </w:r>
          </w:p>
        </w:tc>
        <w:tc>
          <w:tcPr>
            <w:tcW w:w="120" w:type="dxa"/>
            <w:vAlign w:val="bottom"/>
            <w:gridSpan w:val="2"/>
          </w:tcPr>
          <w:p>
            <w:pPr>
              <w:spacing w:after="0"/>
              <w:rPr>
                <w:sz w:val="13"/>
                <w:szCs w:val="13"/>
                <w:color w:val="auto"/>
              </w:rPr>
            </w:pPr>
          </w:p>
        </w:tc>
        <w:tc>
          <w:tcPr>
            <w:tcW w:w="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231F20"/>
              </w:rPr>
              <w:t>Spread</w:t>
            </w:r>
          </w:p>
        </w:tc>
        <w:tc>
          <w:tcPr>
            <w:tcW w:w="220" w:type="dxa"/>
            <w:vAlign w:val="bottom"/>
          </w:tcPr>
          <w:p>
            <w:pPr>
              <w:spacing w:after="0"/>
              <w:rPr>
                <w:sz w:val="13"/>
                <w:szCs w:val="13"/>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b w:val="1"/>
                <w:bCs w:val="1"/>
                <w:color w:val="231F20"/>
              </w:rPr>
              <w:t>Interest Rate</w:t>
            </w:r>
          </w:p>
        </w:tc>
        <w:tc>
          <w:tcPr>
            <w:tcW w:w="220" w:type="dxa"/>
            <w:vAlign w:val="bottom"/>
          </w:tcPr>
          <w:p>
            <w:pPr>
              <w:spacing w:after="0"/>
              <w:rPr>
                <w:sz w:val="13"/>
                <w:szCs w:val="13"/>
                <w:color w:val="auto"/>
              </w:rPr>
            </w:pPr>
          </w:p>
        </w:tc>
        <w:tc>
          <w:tcPr>
            <w:tcW w:w="1100" w:type="dxa"/>
            <w:vAlign w:val="bottom"/>
            <w:tcBorders>
              <w:bottom w:val="single" w:sz="8" w:color="231F20"/>
            </w:tcBorders>
          </w:tcPr>
          <w:p>
            <w:pPr>
              <w:jc w:val="right"/>
              <w:ind w:right="220"/>
              <w:spacing w:after="0" w:line="151" w:lineRule="exact"/>
              <w:rPr>
                <w:sz w:val="20"/>
                <w:szCs w:val="20"/>
                <w:color w:val="auto"/>
              </w:rPr>
            </w:pPr>
            <w:r>
              <w:rPr>
                <w:rFonts w:ascii="Times New Roman" w:cs="Times New Roman" w:eastAsia="Times New Roman" w:hAnsi="Times New Roman"/>
                <w:sz w:val="17"/>
                <w:szCs w:val="17"/>
                <w:b w:val="1"/>
                <w:bCs w:val="1"/>
                <w:color w:val="231F20"/>
                <w:vertAlign w:val="subscript"/>
              </w:rPr>
              <w:t>Cost</w:t>
            </w:r>
            <w:r>
              <w:rPr>
                <w:rFonts w:ascii="Times New Roman" w:cs="Times New Roman" w:eastAsia="Times New Roman" w:hAnsi="Times New Roman"/>
                <w:sz w:val="7"/>
                <w:szCs w:val="7"/>
                <w:b w:val="1"/>
                <w:bCs w:val="1"/>
                <w:color w:val="231F20"/>
              </w:rPr>
              <w:t xml:space="preserve"> (2)(8)</w:t>
            </w:r>
          </w:p>
        </w:tc>
        <w:tc>
          <w:tcPr>
            <w:tcW w:w="200" w:type="dxa"/>
            <w:vAlign w:val="bottom"/>
          </w:tcPr>
          <w:p>
            <w:pPr>
              <w:spacing w:after="0"/>
              <w:rPr>
                <w:sz w:val="13"/>
                <w:szCs w:val="13"/>
                <w:color w:val="auto"/>
              </w:rPr>
            </w:pPr>
          </w:p>
        </w:tc>
        <w:tc>
          <w:tcPr>
            <w:tcW w:w="880" w:type="dxa"/>
            <w:vAlign w:val="bottom"/>
            <w:tcBorders>
              <w:bottom w:val="single" w:sz="8" w:color="231F20"/>
            </w:tcBorders>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Fair Value </w:t>
            </w:r>
            <w:r>
              <w:rPr>
                <w:rFonts w:ascii="Times New Roman" w:cs="Times New Roman" w:eastAsia="Times New Roman" w:hAnsi="Times New Roman"/>
                <w:sz w:val="16"/>
                <w:szCs w:val="16"/>
                <w:b w:val="1"/>
                <w:bCs w:val="1"/>
                <w:color w:val="231F20"/>
                <w:vertAlign w:val="superscript"/>
              </w:rPr>
              <w:t>(9)</w:t>
            </w:r>
          </w:p>
        </w:tc>
        <w:tc>
          <w:tcPr>
            <w:tcW w:w="200" w:type="dxa"/>
            <w:vAlign w:val="bottom"/>
          </w:tcPr>
          <w:p>
            <w:pPr>
              <w:spacing w:after="0"/>
              <w:rPr>
                <w:sz w:val="13"/>
                <w:szCs w:val="13"/>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231F20"/>
                <w:w w:val="99"/>
              </w:rPr>
              <w:t>of Net Assets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1"/>
                <w:szCs w:val="11"/>
                <w:color w:val="231F20"/>
              </w:rPr>
              <w:t xml:space="preserve">Axonify, Inc. </w:t>
            </w:r>
            <w:r>
              <w:rPr>
                <w:rFonts w:ascii="Times New Roman" w:cs="Times New Roman" w:eastAsia="Times New Roman" w:hAnsi="Times New Roman"/>
                <w:sz w:val="14"/>
                <w:szCs w:val="14"/>
                <w:color w:val="231F20"/>
                <w:vertAlign w:val="superscript"/>
              </w:rPr>
              <w:t>(3)(4)(5)</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($47,122 par, due 5/2026)</w:t>
            </w:r>
          </w:p>
        </w:tc>
        <w:tc>
          <w:tcPr>
            <w:tcW w:w="12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5/5/2021</w:t>
            </w:r>
          </w:p>
        </w:tc>
        <w:tc>
          <w:tcPr>
            <w:tcW w:w="120" w:type="dxa"/>
            <w:vAlign w:val="bottom"/>
            <w:gridSpan w:val="2"/>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231F20"/>
                <w:w w:val="94"/>
              </w:rPr>
              <w:t>SOFR + 7.65%</w:t>
            </w:r>
          </w:p>
        </w:tc>
        <w:tc>
          <w:tcPr>
            <w:tcW w:w="220" w:type="dxa"/>
            <w:vAlign w:val="bottom"/>
          </w:tcPr>
          <w:p>
            <w:pPr>
              <w:spacing w:after="0"/>
              <w:rPr>
                <w:sz w:val="11"/>
                <w:szCs w:val="11"/>
                <w:color w:val="auto"/>
              </w:rPr>
            </w:pPr>
          </w:p>
        </w:tc>
        <w:tc>
          <w:tcPr>
            <w:tcW w:w="102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11.83%</w:t>
            </w:r>
          </w:p>
        </w:tc>
        <w:tc>
          <w:tcPr>
            <w:tcW w:w="11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46,204</w:t>
            </w:r>
          </w:p>
        </w:tc>
        <w:tc>
          <w:tcPr>
            <w:tcW w:w="20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46,190</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3.4%</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bswift, LLC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($44,806 par, due 11/2028)</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11/7/2022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+ 6.63%</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10.81%</w:t>
            </w: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43,430</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43,574</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3.2%</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Elysian Finco Ltd. </w:t>
            </w:r>
            <w:r>
              <w:rPr>
                <w:rFonts w:ascii="Times New Roman" w:cs="Times New Roman" w:eastAsia="Times New Roman" w:hAnsi="Times New Roman"/>
                <w:sz w:val="15"/>
                <w:szCs w:val="15"/>
                <w:color w:val="231F20"/>
                <w:vertAlign w:val="superscript"/>
              </w:rPr>
              <w:t>(3)(4)(5)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($17,314 par, due 1/2028)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1/31/2022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+ 6.65%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10.99%</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16,831</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17,107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1.3%</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Employment Hero Holdings</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(AUD 50,000 par, due 12/2026)</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12/6/2021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B + 6.50%</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9.77%</w:t>
            </w:r>
          </w:p>
        </w:tc>
        <w:tc>
          <w:tcPr>
            <w:tcW w:w="130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34,664</w:t>
            </w:r>
          </w:p>
        </w:tc>
        <w:tc>
          <w:tcPr>
            <w:tcW w:w="1080" w:type="dxa"/>
            <w:vAlign w:val="bottom"/>
            <w:tcBorders>
              <w:left w:val="single" w:sz="8" w:color="CFEDF9"/>
            </w:tcBorders>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32,839</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2.4%</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Pty Ltd. </w:t>
            </w:r>
            <w:r>
              <w:rPr>
                <w:rFonts w:ascii="Times New Roman" w:cs="Times New Roman" w:eastAsia="Times New Roman" w:hAnsi="Times New Roman"/>
                <w:sz w:val="16"/>
                <w:szCs w:val="16"/>
                <w:color w:val="231F20"/>
                <w:vertAlign w:val="superscript"/>
              </w:rPr>
              <w:t>(3)(4)</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(AUD 51,076)</w:t>
            </w: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PageUp People, Ltd. </w:t>
            </w:r>
            <w:r>
              <w:rPr>
                <w:rFonts w:ascii="Times New Roman" w:cs="Times New Roman" w:eastAsia="Times New Roman" w:hAnsi="Times New Roman"/>
                <w:sz w:val="14"/>
                <w:szCs w:val="14"/>
                <w:color w:val="231F20"/>
                <w:vertAlign w:val="superscript"/>
              </w:rPr>
              <w:t>(3)(4)(5)</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(AUD 14,520 par, due 12/2025)</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1/11/2018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B + 5.50%</w:t>
            </w:r>
          </w:p>
        </w:tc>
        <w:tc>
          <w:tcPr>
            <w:tcW w:w="102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9.28%</w:t>
            </w:r>
          </w:p>
        </w:tc>
        <w:tc>
          <w:tcPr>
            <w:tcW w:w="130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10,899</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9.534</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0.7%</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(AUD 14,059)</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(GBP 3,766 par, due 12/2025)</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10/28/2021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S + 5.62%</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8.55%</w:t>
            </w:r>
          </w:p>
        </w:tc>
        <w:tc>
          <w:tcPr>
            <w:tcW w:w="130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5,184</w:t>
            </w:r>
          </w:p>
        </w:tc>
        <w:tc>
          <w:tcPr>
            <w:tcW w:w="1080" w:type="dxa"/>
            <w:vAlign w:val="bottom"/>
            <w:tcBorders>
              <w:left w:val="single" w:sz="8" w:color="CFEDF9"/>
            </w:tcBorders>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4,439</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0.3%</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(GBP 3,690)</w:t>
            </w: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($12,011 par, due 12/2025)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10/28/2021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+ 5.50%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10.65%</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11,997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11,771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0.9%</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PayScale Holdings,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($68,775 par, due 5/2024)</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5/3/2019</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+ 5.75%</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10.48%</w:t>
            </w: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68,199</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67,572</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5.0%</w:t>
            </w:r>
          </w:p>
        </w:tc>
        <w:tc>
          <w:tcPr>
            <w:tcW w:w="0" w:type="dxa"/>
            <w:vAlign w:val="bottom"/>
          </w:tcPr>
          <w:p>
            <w:pPr>
              <w:spacing w:after="0"/>
              <w:rPr>
                <w:sz w:val="1"/>
                <w:szCs w:val="1"/>
                <w:color w:val="auto"/>
              </w:rPr>
            </w:pPr>
          </w:p>
        </w:tc>
      </w:tr>
      <w:tr>
        <w:trPr>
          <w:trHeight w:val="132"/>
        </w:trPr>
        <w:tc>
          <w:tcPr>
            <w:tcW w:w="1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PrimePay Intermediate, LLC</w:t>
            </w:r>
          </w:p>
        </w:tc>
        <w:tc>
          <w:tcPr>
            <w:tcW w:w="100" w:type="dxa"/>
            <w:vAlign w:val="bottom"/>
          </w:tcPr>
          <w:p>
            <w:pPr>
              <w:spacing w:after="0"/>
              <w:rPr>
                <w:sz w:val="11"/>
                <w:szCs w:val="11"/>
                <w:color w:val="auto"/>
              </w:rPr>
            </w:pPr>
          </w:p>
        </w:tc>
        <w:tc>
          <w:tcPr>
            <w:tcW w:w="2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231F20"/>
              </w:rPr>
              <w:t>First-lien loan ($32,242 par, due 12/2026)</w:t>
            </w:r>
          </w:p>
        </w:tc>
        <w:tc>
          <w:tcPr>
            <w:tcW w:w="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231F20"/>
              </w:rPr>
              <w:t>12/17/2021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231F20"/>
              </w:rPr>
              <w:t>SOFR + 7.15%</w:t>
            </w:r>
          </w:p>
        </w:tc>
        <w:tc>
          <w:tcPr>
            <w:tcW w:w="10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231F20"/>
              </w:rPr>
              <w:t>11.73%</w:t>
            </w:r>
          </w:p>
        </w:tc>
        <w:tc>
          <w:tcPr>
            <w:tcW w:w="13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31,297</w:t>
            </w:r>
          </w:p>
        </w:tc>
        <w:tc>
          <w:tcPr>
            <w:tcW w:w="10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31,355</w:t>
            </w:r>
          </w:p>
        </w:tc>
        <w:tc>
          <w:tcPr>
            <w:tcW w:w="9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2.3%</w:t>
            </w:r>
          </w:p>
        </w:tc>
        <w:tc>
          <w:tcPr>
            <w:tcW w:w="0" w:type="dxa"/>
            <w:vAlign w:val="bottom"/>
          </w:tcPr>
          <w:p>
            <w:pPr>
              <w:spacing w:after="0"/>
              <w:rPr>
                <w:sz w:val="1"/>
                <w:szCs w:val="1"/>
                <w:color w:val="auto"/>
              </w:rPr>
            </w:pPr>
          </w:p>
        </w:tc>
      </w:tr>
      <w:tr>
        <w:trPr>
          <w:trHeight w:val="105"/>
        </w:trPr>
        <w:tc>
          <w:tcPr>
            <w:tcW w:w="1540" w:type="dxa"/>
            <w:vAlign w:val="bottom"/>
          </w:tcPr>
          <w:p>
            <w:pPr>
              <w:spacing w:after="0"/>
              <w:rPr>
                <w:sz w:val="20"/>
                <w:szCs w:val="20"/>
                <w:color w:val="auto"/>
              </w:rPr>
            </w:pPr>
            <w:r>
              <w:rPr>
                <w:rFonts w:ascii="Times New Roman" w:cs="Times New Roman" w:eastAsia="Times New Roman" w:hAnsi="Times New Roman"/>
                <w:sz w:val="8"/>
                <w:szCs w:val="8"/>
                <w:color w:val="231F20"/>
              </w:rPr>
              <w:t>(3)(5)</w:t>
            </w: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Modern Hire,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($28,878 par, due 5/2024)</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5/15/2019</w:t>
            </w:r>
          </w:p>
        </w:tc>
        <w:tc>
          <w:tcPr>
            <w:tcW w:w="20" w:type="dxa"/>
            <w:vAlign w:val="bottom"/>
            <w:vMerge w:val="continue"/>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+ 7.00%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11.38%</w:t>
            </w: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28,624</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28,950</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2.2%</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Workwell Acquisition Co.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($23,798 par, due 10/2025)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10/19/2020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+ 7.40%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11.80%</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23,433</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23,441</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1.7%</w:t>
            </w:r>
          </w:p>
        </w:tc>
        <w:tc>
          <w:tcPr>
            <w:tcW w:w="0" w:type="dxa"/>
            <w:vAlign w:val="bottom"/>
          </w:tcPr>
          <w:p>
            <w:pPr>
              <w:spacing w:after="0"/>
              <w:rPr>
                <w:sz w:val="1"/>
                <w:szCs w:val="1"/>
                <w:color w:val="auto"/>
              </w:rPr>
            </w:pPr>
          </w:p>
        </w:tc>
      </w:tr>
      <w:tr>
        <w:trPr>
          <w:trHeight w:val="20"/>
        </w:trPr>
        <w:tc>
          <w:tcPr>
            <w:tcW w:w="154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254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20" w:type="dxa"/>
            <w:vAlign w:val="bottom"/>
            <w:shd w:val="clear" w:color="auto" w:fill="CFEDF9"/>
          </w:tcPr>
          <w:p>
            <w:pPr>
              <w:spacing w:after="0" w:line="20" w:lineRule="exact"/>
              <w:rPr>
                <w:sz w:val="1"/>
                <w:szCs w:val="1"/>
                <w:color w:val="auto"/>
              </w:rPr>
            </w:pPr>
          </w:p>
        </w:tc>
        <w:tc>
          <w:tcPr>
            <w:tcW w:w="800" w:type="dxa"/>
            <w:vAlign w:val="bottom"/>
            <w:shd w:val="clear" w:color="auto" w:fill="CFEDF9"/>
          </w:tcPr>
          <w:p>
            <w:pPr>
              <w:spacing w:after="0" w:line="20" w:lineRule="exact"/>
              <w:rPr>
                <w:sz w:val="1"/>
                <w:szCs w:val="1"/>
                <w:color w:val="auto"/>
              </w:rPr>
            </w:pPr>
          </w:p>
        </w:tc>
        <w:tc>
          <w:tcPr>
            <w:tcW w:w="220" w:type="dxa"/>
            <w:vAlign w:val="bottom"/>
            <w:tcBorders>
              <w:right w:val="single" w:sz="8" w:color="231F20"/>
            </w:tcBorders>
            <w:shd w:val="clear" w:color="auto" w:fill="CFEDF9"/>
          </w:tcPr>
          <w:p>
            <w:pPr>
              <w:spacing w:after="0" w:line="20" w:lineRule="exact"/>
              <w:rPr>
                <w:sz w:val="1"/>
                <w:szCs w:val="1"/>
                <w:color w:val="auto"/>
              </w:rPr>
            </w:pPr>
          </w:p>
        </w:tc>
        <w:tc>
          <w:tcPr>
            <w:tcW w:w="110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CFEDF9"/>
          </w:tcPr>
          <w:p>
            <w:pPr>
              <w:spacing w:after="0" w:line="20" w:lineRule="exact"/>
              <w:rPr>
                <w:sz w:val="1"/>
                <w:szCs w:val="1"/>
                <w:color w:val="auto"/>
              </w:rPr>
            </w:pPr>
          </w:p>
        </w:tc>
        <w:tc>
          <w:tcPr>
            <w:tcW w:w="880" w:type="dxa"/>
            <w:vAlign w:val="bottom"/>
            <w:tcBorders>
              <w:left w:val="single" w:sz="8" w:color="231F20"/>
            </w:tcBorders>
            <w:shd w:val="clear" w:color="auto" w:fill="231F20"/>
          </w:tcPr>
          <w:p>
            <w:pPr>
              <w:spacing w:after="0" w:line="20" w:lineRule="exact"/>
              <w:rPr>
                <w:sz w:val="1"/>
                <w:szCs w:val="1"/>
                <w:color w:val="auto"/>
              </w:rPr>
            </w:pPr>
          </w:p>
        </w:tc>
        <w:tc>
          <w:tcPr>
            <w:tcW w:w="200" w:type="dxa"/>
            <w:vAlign w:val="bottom"/>
            <w:vMerge w:val="restart"/>
            <w:shd w:val="clear" w:color="auto" w:fill="CFEDF9"/>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10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320,762</w:t>
            </w:r>
          </w:p>
        </w:tc>
        <w:tc>
          <w:tcPr>
            <w:tcW w:w="200" w:type="dxa"/>
            <w:vAlign w:val="bottom"/>
            <w:vMerge w:val="continue"/>
            <w:shd w:val="clear" w:color="auto" w:fill="CFEDF9"/>
          </w:tcPr>
          <w:p>
            <w:pPr>
              <w:spacing w:after="0"/>
              <w:rPr>
                <w:sz w:val="11"/>
                <w:szCs w:val="11"/>
                <w:color w:val="auto"/>
              </w:rPr>
            </w:pPr>
          </w:p>
        </w:tc>
        <w:tc>
          <w:tcPr>
            <w:tcW w:w="880" w:type="dxa"/>
            <w:vAlign w:val="bottom"/>
            <w:tcBorders>
              <w:lef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316,772</w:t>
            </w:r>
          </w:p>
        </w:tc>
        <w:tc>
          <w:tcPr>
            <w:tcW w:w="200" w:type="dxa"/>
            <w:vAlign w:val="bottom"/>
            <w:vMerge w:val="continue"/>
            <w:shd w:val="clear" w:color="auto" w:fill="CFEDF9"/>
          </w:tcPr>
          <w:p>
            <w:pPr>
              <w:spacing w:after="0"/>
              <w:rPr>
                <w:sz w:val="11"/>
                <w:szCs w:val="11"/>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23.4%</w:t>
            </w:r>
          </w:p>
        </w:tc>
        <w:tc>
          <w:tcPr>
            <w:tcW w:w="0" w:type="dxa"/>
            <w:vAlign w:val="bottom"/>
          </w:tcPr>
          <w:p>
            <w:pPr>
              <w:spacing w:after="0"/>
              <w:rPr>
                <w:sz w:val="1"/>
                <w:szCs w:val="1"/>
                <w:color w:val="auto"/>
              </w:rPr>
            </w:pPr>
          </w:p>
        </w:tc>
      </w:tr>
      <w:tr>
        <w:trPr>
          <w:trHeight w:val="128"/>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Internet Services</w:t>
            </w: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top w:val="single" w:sz="8" w:color="231F20"/>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231F20"/>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231F2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Bayshore Intermediate #2, L.P.</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First-lien loan ($32,194 par, due 10/2028)</w:t>
            </w:r>
          </w:p>
        </w:tc>
        <w:tc>
          <w:tcPr>
            <w:tcW w:w="9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10/1/2021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33" w:lineRule="exact"/>
              <w:rPr>
                <w:sz w:val="20"/>
                <w:szCs w:val="20"/>
                <w:color w:val="auto"/>
              </w:rPr>
            </w:pPr>
            <w:r>
              <w:rPr>
                <w:rFonts w:ascii="Times New Roman" w:cs="Times New Roman" w:eastAsia="Times New Roman" w:hAnsi="Times New Roman"/>
                <w:sz w:val="12"/>
                <w:szCs w:val="12"/>
                <w:color w:val="231F20"/>
              </w:rPr>
              <w:t>L + 7.75%</w:t>
            </w:r>
          </w:p>
        </w:tc>
        <w:tc>
          <w:tcPr>
            <w:tcW w:w="1020" w:type="dxa"/>
            <w:vAlign w:val="bottom"/>
            <w:tcBorders>
              <w:right w:val="single" w:sz="8" w:color="CFEDF9"/>
            </w:tcBorders>
            <w:gridSpan w:val="2"/>
            <w:shd w:val="clear" w:color="auto" w:fill="CFEDF9"/>
          </w:tcPr>
          <w:p>
            <w:pPr>
              <w:jc w:val="right"/>
              <w:ind w:right="220"/>
              <w:spacing w:after="0" w:line="133" w:lineRule="exact"/>
              <w:rPr>
                <w:sz w:val="20"/>
                <w:szCs w:val="20"/>
                <w:color w:val="auto"/>
              </w:rPr>
            </w:pPr>
            <w:r>
              <w:rPr>
                <w:rFonts w:ascii="Times New Roman" w:cs="Times New Roman" w:eastAsia="Times New Roman" w:hAnsi="Times New Roman"/>
                <w:sz w:val="12"/>
                <w:szCs w:val="12"/>
                <w:color w:val="231F20"/>
              </w:rPr>
              <w:t>12.04% PIK</w:t>
            </w:r>
          </w:p>
        </w:tc>
        <w:tc>
          <w:tcPr>
            <w:tcW w:w="130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31,631</w:t>
            </w:r>
          </w:p>
        </w:tc>
        <w:tc>
          <w:tcPr>
            <w:tcW w:w="1080" w:type="dxa"/>
            <w:vAlign w:val="bottom"/>
            <w:tcBorders>
              <w:left w:val="single" w:sz="8" w:color="CFEDF9"/>
            </w:tcBorders>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31,308</w:t>
            </w:r>
          </w:p>
        </w:tc>
        <w:tc>
          <w:tcPr>
            <w:tcW w:w="960" w:type="dxa"/>
            <w:vAlign w:val="bottom"/>
            <w:tcBorders>
              <w:left w:val="single" w:sz="8" w:color="CFEDF9"/>
            </w:tcBorders>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2.3%</w:t>
            </w:r>
          </w:p>
        </w:tc>
        <w:tc>
          <w:tcPr>
            <w:tcW w:w="0" w:type="dxa"/>
            <w:vAlign w:val="bottom"/>
          </w:tcPr>
          <w:p>
            <w:pPr>
              <w:spacing w:after="0"/>
              <w:rPr>
                <w:sz w:val="1"/>
                <w:szCs w:val="1"/>
                <w:color w:val="auto"/>
              </w:rPr>
            </w:pPr>
          </w:p>
        </w:tc>
      </w:tr>
      <w:tr>
        <w:trPr>
          <w:trHeight w:val="124"/>
        </w:trPr>
        <w:tc>
          <w:tcPr>
            <w:tcW w:w="15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(3)</w:t>
            </w:r>
          </w:p>
        </w:tc>
        <w:tc>
          <w:tcPr>
            <w:tcW w:w="100" w:type="dxa"/>
            <w:vAlign w:val="bottom"/>
            <w:tcBorders>
              <w:bottom w:val="single" w:sz="8" w:color="CFEDF9"/>
            </w:tcBorders>
            <w:shd w:val="clear" w:color="auto" w:fill="CFEDF9"/>
          </w:tcPr>
          <w:p>
            <w:pPr>
              <w:spacing w:after="0"/>
              <w:rPr>
                <w:sz w:val="10"/>
                <w:szCs w:val="10"/>
                <w:color w:val="auto"/>
              </w:rPr>
            </w:pPr>
          </w:p>
        </w:tc>
        <w:tc>
          <w:tcPr>
            <w:tcW w:w="254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tcBorders>
            <w:shd w:val="clear" w:color="auto" w:fill="CFEDF9"/>
          </w:tcPr>
          <w:p>
            <w:pPr>
              <w:spacing w:after="0"/>
              <w:rPr>
                <w:sz w:val="10"/>
                <w:szCs w:val="10"/>
                <w:color w:val="auto"/>
              </w:rPr>
            </w:pPr>
          </w:p>
        </w:tc>
        <w:tc>
          <w:tcPr>
            <w:tcW w:w="80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right w:val="single" w:sz="8" w:color="CFEDF9"/>
            </w:tcBorders>
            <w:shd w:val="clear" w:color="auto" w:fill="CFEDF9"/>
          </w:tcPr>
          <w:p>
            <w:pPr>
              <w:spacing w:after="0"/>
              <w:rPr>
                <w:sz w:val="10"/>
                <w:szCs w:val="10"/>
                <w:color w:val="auto"/>
              </w:rPr>
            </w:pPr>
          </w:p>
        </w:tc>
        <w:tc>
          <w:tcPr>
            <w:tcW w:w="110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left w:val="single" w:sz="8" w:color="CFEDF9"/>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40" w:type="dxa"/>
            <w:vAlign w:val="bottom"/>
            <w:tcBorders>
              <w:left w:val="single" w:sz="8" w:color="CFEDF9"/>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revolving loan ($780 par, due 10/2027)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10/1/2021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+ 6.75%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10.89%</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737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714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CrunchTime Information,</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($53,121 par, due 6/2028)</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6/17/2022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SOFR + 6.00%</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10.32%</w:t>
            </w:r>
          </w:p>
        </w:tc>
        <w:tc>
          <w:tcPr>
            <w:tcW w:w="130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51,969</w:t>
            </w:r>
          </w:p>
        </w:tc>
        <w:tc>
          <w:tcPr>
            <w:tcW w:w="1080" w:type="dxa"/>
            <w:vAlign w:val="bottom"/>
            <w:tcBorders>
              <w:left w:val="single" w:sz="8" w:color="CFEDF9"/>
            </w:tcBorders>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51,766</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3.9%</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Systems, Inc. </w:t>
            </w:r>
            <w:r>
              <w:rPr>
                <w:rFonts w:ascii="Times New Roman" w:cs="Times New Roman" w:eastAsia="Times New Roman" w:hAnsi="Times New Roman"/>
                <w:sz w:val="16"/>
                <w:szCs w:val="16"/>
                <w:color w:val="231F20"/>
                <w:vertAlign w:val="superscript"/>
              </w:rPr>
              <w:t>(3)(5)</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tcBorders>
              <w:left w:val="single" w:sz="8" w:color="CFEDF9"/>
            </w:tcBorders>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EDB Parent,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($56,963 par, due 7/2028)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7/7/2022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11.58%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55,607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55,539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4.1%</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Higher Logic, LLC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($55,820 par, due 1/2025)</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6/18/2018</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11.83%</w:t>
            </w: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55,506</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55,541</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4.1%</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LeanTaaS Holdings, Inc.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($27,782 par, due 7/2028)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7/12/2022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+ 7.50%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12.08%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26,906</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26,709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2.0%</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Lithium Technologies, LLC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($54,700 par, due 1/2024)</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10/3/2017</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+ 8.00%</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12.06%</w:t>
            </w: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54,651</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53,469</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4.0%</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revolving loan ($1,320 par, due 1/2024)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10/3/2017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+ 8.00%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12.06%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1,323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1,245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Lucidworks, Inc. </w:t>
            </w:r>
            <w:r>
              <w:rPr>
                <w:rFonts w:ascii="Times New Roman" w:cs="Times New Roman" w:eastAsia="Times New Roman" w:hAnsi="Times New Roman"/>
                <w:sz w:val="14"/>
                <w:szCs w:val="14"/>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($8,330 par, due 2/2027)</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2/11/2022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SOFR + 7.50%</w:t>
            </w:r>
          </w:p>
        </w:tc>
        <w:tc>
          <w:tcPr>
            <w:tcW w:w="1020" w:type="dxa"/>
            <w:vAlign w:val="bottom"/>
            <w:tcBorders>
              <w:right w:val="single" w:sz="8" w:color="CFEDF9"/>
            </w:tcBorders>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11.82% (incl.</w:t>
            </w:r>
          </w:p>
        </w:tc>
        <w:tc>
          <w:tcPr>
            <w:tcW w:w="130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8,330</w:t>
            </w:r>
          </w:p>
        </w:tc>
        <w:tc>
          <w:tcPr>
            <w:tcW w:w="1080" w:type="dxa"/>
            <w:vAlign w:val="bottom"/>
            <w:tcBorders>
              <w:left w:val="single" w:sz="8" w:color="CFEDF9"/>
            </w:tcBorders>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8,170</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0.6%</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20" w:type="dxa"/>
            <w:vAlign w:val="bottom"/>
            <w:tcBorders>
              <w:right w:val="single" w:sz="8" w:color="CFEDF9"/>
            </w:tcBorders>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3.50% PIK)</w:t>
            </w:r>
          </w:p>
        </w:tc>
        <w:tc>
          <w:tcPr>
            <w:tcW w:w="1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tcBorders>
              <w:left w:val="single" w:sz="8" w:color="CFEDF9"/>
            </w:tcBorders>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Piano Software, Inc.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($51,312 par, due 2/2026)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2/25/2021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+ 7.10%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11.42%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50,454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50,029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3.7%</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SMA Technologies Holdings,</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($36,833 par, due 10/2028)</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10/31/2022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SOFR + 6.75%</w:t>
            </w:r>
          </w:p>
        </w:tc>
        <w:tc>
          <w:tcPr>
            <w:tcW w:w="1020" w:type="dxa"/>
            <w:vAlign w:val="bottom"/>
            <w:tcBorders>
              <w:right w:val="single" w:sz="8" w:color="CFEDF9"/>
            </w:tcBorders>
            <w:gridSpan w:val="2"/>
            <w:shd w:val="clear" w:color="auto" w:fill="CFEDF9"/>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11.07%</w:t>
            </w:r>
          </w:p>
        </w:tc>
        <w:tc>
          <w:tcPr>
            <w:tcW w:w="130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35,258</w:t>
            </w:r>
          </w:p>
        </w:tc>
        <w:tc>
          <w:tcPr>
            <w:tcW w:w="1080" w:type="dxa"/>
            <w:vAlign w:val="bottom"/>
            <w:tcBorders>
              <w:left w:val="single" w:sz="8" w:color="CFEDF9"/>
            </w:tcBorders>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35,268</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2.6%</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CFEDF9"/>
            </w:tcBorders>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(3)(5)</w:t>
            </w:r>
          </w:p>
        </w:tc>
        <w:tc>
          <w:tcPr>
            <w:tcW w:w="100" w:type="dxa"/>
            <w:vAlign w:val="bottom"/>
            <w:tcBorders>
              <w:bottom w:val="single" w:sz="8" w:color="CFEDF9"/>
            </w:tcBorders>
            <w:shd w:val="clear" w:color="auto" w:fill="CFEDF9"/>
          </w:tcPr>
          <w:p>
            <w:pPr>
              <w:spacing w:after="0"/>
              <w:rPr>
                <w:sz w:val="14"/>
                <w:szCs w:val="14"/>
                <w:color w:val="auto"/>
              </w:rPr>
            </w:pPr>
          </w:p>
        </w:tc>
        <w:tc>
          <w:tcPr>
            <w:tcW w:w="2540" w:type="dxa"/>
            <w:vAlign w:val="bottom"/>
            <w:tcBorders>
              <w:bottom w:val="single" w:sz="8" w:color="CFEDF9"/>
            </w:tcBorders>
            <w:shd w:val="clear" w:color="auto" w:fill="CFEDF9"/>
          </w:tcPr>
          <w:p>
            <w:pPr>
              <w:spacing w:after="0"/>
              <w:rPr>
                <w:sz w:val="14"/>
                <w:szCs w:val="14"/>
                <w:color w:val="auto"/>
              </w:rPr>
            </w:pPr>
          </w:p>
        </w:tc>
        <w:tc>
          <w:tcPr>
            <w:tcW w:w="120" w:type="dxa"/>
            <w:vAlign w:val="bottom"/>
            <w:tcBorders>
              <w:bottom w:val="single" w:sz="8" w:color="CFEDF9"/>
            </w:tcBorders>
            <w:shd w:val="clear" w:color="auto" w:fill="CFEDF9"/>
          </w:tcPr>
          <w:p>
            <w:pPr>
              <w:spacing w:after="0"/>
              <w:rPr>
                <w:sz w:val="14"/>
                <w:szCs w:val="14"/>
                <w:color w:val="auto"/>
              </w:rPr>
            </w:pPr>
          </w:p>
        </w:tc>
        <w:tc>
          <w:tcPr>
            <w:tcW w:w="780" w:type="dxa"/>
            <w:vAlign w:val="bottom"/>
            <w:tcBorders>
              <w:bottom w:val="single" w:sz="8" w:color="CFEDF9"/>
            </w:tcBorders>
            <w:shd w:val="clear" w:color="auto" w:fill="CFEDF9"/>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FEDF9"/>
            </w:tcBorders>
            <w:shd w:val="clear" w:color="auto" w:fill="CFEDF9"/>
          </w:tcPr>
          <w:p>
            <w:pPr>
              <w:spacing w:after="0"/>
              <w:rPr>
                <w:sz w:val="14"/>
                <w:szCs w:val="14"/>
                <w:color w:val="auto"/>
              </w:rPr>
            </w:pPr>
          </w:p>
        </w:tc>
        <w:tc>
          <w:tcPr>
            <w:tcW w:w="780" w:type="dxa"/>
            <w:vAlign w:val="bottom"/>
            <w:tcBorders>
              <w:bottom w:val="single" w:sz="8" w:color="CFEDF9"/>
            </w:tcBorders>
            <w:shd w:val="clear" w:color="auto" w:fill="CFEDF9"/>
          </w:tcPr>
          <w:p>
            <w:pPr>
              <w:spacing w:after="0"/>
              <w:rPr>
                <w:sz w:val="14"/>
                <w:szCs w:val="14"/>
                <w:color w:val="auto"/>
              </w:rPr>
            </w:pPr>
          </w:p>
        </w:tc>
        <w:tc>
          <w:tcPr>
            <w:tcW w:w="220" w:type="dxa"/>
            <w:vAlign w:val="bottom"/>
            <w:tcBorders>
              <w:bottom w:val="single" w:sz="8" w:color="CFEDF9"/>
            </w:tcBorders>
            <w:shd w:val="clear" w:color="auto" w:fill="CFEDF9"/>
          </w:tcPr>
          <w:p>
            <w:pPr>
              <w:spacing w:after="0"/>
              <w:rPr>
                <w:sz w:val="14"/>
                <w:szCs w:val="14"/>
                <w:color w:val="auto"/>
              </w:rPr>
            </w:pPr>
          </w:p>
        </w:tc>
        <w:tc>
          <w:tcPr>
            <w:tcW w:w="800" w:type="dxa"/>
            <w:vAlign w:val="bottom"/>
            <w:tcBorders>
              <w:bottom w:val="single" w:sz="8" w:color="CFEDF9"/>
            </w:tcBorders>
            <w:shd w:val="clear" w:color="auto" w:fill="CFEDF9"/>
          </w:tcPr>
          <w:p>
            <w:pPr>
              <w:spacing w:after="0"/>
              <w:rPr>
                <w:sz w:val="14"/>
                <w:szCs w:val="14"/>
                <w:color w:val="auto"/>
              </w:rPr>
            </w:pPr>
          </w:p>
        </w:tc>
        <w:tc>
          <w:tcPr>
            <w:tcW w:w="220" w:type="dxa"/>
            <w:vAlign w:val="bottom"/>
            <w:tcBorders>
              <w:bottom w:val="single" w:sz="8" w:color="CFEDF9"/>
              <w:right w:val="single" w:sz="8" w:color="CFEDF9"/>
            </w:tcBorders>
            <w:shd w:val="clear" w:color="auto" w:fill="CFEDF9"/>
          </w:tcPr>
          <w:p>
            <w:pPr>
              <w:spacing w:after="0"/>
              <w:rPr>
                <w:sz w:val="14"/>
                <w:szCs w:val="14"/>
                <w:color w:val="auto"/>
              </w:rPr>
            </w:pPr>
          </w:p>
        </w:tc>
        <w:tc>
          <w:tcPr>
            <w:tcW w:w="1100" w:type="dxa"/>
            <w:vAlign w:val="bottom"/>
            <w:tcBorders>
              <w:bottom w:val="single" w:sz="8" w:color="231F20"/>
            </w:tcBorders>
            <w:shd w:val="clear" w:color="auto" w:fill="CFEDF9"/>
          </w:tcPr>
          <w:p>
            <w:pPr>
              <w:spacing w:after="0"/>
              <w:rPr>
                <w:sz w:val="14"/>
                <w:szCs w:val="14"/>
                <w:color w:val="auto"/>
              </w:rPr>
            </w:pPr>
          </w:p>
        </w:tc>
        <w:tc>
          <w:tcPr>
            <w:tcW w:w="200" w:type="dxa"/>
            <w:vAlign w:val="bottom"/>
            <w:tcBorders>
              <w:bottom w:val="single" w:sz="8" w:color="CFEDF9"/>
            </w:tcBorders>
            <w:shd w:val="clear" w:color="auto" w:fill="CFEDF9"/>
          </w:tcPr>
          <w:p>
            <w:pPr>
              <w:spacing w:after="0"/>
              <w:rPr>
                <w:sz w:val="14"/>
                <w:szCs w:val="14"/>
                <w:color w:val="auto"/>
              </w:rPr>
            </w:pPr>
          </w:p>
        </w:tc>
        <w:tc>
          <w:tcPr>
            <w:tcW w:w="880" w:type="dxa"/>
            <w:vAlign w:val="bottom"/>
            <w:tcBorders>
              <w:left w:val="single" w:sz="8" w:color="CFEDF9"/>
              <w:bottom w:val="single" w:sz="8" w:color="231F20"/>
            </w:tcBorders>
            <w:shd w:val="clear" w:color="auto" w:fill="CFEDF9"/>
          </w:tcPr>
          <w:p>
            <w:pPr>
              <w:spacing w:after="0"/>
              <w:rPr>
                <w:sz w:val="14"/>
                <w:szCs w:val="14"/>
                <w:color w:val="auto"/>
              </w:rPr>
            </w:pPr>
          </w:p>
        </w:tc>
        <w:tc>
          <w:tcPr>
            <w:tcW w:w="200" w:type="dxa"/>
            <w:vAlign w:val="bottom"/>
            <w:tcBorders>
              <w:bottom w:val="single" w:sz="8" w:color="CFEDF9"/>
            </w:tcBorders>
            <w:shd w:val="clear" w:color="auto" w:fill="CFEDF9"/>
          </w:tcPr>
          <w:p>
            <w:pPr>
              <w:spacing w:after="0"/>
              <w:rPr>
                <w:sz w:val="14"/>
                <w:szCs w:val="14"/>
                <w:color w:val="auto"/>
              </w:rPr>
            </w:pPr>
          </w:p>
        </w:tc>
        <w:tc>
          <w:tcPr>
            <w:tcW w:w="840" w:type="dxa"/>
            <w:vAlign w:val="bottom"/>
            <w:tcBorders>
              <w:left w:val="single" w:sz="8" w:color="CFEDF9"/>
              <w:bottom w:val="single" w:sz="8" w:color="231F20"/>
            </w:tcBorders>
            <w:shd w:val="clear" w:color="auto" w:fill="CFEDF9"/>
          </w:tcPr>
          <w:p>
            <w:pPr>
              <w:spacing w:after="0"/>
              <w:rPr>
                <w:sz w:val="14"/>
                <w:szCs w:val="14"/>
                <w:color w:val="auto"/>
              </w:rPr>
            </w:pPr>
          </w:p>
        </w:tc>
        <w:tc>
          <w:tcPr>
            <w:tcW w:w="120" w:type="dxa"/>
            <w:vAlign w:val="bottom"/>
            <w:tcBorders>
              <w:bottom w:val="single" w:sz="8" w:color="CFEDF9"/>
            </w:tcBorders>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372,372</w:t>
            </w:r>
          </w:p>
        </w:tc>
        <w:tc>
          <w:tcPr>
            <w:tcW w:w="20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369,758</w:t>
            </w:r>
          </w:p>
        </w:tc>
        <w:tc>
          <w:tcPr>
            <w:tcW w:w="200" w:type="dxa"/>
            <w:vAlign w:val="bottom"/>
          </w:tcPr>
          <w:p>
            <w:pPr>
              <w:spacing w:after="0"/>
              <w:rPr>
                <w:sz w:val="9"/>
                <w:szCs w:val="9"/>
                <w:color w:val="auto"/>
              </w:rPr>
            </w:pPr>
          </w:p>
        </w:tc>
        <w:tc>
          <w:tcPr>
            <w:tcW w:w="9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231F20"/>
              </w:rPr>
              <w:t>27.5%</w:t>
            </w:r>
          </w:p>
        </w:tc>
        <w:tc>
          <w:tcPr>
            <w:tcW w:w="0" w:type="dxa"/>
            <w:vAlign w:val="bottom"/>
          </w:tcPr>
          <w:p>
            <w:pPr>
              <w:spacing w:after="0"/>
              <w:rPr>
                <w:sz w:val="1"/>
                <w:szCs w:val="1"/>
                <w:color w:val="auto"/>
              </w:rPr>
            </w:pPr>
          </w:p>
        </w:tc>
      </w:tr>
      <w:tr>
        <w:trPr>
          <w:trHeight w:val="128"/>
        </w:trPr>
        <w:tc>
          <w:tcPr>
            <w:tcW w:w="1540" w:type="dxa"/>
            <w:vAlign w:val="bottom"/>
            <w:tcBorders>
              <w:top w:val="single" w:sz="8" w:color="CFEDF9"/>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Manufacturing</w:t>
            </w:r>
          </w:p>
        </w:tc>
        <w:tc>
          <w:tcPr>
            <w:tcW w:w="100" w:type="dxa"/>
            <w:vAlign w:val="bottom"/>
            <w:tcBorders>
              <w:top w:val="single" w:sz="8" w:color="CFEDF9"/>
            </w:tcBorders>
            <w:shd w:val="clear" w:color="auto" w:fill="CFEDF9"/>
          </w:tcPr>
          <w:p>
            <w:pPr>
              <w:spacing w:after="0"/>
              <w:rPr>
                <w:sz w:val="11"/>
                <w:szCs w:val="11"/>
                <w:color w:val="auto"/>
              </w:rPr>
            </w:pPr>
          </w:p>
        </w:tc>
        <w:tc>
          <w:tcPr>
            <w:tcW w:w="254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0" w:type="dxa"/>
            <w:vAlign w:val="bottom"/>
            <w:tcBorders>
              <w:top w:val="single" w:sz="8" w:color="CFEDF9"/>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tcBorders>
            <w:shd w:val="clear" w:color="auto" w:fill="CFEDF9"/>
          </w:tcPr>
          <w:p>
            <w:pPr>
              <w:spacing w:after="0"/>
              <w:rPr>
                <w:sz w:val="11"/>
                <w:szCs w:val="11"/>
                <w:color w:val="auto"/>
              </w:rPr>
            </w:pPr>
          </w:p>
        </w:tc>
        <w:tc>
          <w:tcPr>
            <w:tcW w:w="80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1100" w:type="dxa"/>
            <w:vAlign w:val="bottom"/>
            <w:tcBorders>
              <w:top w:val="single" w:sz="8" w:color="231F20"/>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80" w:type="dxa"/>
            <w:vAlign w:val="bottom"/>
            <w:tcBorders>
              <w:top w:val="single" w:sz="8" w:color="231F20"/>
              <w:left w:val="single" w:sz="8" w:color="CFEDF9"/>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40" w:type="dxa"/>
            <w:vAlign w:val="bottom"/>
            <w:tcBorders>
              <w:top w:val="single" w:sz="8" w:color="231F20"/>
              <w:left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Avalara,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($38,636 par, due 10/2028)</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231F20"/>
              </w:rPr>
              <w:t>10/19/2022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+ 7.25%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11.83%</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37,601</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37,255</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2.8%</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Office Products</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1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80" w:type="dxa"/>
            <w:vAlign w:val="bottom"/>
            <w:tcBorders>
              <w:left w:val="single" w:sz="8" w:color="CFEDF9"/>
            </w:tcBorders>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40" w:type="dxa"/>
            <w:vAlign w:val="bottom"/>
            <w:tcBorders>
              <w:left w:val="single" w:sz="8" w:color="CFEDF9"/>
            </w:tcBorders>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USR Parent, Inc.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ABL FILO term loan ($19,000 par, due 4/2027)</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231F20"/>
              </w:rPr>
              <w:t>4/25/2022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+ 6.50%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10.62%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18,634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18,478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1.4%</w:t>
            </w:r>
          </w:p>
        </w:tc>
        <w:tc>
          <w:tcPr>
            <w:tcW w:w="0" w:type="dxa"/>
            <w:vAlign w:val="bottom"/>
          </w:tcPr>
          <w:p>
            <w:pPr>
              <w:spacing w:after="0"/>
              <w:rPr>
                <w:sz w:val="1"/>
                <w:szCs w:val="1"/>
                <w:color w:val="auto"/>
              </w:rPr>
            </w:pPr>
          </w:p>
        </w:tc>
      </w:tr>
      <w:tr>
        <w:trPr>
          <w:trHeight w:val="125"/>
        </w:trPr>
        <w:tc>
          <w:tcPr>
            <w:tcW w:w="1540" w:type="dxa"/>
            <w:vAlign w:val="bottom"/>
            <w:shd w:val="clear" w:color="auto" w:fill="CFEDF9"/>
          </w:tcPr>
          <w:p>
            <w:pPr>
              <w:spacing w:after="0" w:line="125" w:lineRule="exact"/>
              <w:rPr>
                <w:sz w:val="20"/>
                <w:szCs w:val="20"/>
                <w:color w:val="auto"/>
              </w:rPr>
            </w:pPr>
            <w:r>
              <w:rPr>
                <w:rFonts w:ascii="Times New Roman" w:cs="Times New Roman" w:eastAsia="Times New Roman" w:hAnsi="Times New Roman"/>
                <w:sz w:val="12"/>
                <w:szCs w:val="12"/>
                <w:b w:val="1"/>
                <w:bCs w:val="1"/>
                <w:color w:val="231F20"/>
              </w:rPr>
              <w:t>Oil, Gas and Consumable</w:t>
            </w:r>
          </w:p>
        </w:tc>
        <w:tc>
          <w:tcPr>
            <w:tcW w:w="100" w:type="dxa"/>
            <w:vAlign w:val="bottom"/>
            <w:shd w:val="clear" w:color="auto" w:fill="CFEDF9"/>
          </w:tcPr>
          <w:p>
            <w:pPr>
              <w:spacing w:after="0"/>
              <w:rPr>
                <w:sz w:val="10"/>
                <w:szCs w:val="10"/>
                <w:color w:val="auto"/>
              </w:rPr>
            </w:pPr>
          </w:p>
        </w:tc>
        <w:tc>
          <w:tcPr>
            <w:tcW w:w="254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780" w:type="dxa"/>
            <w:vAlign w:val="bottom"/>
            <w:shd w:val="clear" w:color="auto" w:fill="CFEDF9"/>
          </w:tcPr>
          <w:p>
            <w:pPr>
              <w:spacing w:after="0"/>
              <w:rPr>
                <w:sz w:val="10"/>
                <w:szCs w:val="10"/>
                <w:color w:val="auto"/>
              </w:rPr>
            </w:pPr>
          </w:p>
        </w:tc>
        <w:tc>
          <w:tcPr>
            <w:tcW w:w="2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780" w:type="dxa"/>
            <w:vAlign w:val="bottom"/>
            <w:shd w:val="clear" w:color="auto" w:fill="CFEDF9"/>
          </w:tcPr>
          <w:p>
            <w:pPr>
              <w:spacing w:after="0"/>
              <w:rPr>
                <w:sz w:val="10"/>
                <w:szCs w:val="10"/>
                <w:color w:val="auto"/>
              </w:rPr>
            </w:pPr>
          </w:p>
        </w:tc>
        <w:tc>
          <w:tcPr>
            <w:tcW w:w="220" w:type="dxa"/>
            <w:vAlign w:val="bottom"/>
            <w:shd w:val="clear" w:color="auto" w:fill="CFEDF9"/>
          </w:tcPr>
          <w:p>
            <w:pPr>
              <w:spacing w:after="0"/>
              <w:rPr>
                <w:sz w:val="10"/>
                <w:szCs w:val="10"/>
                <w:color w:val="auto"/>
              </w:rPr>
            </w:pPr>
          </w:p>
        </w:tc>
        <w:tc>
          <w:tcPr>
            <w:tcW w:w="800" w:type="dxa"/>
            <w:vAlign w:val="bottom"/>
            <w:shd w:val="clear" w:color="auto" w:fill="CFEDF9"/>
          </w:tcPr>
          <w:p>
            <w:pPr>
              <w:spacing w:after="0"/>
              <w:rPr>
                <w:sz w:val="10"/>
                <w:szCs w:val="10"/>
                <w:color w:val="auto"/>
              </w:rPr>
            </w:pPr>
          </w:p>
        </w:tc>
        <w:tc>
          <w:tcPr>
            <w:tcW w:w="220" w:type="dxa"/>
            <w:vAlign w:val="bottom"/>
            <w:tcBorders>
              <w:right w:val="single" w:sz="8" w:color="CFEDF9"/>
            </w:tcBorders>
            <w:shd w:val="clear" w:color="auto" w:fill="CFEDF9"/>
          </w:tcPr>
          <w:p>
            <w:pPr>
              <w:spacing w:after="0"/>
              <w:rPr>
                <w:sz w:val="10"/>
                <w:szCs w:val="10"/>
                <w:color w:val="auto"/>
              </w:rPr>
            </w:pPr>
          </w:p>
        </w:tc>
        <w:tc>
          <w:tcPr>
            <w:tcW w:w="1100" w:type="dxa"/>
            <w:vAlign w:val="bottom"/>
            <w:shd w:val="clear" w:color="auto" w:fill="CFEDF9"/>
          </w:tcPr>
          <w:p>
            <w:pPr>
              <w:spacing w:after="0"/>
              <w:rPr>
                <w:sz w:val="10"/>
                <w:szCs w:val="10"/>
                <w:color w:val="auto"/>
              </w:rPr>
            </w:pPr>
          </w:p>
        </w:tc>
        <w:tc>
          <w:tcPr>
            <w:tcW w:w="200" w:type="dxa"/>
            <w:vAlign w:val="bottom"/>
            <w:shd w:val="clear" w:color="auto" w:fill="CFEDF9"/>
          </w:tcPr>
          <w:p>
            <w:pPr>
              <w:spacing w:after="0"/>
              <w:rPr>
                <w:sz w:val="10"/>
                <w:szCs w:val="10"/>
                <w:color w:val="auto"/>
              </w:rPr>
            </w:pPr>
          </w:p>
        </w:tc>
        <w:tc>
          <w:tcPr>
            <w:tcW w:w="880" w:type="dxa"/>
            <w:vAlign w:val="bottom"/>
            <w:tcBorders>
              <w:left w:val="single" w:sz="8" w:color="CFEDF9"/>
            </w:tcBorders>
            <w:shd w:val="clear" w:color="auto" w:fill="CFEDF9"/>
          </w:tcPr>
          <w:p>
            <w:pPr>
              <w:spacing w:after="0"/>
              <w:rPr>
                <w:sz w:val="10"/>
                <w:szCs w:val="10"/>
                <w:color w:val="auto"/>
              </w:rPr>
            </w:pPr>
          </w:p>
        </w:tc>
        <w:tc>
          <w:tcPr>
            <w:tcW w:w="200" w:type="dxa"/>
            <w:vAlign w:val="bottom"/>
            <w:shd w:val="clear" w:color="auto" w:fill="CFEDF9"/>
          </w:tcPr>
          <w:p>
            <w:pPr>
              <w:spacing w:after="0"/>
              <w:rPr>
                <w:sz w:val="10"/>
                <w:szCs w:val="10"/>
                <w:color w:val="auto"/>
              </w:rPr>
            </w:pPr>
          </w:p>
        </w:tc>
        <w:tc>
          <w:tcPr>
            <w:tcW w:w="840" w:type="dxa"/>
            <w:vAlign w:val="bottom"/>
            <w:tcBorders>
              <w:left w:val="single" w:sz="8" w:color="CFEDF9"/>
            </w:tcBorders>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Fuels</w:t>
            </w:r>
          </w:p>
        </w:tc>
        <w:tc>
          <w:tcPr>
            <w:tcW w:w="100" w:type="dxa"/>
            <w:vAlign w:val="bottom"/>
            <w:shd w:val="clear" w:color="auto" w:fill="CFEDF9"/>
          </w:tcPr>
          <w:p>
            <w:pPr>
              <w:spacing w:after="0"/>
              <w:rPr>
                <w:sz w:val="13"/>
                <w:szCs w:val="13"/>
                <w:color w:val="auto"/>
              </w:rPr>
            </w:pPr>
          </w:p>
        </w:tc>
        <w:tc>
          <w:tcPr>
            <w:tcW w:w="254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7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780" w:type="dxa"/>
            <w:vAlign w:val="bottom"/>
            <w:shd w:val="clear" w:color="auto" w:fill="CFEDF9"/>
          </w:tcPr>
          <w:p>
            <w:pPr>
              <w:spacing w:after="0"/>
              <w:rPr>
                <w:sz w:val="13"/>
                <w:szCs w:val="13"/>
                <w:color w:val="auto"/>
              </w:rPr>
            </w:pPr>
          </w:p>
        </w:tc>
        <w:tc>
          <w:tcPr>
            <w:tcW w:w="220" w:type="dxa"/>
            <w:vAlign w:val="bottom"/>
            <w:shd w:val="clear" w:color="auto" w:fill="CFEDF9"/>
          </w:tcPr>
          <w:p>
            <w:pPr>
              <w:spacing w:after="0"/>
              <w:rPr>
                <w:sz w:val="13"/>
                <w:szCs w:val="13"/>
                <w:color w:val="auto"/>
              </w:rPr>
            </w:pPr>
          </w:p>
        </w:tc>
        <w:tc>
          <w:tcPr>
            <w:tcW w:w="800" w:type="dxa"/>
            <w:vAlign w:val="bottom"/>
            <w:shd w:val="clear" w:color="auto" w:fill="CFEDF9"/>
          </w:tcPr>
          <w:p>
            <w:pPr>
              <w:spacing w:after="0"/>
              <w:rPr>
                <w:sz w:val="13"/>
                <w:szCs w:val="13"/>
                <w:color w:val="auto"/>
              </w:rPr>
            </w:pPr>
          </w:p>
        </w:tc>
        <w:tc>
          <w:tcPr>
            <w:tcW w:w="220" w:type="dxa"/>
            <w:vAlign w:val="bottom"/>
            <w:tcBorders>
              <w:right w:val="single" w:sz="8" w:color="CFEDF9"/>
            </w:tcBorders>
            <w:shd w:val="clear" w:color="auto" w:fill="CFEDF9"/>
          </w:tcPr>
          <w:p>
            <w:pPr>
              <w:spacing w:after="0"/>
              <w:rPr>
                <w:sz w:val="13"/>
                <w:szCs w:val="13"/>
                <w:color w:val="auto"/>
              </w:rPr>
            </w:pPr>
          </w:p>
        </w:tc>
        <w:tc>
          <w:tcPr>
            <w:tcW w:w="1100" w:type="dxa"/>
            <w:vAlign w:val="bottom"/>
            <w:shd w:val="clear" w:color="auto" w:fill="CFEDF9"/>
          </w:tcPr>
          <w:p>
            <w:pPr>
              <w:spacing w:after="0"/>
              <w:rPr>
                <w:sz w:val="13"/>
                <w:szCs w:val="13"/>
                <w:color w:val="auto"/>
              </w:rPr>
            </w:pPr>
          </w:p>
        </w:tc>
        <w:tc>
          <w:tcPr>
            <w:tcW w:w="200" w:type="dxa"/>
            <w:vAlign w:val="bottom"/>
            <w:shd w:val="clear" w:color="auto" w:fill="CFEDF9"/>
          </w:tcPr>
          <w:p>
            <w:pPr>
              <w:spacing w:after="0"/>
              <w:rPr>
                <w:sz w:val="13"/>
                <w:szCs w:val="13"/>
                <w:color w:val="auto"/>
              </w:rPr>
            </w:pPr>
          </w:p>
        </w:tc>
        <w:tc>
          <w:tcPr>
            <w:tcW w:w="880" w:type="dxa"/>
            <w:vAlign w:val="bottom"/>
            <w:tcBorders>
              <w:left w:val="single" w:sz="8" w:color="CFEDF9"/>
            </w:tcBorders>
            <w:shd w:val="clear" w:color="auto" w:fill="CFEDF9"/>
          </w:tcPr>
          <w:p>
            <w:pPr>
              <w:spacing w:after="0"/>
              <w:rPr>
                <w:sz w:val="13"/>
                <w:szCs w:val="13"/>
                <w:color w:val="auto"/>
              </w:rPr>
            </w:pPr>
          </w:p>
        </w:tc>
        <w:tc>
          <w:tcPr>
            <w:tcW w:w="200" w:type="dxa"/>
            <w:vAlign w:val="bottom"/>
            <w:shd w:val="clear" w:color="auto" w:fill="CFEDF9"/>
          </w:tcPr>
          <w:p>
            <w:pPr>
              <w:spacing w:after="0"/>
              <w:rPr>
                <w:sz w:val="13"/>
                <w:szCs w:val="13"/>
                <w:color w:val="auto"/>
              </w:rPr>
            </w:pPr>
          </w:p>
        </w:tc>
        <w:tc>
          <w:tcPr>
            <w:tcW w:w="840" w:type="dxa"/>
            <w:vAlign w:val="bottom"/>
            <w:tcBorders>
              <w:left w:val="single" w:sz="8" w:color="CFEDF9"/>
            </w:tcBorders>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Murchison Oil and Gas, LLC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($26,873 par, due 6/2026)</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231F20"/>
              </w:rPr>
              <w:t>6/30/2022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+ 8.65%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13.23%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26,345</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26,781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2.0%</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TRP Assets, LLC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($57,818 par, due 12/2025)</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12/3/2021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+ 7.76%</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12.34%</w:t>
            </w: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56,927</w:t>
            </w:r>
          </w:p>
        </w:tc>
        <w:tc>
          <w:tcPr>
            <w:tcW w:w="200" w:type="dxa"/>
            <w:vAlign w:val="bottom"/>
            <w:shd w:val="clear" w:color="auto" w:fill="CFEDF9"/>
          </w:tcPr>
          <w:p>
            <w:pPr>
              <w:spacing w:after="0"/>
              <w:rPr>
                <w:sz w:val="11"/>
                <w:szCs w:val="11"/>
                <w:color w:val="auto"/>
              </w:rPr>
            </w:pPr>
          </w:p>
        </w:tc>
        <w:tc>
          <w:tcPr>
            <w:tcW w:w="880" w:type="dxa"/>
            <w:vAlign w:val="bottom"/>
            <w:tcBorders>
              <w:lef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58,468</w:t>
            </w:r>
          </w:p>
        </w:tc>
        <w:tc>
          <w:tcPr>
            <w:tcW w:w="20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4.4%</w:t>
            </w:r>
          </w:p>
        </w:tc>
        <w:tc>
          <w:tcPr>
            <w:tcW w:w="0" w:type="dxa"/>
            <w:vAlign w:val="bottom"/>
          </w:tcPr>
          <w:p>
            <w:pPr>
              <w:spacing w:after="0"/>
              <w:rPr>
                <w:sz w:val="1"/>
                <w:szCs w:val="1"/>
                <w:color w:val="auto"/>
              </w:rPr>
            </w:pPr>
          </w:p>
        </w:tc>
      </w:tr>
      <w:tr>
        <w:trPr>
          <w:trHeight w:val="20"/>
        </w:trPr>
        <w:tc>
          <w:tcPr>
            <w:tcW w:w="1540" w:type="dxa"/>
            <w:vAlign w:val="bottom"/>
            <w:tcBorders>
              <w:top w:val="single" w:sz="8" w:color="CFEDF9"/>
            </w:tcBorders>
          </w:tcPr>
          <w:p>
            <w:pPr>
              <w:spacing w:after="0" w:line="20" w:lineRule="exact"/>
              <w:rPr>
                <w:sz w:val="1"/>
                <w:szCs w:val="1"/>
                <w:color w:val="auto"/>
              </w:rPr>
            </w:pPr>
          </w:p>
        </w:tc>
        <w:tc>
          <w:tcPr>
            <w:tcW w:w="100" w:type="dxa"/>
            <w:vAlign w:val="bottom"/>
            <w:tcBorders>
              <w:top w:val="single" w:sz="8" w:color="CFEDF9"/>
            </w:tcBorders>
          </w:tcPr>
          <w:p>
            <w:pPr>
              <w:spacing w:after="0" w:line="20" w:lineRule="exact"/>
              <w:rPr>
                <w:sz w:val="1"/>
                <w:szCs w:val="1"/>
                <w:color w:val="auto"/>
              </w:rPr>
            </w:pPr>
          </w:p>
        </w:tc>
        <w:tc>
          <w:tcPr>
            <w:tcW w:w="2540" w:type="dxa"/>
            <w:vAlign w:val="bottom"/>
            <w:tcBorders>
              <w:top w:val="single" w:sz="8" w:color="CFEDF9"/>
            </w:tcBorders>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tcBorders>
          </w:tcPr>
          <w:p>
            <w:pPr>
              <w:spacing w:after="0" w:line="20" w:lineRule="exact"/>
              <w:rPr>
                <w:sz w:val="1"/>
                <w:szCs w:val="1"/>
                <w:color w:val="auto"/>
              </w:rPr>
            </w:pPr>
          </w:p>
        </w:tc>
        <w:tc>
          <w:tcPr>
            <w:tcW w:w="80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right w:val="single" w:sz="8" w:color="231F20"/>
            </w:tcBorders>
          </w:tcPr>
          <w:p>
            <w:pPr>
              <w:spacing w:after="0" w:line="20" w:lineRule="exact"/>
              <w:rPr>
                <w:sz w:val="1"/>
                <w:szCs w:val="1"/>
                <w:color w:val="auto"/>
              </w:rPr>
            </w:pPr>
          </w:p>
        </w:tc>
        <w:tc>
          <w:tcPr>
            <w:tcW w:w="110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vMerge w:val="restart"/>
          </w:tcPr>
          <w:p>
            <w:pPr>
              <w:spacing w:after="0" w:line="20" w:lineRule="exact"/>
              <w:rPr>
                <w:sz w:val="1"/>
                <w:szCs w:val="1"/>
                <w:color w:val="auto"/>
              </w:rPr>
            </w:pPr>
          </w:p>
        </w:tc>
        <w:tc>
          <w:tcPr>
            <w:tcW w:w="88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vMerge w:val="restart"/>
          </w:tcPr>
          <w:p>
            <w:pPr>
              <w:spacing w:after="0" w:line="20" w:lineRule="exact"/>
              <w:rPr>
                <w:sz w:val="1"/>
                <w:szCs w:val="1"/>
                <w:color w:val="auto"/>
              </w:rPr>
            </w:pPr>
          </w:p>
        </w:tc>
        <w:tc>
          <w:tcPr>
            <w:tcW w:w="84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83,272</w:t>
            </w:r>
          </w:p>
        </w:tc>
        <w:tc>
          <w:tcPr>
            <w:tcW w:w="200" w:type="dxa"/>
            <w:vAlign w:val="bottom"/>
            <w:vMerge w:val="continue"/>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85,249</w:t>
            </w:r>
          </w:p>
        </w:tc>
        <w:tc>
          <w:tcPr>
            <w:tcW w:w="200" w:type="dxa"/>
            <w:vAlign w:val="bottom"/>
            <w:vMerge w:val="continue"/>
          </w:tcPr>
          <w:p>
            <w:pPr>
              <w:spacing w:after="0"/>
              <w:rPr>
                <w:sz w:val="9"/>
                <w:szCs w:val="9"/>
                <w:color w:val="auto"/>
              </w:rPr>
            </w:pPr>
          </w:p>
        </w:tc>
        <w:tc>
          <w:tcPr>
            <w:tcW w:w="9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231F20"/>
              </w:rPr>
              <w:t>6.4%</w:t>
            </w:r>
          </w:p>
        </w:tc>
        <w:tc>
          <w:tcPr>
            <w:tcW w:w="0" w:type="dxa"/>
            <w:vAlign w:val="bottom"/>
          </w:tcPr>
          <w:p>
            <w:pPr>
              <w:spacing w:after="0"/>
              <w:rPr>
                <w:sz w:val="1"/>
                <w:szCs w:val="1"/>
                <w:color w:val="auto"/>
              </w:rPr>
            </w:pPr>
          </w:p>
        </w:tc>
      </w:tr>
      <w:tr>
        <w:trPr>
          <w:trHeight w:val="128"/>
        </w:trPr>
        <w:tc>
          <w:tcPr>
            <w:tcW w:w="1540" w:type="dxa"/>
            <w:vAlign w:val="bottom"/>
            <w:tcBorders>
              <w:top w:val="single" w:sz="8" w:color="CFEDF9"/>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Other</w:t>
            </w:r>
          </w:p>
        </w:tc>
        <w:tc>
          <w:tcPr>
            <w:tcW w:w="100" w:type="dxa"/>
            <w:vAlign w:val="bottom"/>
            <w:tcBorders>
              <w:top w:val="single" w:sz="8" w:color="CFEDF9"/>
            </w:tcBorders>
            <w:shd w:val="clear" w:color="auto" w:fill="CFEDF9"/>
          </w:tcPr>
          <w:p>
            <w:pPr>
              <w:spacing w:after="0"/>
              <w:rPr>
                <w:sz w:val="11"/>
                <w:szCs w:val="11"/>
                <w:color w:val="auto"/>
              </w:rPr>
            </w:pPr>
          </w:p>
        </w:tc>
        <w:tc>
          <w:tcPr>
            <w:tcW w:w="254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0" w:type="dxa"/>
            <w:vAlign w:val="bottom"/>
            <w:tcBorders>
              <w:top w:val="single" w:sz="8" w:color="CFEDF9"/>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tcBorders>
            <w:shd w:val="clear" w:color="auto" w:fill="CFEDF9"/>
          </w:tcPr>
          <w:p>
            <w:pPr>
              <w:spacing w:after="0"/>
              <w:rPr>
                <w:sz w:val="11"/>
                <w:szCs w:val="11"/>
                <w:color w:val="auto"/>
              </w:rPr>
            </w:pPr>
          </w:p>
        </w:tc>
        <w:tc>
          <w:tcPr>
            <w:tcW w:w="80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1100" w:type="dxa"/>
            <w:vAlign w:val="bottom"/>
            <w:tcBorders>
              <w:top w:val="single" w:sz="8" w:color="231F20"/>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80" w:type="dxa"/>
            <w:vAlign w:val="bottom"/>
            <w:tcBorders>
              <w:top w:val="single" w:sz="8" w:color="231F20"/>
              <w:left w:val="single" w:sz="8" w:color="CFEDF9"/>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40" w:type="dxa"/>
            <w:vAlign w:val="bottom"/>
            <w:tcBorders>
              <w:top w:val="single" w:sz="8" w:color="231F20"/>
              <w:left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Omnigo Software,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($40,353 par, due 3/2026)</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231F20"/>
              </w:rPr>
              <w:t>3/31/2021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+ 6.60%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10.92%</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39,655</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39,445</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2.9%</w:t>
            </w:r>
          </w:p>
        </w:tc>
        <w:tc>
          <w:tcPr>
            <w:tcW w:w="0" w:type="dxa"/>
            <w:vAlign w:val="bottom"/>
          </w:tcPr>
          <w:p>
            <w:pPr>
              <w:spacing w:after="0"/>
              <w:rPr>
                <w:sz w:val="1"/>
                <w:szCs w:val="1"/>
                <w:color w:val="auto"/>
              </w:rPr>
            </w:pPr>
          </w:p>
        </w:tc>
      </w:tr>
      <w:tr>
        <w:trPr>
          <w:trHeight w:val="125"/>
        </w:trPr>
        <w:tc>
          <w:tcPr>
            <w:tcW w:w="1540" w:type="dxa"/>
            <w:vAlign w:val="bottom"/>
            <w:shd w:val="clear" w:color="auto" w:fill="CFEDF9"/>
          </w:tcPr>
          <w:p>
            <w:pPr>
              <w:spacing w:after="0" w:line="125" w:lineRule="exact"/>
              <w:rPr>
                <w:sz w:val="20"/>
                <w:szCs w:val="20"/>
                <w:color w:val="auto"/>
              </w:rPr>
            </w:pPr>
            <w:r>
              <w:rPr>
                <w:rFonts w:ascii="Times New Roman" w:cs="Times New Roman" w:eastAsia="Times New Roman" w:hAnsi="Times New Roman"/>
                <w:sz w:val="12"/>
                <w:szCs w:val="12"/>
                <w:b w:val="1"/>
                <w:bCs w:val="1"/>
                <w:color w:val="231F20"/>
              </w:rPr>
              <w:t>Retail and Consumer</w:t>
            </w:r>
          </w:p>
        </w:tc>
        <w:tc>
          <w:tcPr>
            <w:tcW w:w="100" w:type="dxa"/>
            <w:vAlign w:val="bottom"/>
            <w:shd w:val="clear" w:color="auto" w:fill="CFEDF9"/>
          </w:tcPr>
          <w:p>
            <w:pPr>
              <w:spacing w:after="0"/>
              <w:rPr>
                <w:sz w:val="10"/>
                <w:szCs w:val="10"/>
                <w:color w:val="auto"/>
              </w:rPr>
            </w:pPr>
          </w:p>
        </w:tc>
        <w:tc>
          <w:tcPr>
            <w:tcW w:w="2540" w:type="dxa"/>
            <w:vAlign w:val="bottom"/>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780" w:type="dxa"/>
            <w:vAlign w:val="bottom"/>
            <w:shd w:val="clear" w:color="auto" w:fill="CFEDF9"/>
          </w:tcPr>
          <w:p>
            <w:pPr>
              <w:spacing w:after="0"/>
              <w:rPr>
                <w:sz w:val="10"/>
                <w:szCs w:val="10"/>
                <w:color w:val="auto"/>
              </w:rPr>
            </w:pPr>
          </w:p>
        </w:tc>
        <w:tc>
          <w:tcPr>
            <w:tcW w:w="20" w:type="dxa"/>
            <w:vAlign w:val="bottom"/>
            <w:shd w:val="clear" w:color="auto" w:fill="CFEDF9"/>
          </w:tcPr>
          <w:p>
            <w:pPr>
              <w:spacing w:after="0"/>
              <w:rPr>
                <w:sz w:val="10"/>
                <w:szCs w:val="10"/>
                <w:color w:val="auto"/>
              </w:rPr>
            </w:pPr>
          </w:p>
        </w:tc>
        <w:tc>
          <w:tcPr>
            <w:tcW w:w="100" w:type="dxa"/>
            <w:vAlign w:val="bottom"/>
            <w:shd w:val="clear" w:color="auto" w:fill="CFEDF9"/>
          </w:tcPr>
          <w:p>
            <w:pPr>
              <w:spacing w:after="0"/>
              <w:rPr>
                <w:sz w:val="10"/>
                <w:szCs w:val="10"/>
                <w:color w:val="auto"/>
              </w:rPr>
            </w:pPr>
          </w:p>
        </w:tc>
        <w:tc>
          <w:tcPr>
            <w:tcW w:w="780" w:type="dxa"/>
            <w:vAlign w:val="bottom"/>
            <w:shd w:val="clear" w:color="auto" w:fill="CFEDF9"/>
          </w:tcPr>
          <w:p>
            <w:pPr>
              <w:spacing w:after="0"/>
              <w:rPr>
                <w:sz w:val="10"/>
                <w:szCs w:val="10"/>
                <w:color w:val="auto"/>
              </w:rPr>
            </w:pPr>
          </w:p>
        </w:tc>
        <w:tc>
          <w:tcPr>
            <w:tcW w:w="220" w:type="dxa"/>
            <w:vAlign w:val="bottom"/>
            <w:shd w:val="clear" w:color="auto" w:fill="CFEDF9"/>
          </w:tcPr>
          <w:p>
            <w:pPr>
              <w:spacing w:after="0"/>
              <w:rPr>
                <w:sz w:val="10"/>
                <w:szCs w:val="10"/>
                <w:color w:val="auto"/>
              </w:rPr>
            </w:pPr>
          </w:p>
        </w:tc>
        <w:tc>
          <w:tcPr>
            <w:tcW w:w="800" w:type="dxa"/>
            <w:vAlign w:val="bottom"/>
            <w:shd w:val="clear" w:color="auto" w:fill="CFEDF9"/>
          </w:tcPr>
          <w:p>
            <w:pPr>
              <w:spacing w:after="0"/>
              <w:rPr>
                <w:sz w:val="10"/>
                <w:szCs w:val="10"/>
                <w:color w:val="auto"/>
              </w:rPr>
            </w:pPr>
          </w:p>
        </w:tc>
        <w:tc>
          <w:tcPr>
            <w:tcW w:w="220" w:type="dxa"/>
            <w:vAlign w:val="bottom"/>
            <w:tcBorders>
              <w:right w:val="single" w:sz="8" w:color="CFEDF9"/>
            </w:tcBorders>
            <w:shd w:val="clear" w:color="auto" w:fill="CFEDF9"/>
          </w:tcPr>
          <w:p>
            <w:pPr>
              <w:spacing w:after="0"/>
              <w:rPr>
                <w:sz w:val="10"/>
                <w:szCs w:val="10"/>
                <w:color w:val="auto"/>
              </w:rPr>
            </w:pPr>
          </w:p>
        </w:tc>
        <w:tc>
          <w:tcPr>
            <w:tcW w:w="1100" w:type="dxa"/>
            <w:vAlign w:val="bottom"/>
            <w:shd w:val="clear" w:color="auto" w:fill="CFEDF9"/>
          </w:tcPr>
          <w:p>
            <w:pPr>
              <w:spacing w:after="0"/>
              <w:rPr>
                <w:sz w:val="10"/>
                <w:szCs w:val="10"/>
                <w:color w:val="auto"/>
              </w:rPr>
            </w:pPr>
          </w:p>
        </w:tc>
        <w:tc>
          <w:tcPr>
            <w:tcW w:w="200" w:type="dxa"/>
            <w:vAlign w:val="bottom"/>
            <w:shd w:val="clear" w:color="auto" w:fill="CFEDF9"/>
          </w:tcPr>
          <w:p>
            <w:pPr>
              <w:spacing w:after="0"/>
              <w:rPr>
                <w:sz w:val="10"/>
                <w:szCs w:val="10"/>
                <w:color w:val="auto"/>
              </w:rPr>
            </w:pPr>
          </w:p>
        </w:tc>
        <w:tc>
          <w:tcPr>
            <w:tcW w:w="880" w:type="dxa"/>
            <w:vAlign w:val="bottom"/>
            <w:tcBorders>
              <w:left w:val="single" w:sz="8" w:color="CFEDF9"/>
            </w:tcBorders>
            <w:shd w:val="clear" w:color="auto" w:fill="CFEDF9"/>
          </w:tcPr>
          <w:p>
            <w:pPr>
              <w:spacing w:after="0"/>
              <w:rPr>
                <w:sz w:val="10"/>
                <w:szCs w:val="10"/>
                <w:color w:val="auto"/>
              </w:rPr>
            </w:pPr>
          </w:p>
        </w:tc>
        <w:tc>
          <w:tcPr>
            <w:tcW w:w="200" w:type="dxa"/>
            <w:vAlign w:val="bottom"/>
            <w:shd w:val="clear" w:color="auto" w:fill="CFEDF9"/>
          </w:tcPr>
          <w:p>
            <w:pPr>
              <w:spacing w:after="0"/>
              <w:rPr>
                <w:sz w:val="10"/>
                <w:szCs w:val="10"/>
                <w:color w:val="auto"/>
              </w:rPr>
            </w:pPr>
          </w:p>
        </w:tc>
        <w:tc>
          <w:tcPr>
            <w:tcW w:w="840" w:type="dxa"/>
            <w:vAlign w:val="bottom"/>
            <w:tcBorders>
              <w:left w:val="single" w:sz="8" w:color="CFEDF9"/>
            </w:tcBorders>
            <w:shd w:val="clear" w:color="auto" w:fill="CFEDF9"/>
          </w:tcPr>
          <w:p>
            <w:pPr>
              <w:spacing w:after="0"/>
              <w:rPr>
                <w:sz w:val="10"/>
                <w:szCs w:val="10"/>
                <w:color w:val="auto"/>
              </w:rPr>
            </w:pPr>
          </w:p>
        </w:tc>
        <w:tc>
          <w:tcPr>
            <w:tcW w:w="120" w:type="dxa"/>
            <w:vAlign w:val="bottom"/>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Products</w:t>
            </w:r>
          </w:p>
        </w:tc>
        <w:tc>
          <w:tcPr>
            <w:tcW w:w="100" w:type="dxa"/>
            <w:vAlign w:val="bottom"/>
            <w:shd w:val="clear" w:color="auto" w:fill="CFEDF9"/>
          </w:tcPr>
          <w:p>
            <w:pPr>
              <w:spacing w:after="0"/>
              <w:rPr>
                <w:sz w:val="13"/>
                <w:szCs w:val="13"/>
                <w:color w:val="auto"/>
              </w:rPr>
            </w:pPr>
          </w:p>
        </w:tc>
        <w:tc>
          <w:tcPr>
            <w:tcW w:w="254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7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780" w:type="dxa"/>
            <w:vAlign w:val="bottom"/>
            <w:shd w:val="clear" w:color="auto" w:fill="CFEDF9"/>
          </w:tcPr>
          <w:p>
            <w:pPr>
              <w:spacing w:after="0"/>
              <w:rPr>
                <w:sz w:val="13"/>
                <w:szCs w:val="13"/>
                <w:color w:val="auto"/>
              </w:rPr>
            </w:pPr>
          </w:p>
        </w:tc>
        <w:tc>
          <w:tcPr>
            <w:tcW w:w="220" w:type="dxa"/>
            <w:vAlign w:val="bottom"/>
            <w:shd w:val="clear" w:color="auto" w:fill="CFEDF9"/>
          </w:tcPr>
          <w:p>
            <w:pPr>
              <w:spacing w:after="0"/>
              <w:rPr>
                <w:sz w:val="13"/>
                <w:szCs w:val="13"/>
                <w:color w:val="auto"/>
              </w:rPr>
            </w:pPr>
          </w:p>
        </w:tc>
        <w:tc>
          <w:tcPr>
            <w:tcW w:w="800" w:type="dxa"/>
            <w:vAlign w:val="bottom"/>
            <w:shd w:val="clear" w:color="auto" w:fill="CFEDF9"/>
          </w:tcPr>
          <w:p>
            <w:pPr>
              <w:spacing w:after="0"/>
              <w:rPr>
                <w:sz w:val="13"/>
                <w:szCs w:val="13"/>
                <w:color w:val="auto"/>
              </w:rPr>
            </w:pPr>
          </w:p>
        </w:tc>
        <w:tc>
          <w:tcPr>
            <w:tcW w:w="220" w:type="dxa"/>
            <w:vAlign w:val="bottom"/>
            <w:tcBorders>
              <w:right w:val="single" w:sz="8" w:color="CFEDF9"/>
            </w:tcBorders>
            <w:shd w:val="clear" w:color="auto" w:fill="CFEDF9"/>
          </w:tcPr>
          <w:p>
            <w:pPr>
              <w:spacing w:after="0"/>
              <w:rPr>
                <w:sz w:val="13"/>
                <w:szCs w:val="13"/>
                <w:color w:val="auto"/>
              </w:rPr>
            </w:pPr>
          </w:p>
        </w:tc>
        <w:tc>
          <w:tcPr>
            <w:tcW w:w="1100" w:type="dxa"/>
            <w:vAlign w:val="bottom"/>
            <w:shd w:val="clear" w:color="auto" w:fill="CFEDF9"/>
          </w:tcPr>
          <w:p>
            <w:pPr>
              <w:spacing w:after="0"/>
              <w:rPr>
                <w:sz w:val="13"/>
                <w:szCs w:val="13"/>
                <w:color w:val="auto"/>
              </w:rPr>
            </w:pPr>
          </w:p>
        </w:tc>
        <w:tc>
          <w:tcPr>
            <w:tcW w:w="200" w:type="dxa"/>
            <w:vAlign w:val="bottom"/>
            <w:shd w:val="clear" w:color="auto" w:fill="CFEDF9"/>
          </w:tcPr>
          <w:p>
            <w:pPr>
              <w:spacing w:after="0"/>
              <w:rPr>
                <w:sz w:val="13"/>
                <w:szCs w:val="13"/>
                <w:color w:val="auto"/>
              </w:rPr>
            </w:pPr>
          </w:p>
        </w:tc>
        <w:tc>
          <w:tcPr>
            <w:tcW w:w="880" w:type="dxa"/>
            <w:vAlign w:val="bottom"/>
            <w:tcBorders>
              <w:left w:val="single" w:sz="8" w:color="CFEDF9"/>
            </w:tcBorders>
            <w:shd w:val="clear" w:color="auto" w:fill="CFEDF9"/>
          </w:tcPr>
          <w:p>
            <w:pPr>
              <w:spacing w:after="0"/>
              <w:rPr>
                <w:sz w:val="13"/>
                <w:szCs w:val="13"/>
                <w:color w:val="auto"/>
              </w:rPr>
            </w:pPr>
          </w:p>
        </w:tc>
        <w:tc>
          <w:tcPr>
            <w:tcW w:w="200" w:type="dxa"/>
            <w:vAlign w:val="bottom"/>
            <w:shd w:val="clear" w:color="auto" w:fill="CFEDF9"/>
          </w:tcPr>
          <w:p>
            <w:pPr>
              <w:spacing w:after="0"/>
              <w:rPr>
                <w:sz w:val="13"/>
                <w:szCs w:val="13"/>
                <w:color w:val="auto"/>
              </w:rPr>
            </w:pPr>
          </w:p>
        </w:tc>
        <w:tc>
          <w:tcPr>
            <w:tcW w:w="840" w:type="dxa"/>
            <w:vAlign w:val="bottom"/>
            <w:tcBorders>
              <w:left w:val="single" w:sz="8" w:color="CFEDF9"/>
            </w:tcBorders>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99 Cents Only Stores LLC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ABL FILO term loan ($25,000 par, due 5/2025)</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231F20"/>
              </w:rPr>
              <w:t>9/6/2017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+ 8.50%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13.23%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24,782</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25,063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1.9%</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American Achievement, Corp.</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First-lien loan ($27,171 par, due 9/2026)</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9/30/2015</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+ 6.25%</w:t>
            </w:r>
          </w:p>
        </w:tc>
        <w:tc>
          <w:tcPr>
            <w:tcW w:w="1020" w:type="dxa"/>
            <w:vAlign w:val="bottom"/>
            <w:tcBorders>
              <w:right w:val="single" w:sz="8" w:color="CFEDF9"/>
            </w:tcBorders>
            <w:gridSpan w:val="2"/>
            <w:shd w:val="clear" w:color="auto" w:fill="CFEDF9"/>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10.38% (incl.</w:t>
            </w:r>
          </w:p>
        </w:tc>
        <w:tc>
          <w:tcPr>
            <w:tcW w:w="130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26,339</w:t>
            </w:r>
          </w:p>
        </w:tc>
        <w:tc>
          <w:tcPr>
            <w:tcW w:w="1080" w:type="dxa"/>
            <w:vAlign w:val="bottom"/>
            <w:tcBorders>
              <w:left w:val="single" w:sz="8" w:color="CFEDF9"/>
            </w:tcBorders>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20,922</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1.6%</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8"/>
                <w:szCs w:val="8"/>
                <w:color w:val="231F20"/>
              </w:rPr>
              <w:t>(3)</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20" w:type="dxa"/>
            <w:vAlign w:val="bottom"/>
            <w:tcBorders>
              <w:right w:val="single" w:sz="8" w:color="CFEDF9"/>
            </w:tcBorders>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9.88% PIK)</w:t>
            </w:r>
          </w:p>
        </w:tc>
        <w:tc>
          <w:tcPr>
            <w:tcW w:w="1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tcBorders>
              <w:left w:val="single" w:sz="8" w:color="CFEDF9"/>
            </w:tcBorders>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First-lien loan ($1,363 par, due 9/2026) </w:t>
            </w:r>
            <w:r>
              <w:rPr>
                <w:rFonts w:ascii="Times New Roman" w:cs="Times New Roman" w:eastAsia="Times New Roman" w:hAnsi="Times New Roman"/>
                <w:sz w:val="14"/>
                <w:szCs w:val="14"/>
                <w:color w:val="231F20"/>
                <w:vertAlign w:val="superscript"/>
              </w:rPr>
              <w:t>(15)</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6/10/2021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+ 14.00%</w:t>
            </w:r>
          </w:p>
        </w:tc>
        <w:tc>
          <w:tcPr>
            <w:tcW w:w="102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18.13% (incl.</w:t>
            </w:r>
          </w:p>
        </w:tc>
        <w:tc>
          <w:tcPr>
            <w:tcW w:w="130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1,362</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78</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17.63% PIK)</w:t>
            </w: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Subordinated note ($4,740 par, due 9/2026) </w:t>
            </w:r>
            <w:r>
              <w:rPr>
                <w:rFonts w:ascii="Times New Roman" w:cs="Times New Roman" w:eastAsia="Times New Roman" w:hAnsi="Times New Roman"/>
                <w:sz w:val="15"/>
                <w:szCs w:val="15"/>
                <w:color w:val="231F20"/>
                <w:vertAlign w:val="superscript"/>
              </w:rPr>
              <w:t>(15)</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3/16/2021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+ 1.00%</w:t>
            </w:r>
          </w:p>
        </w:tc>
        <w:tc>
          <w:tcPr>
            <w:tcW w:w="1020" w:type="dxa"/>
            <w:vAlign w:val="bottom"/>
            <w:tcBorders>
              <w:right w:val="single" w:sz="8" w:color="CFEDF9"/>
            </w:tcBorders>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4.75% PIK</w:t>
            </w: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545</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71</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Bed Bath and Beyond Inc. </w:t>
            </w:r>
            <w:r>
              <w:rPr>
                <w:rFonts w:ascii="Times New Roman" w:cs="Times New Roman" w:eastAsia="Times New Roman" w:hAnsi="Times New Roman"/>
                <w:sz w:val="15"/>
                <w:szCs w:val="15"/>
                <w:color w:val="231F20"/>
                <w:vertAlign w:val="superscript"/>
              </w:rPr>
              <w:t>(3)</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ABL FILO term loan ($55,000 par, due 8/2027)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9/2/2022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SOFR + 7.90%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12.30%</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53,696</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53,900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4.0%</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Cordance Operations, LLC </w:t>
            </w:r>
            <w:r>
              <w:rPr>
                <w:rFonts w:ascii="Times New Roman" w:cs="Times New Roman" w:eastAsia="Times New Roman" w:hAnsi="Times New Roman"/>
                <w:sz w:val="15"/>
                <w:szCs w:val="15"/>
                <w:color w:val="231F20"/>
                <w:vertAlign w:val="superscript"/>
              </w:rPr>
              <w:t>(3)</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($32,907 par, due 7/2028)</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7/25/2022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SOFR + 8.75%</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13.27%</w:t>
            </w: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32,091</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32,135</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2.4%</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Neuintel, LLC </w:t>
            </w:r>
            <w:r>
              <w:rPr>
                <w:rFonts w:ascii="Times New Roman" w:cs="Times New Roman" w:eastAsia="Times New Roman" w:hAnsi="Times New Roman"/>
                <w:sz w:val="15"/>
                <w:szCs w:val="15"/>
                <w:color w:val="231F20"/>
                <w:vertAlign w:val="superscript"/>
              </w:rPr>
              <w:t>(3)(5)</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First-lien loan ($56,400 par, due 12/2026)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12/20/2021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31F20"/>
              </w:rPr>
              <w:t>L + 6.25%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231F20"/>
              </w:rPr>
              <w:t>10.76%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55,414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55,272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4.1%</w:t>
            </w:r>
          </w:p>
        </w:tc>
        <w:tc>
          <w:tcPr>
            <w:tcW w:w="0" w:type="dxa"/>
            <w:vAlign w:val="bottom"/>
          </w:tcPr>
          <w:p>
            <w:pPr>
              <w:spacing w:after="0"/>
              <w:rPr>
                <w:sz w:val="1"/>
                <w:szCs w:val="1"/>
                <w:color w:val="auto"/>
              </w:rPr>
            </w:pPr>
          </w:p>
        </w:tc>
      </w:tr>
      <w:tr>
        <w:trPr>
          <w:trHeight w:val="132"/>
        </w:trPr>
        <w:tc>
          <w:tcPr>
            <w:tcW w:w="1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Project P Intermediate 2, LLC</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ABL FILO term loan ($73,125 par, due 5/2026)</w:t>
            </w:r>
          </w:p>
        </w:tc>
        <w:tc>
          <w:tcPr>
            <w:tcW w:w="9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11/8/2021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line="133" w:lineRule="exact"/>
              <w:rPr>
                <w:sz w:val="20"/>
                <w:szCs w:val="20"/>
                <w:color w:val="auto"/>
              </w:rPr>
            </w:pPr>
            <w:r>
              <w:rPr>
                <w:rFonts w:ascii="Times New Roman" w:cs="Times New Roman" w:eastAsia="Times New Roman" w:hAnsi="Times New Roman"/>
                <w:sz w:val="12"/>
                <w:szCs w:val="12"/>
                <w:color w:val="231F20"/>
              </w:rPr>
              <w:t>L + 8.00%</w:t>
            </w:r>
          </w:p>
        </w:tc>
        <w:tc>
          <w:tcPr>
            <w:tcW w:w="1020" w:type="dxa"/>
            <w:vAlign w:val="bottom"/>
            <w:tcBorders>
              <w:right w:val="single" w:sz="8" w:color="CFEDF9"/>
            </w:tcBorders>
            <w:gridSpan w:val="2"/>
            <w:shd w:val="clear" w:color="auto" w:fill="CFEDF9"/>
          </w:tcPr>
          <w:p>
            <w:pPr>
              <w:jc w:val="right"/>
              <w:ind w:right="120"/>
              <w:spacing w:after="0" w:line="133" w:lineRule="exact"/>
              <w:rPr>
                <w:sz w:val="20"/>
                <w:szCs w:val="20"/>
                <w:color w:val="auto"/>
              </w:rPr>
            </w:pPr>
            <w:r>
              <w:rPr>
                <w:rFonts w:ascii="Times New Roman" w:cs="Times New Roman" w:eastAsia="Times New Roman" w:hAnsi="Times New Roman"/>
                <w:sz w:val="12"/>
                <w:szCs w:val="12"/>
                <w:color w:val="231F20"/>
              </w:rPr>
              <w:t>12.41%</w:t>
            </w:r>
          </w:p>
        </w:tc>
        <w:tc>
          <w:tcPr>
            <w:tcW w:w="130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71,976</w:t>
            </w:r>
          </w:p>
        </w:tc>
        <w:tc>
          <w:tcPr>
            <w:tcW w:w="1080" w:type="dxa"/>
            <w:vAlign w:val="bottom"/>
            <w:tcBorders>
              <w:left w:val="single" w:sz="8" w:color="CFEDF9"/>
            </w:tcBorders>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72,943</w:t>
            </w:r>
          </w:p>
        </w:tc>
        <w:tc>
          <w:tcPr>
            <w:tcW w:w="960" w:type="dxa"/>
            <w:vAlign w:val="bottom"/>
            <w:tcBorders>
              <w:left w:val="single" w:sz="8" w:color="CFEDF9"/>
            </w:tcBorders>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5.4%</w:t>
            </w:r>
          </w:p>
        </w:tc>
        <w:tc>
          <w:tcPr>
            <w:tcW w:w="0" w:type="dxa"/>
            <w:vAlign w:val="bottom"/>
          </w:tcPr>
          <w:p>
            <w:pPr>
              <w:spacing w:after="0"/>
              <w:rPr>
                <w:sz w:val="1"/>
                <w:szCs w:val="1"/>
                <w:color w:val="auto"/>
              </w:rPr>
            </w:pPr>
          </w:p>
        </w:tc>
      </w:tr>
      <w:tr>
        <w:trPr>
          <w:trHeight w:val="124"/>
        </w:trPr>
        <w:tc>
          <w:tcPr>
            <w:tcW w:w="15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(3)</w:t>
            </w:r>
          </w:p>
        </w:tc>
        <w:tc>
          <w:tcPr>
            <w:tcW w:w="100" w:type="dxa"/>
            <w:vAlign w:val="bottom"/>
            <w:tcBorders>
              <w:bottom w:val="single" w:sz="8" w:color="CFEDF9"/>
            </w:tcBorders>
            <w:shd w:val="clear" w:color="auto" w:fill="CFEDF9"/>
          </w:tcPr>
          <w:p>
            <w:pPr>
              <w:spacing w:after="0"/>
              <w:rPr>
                <w:sz w:val="10"/>
                <w:szCs w:val="10"/>
                <w:color w:val="auto"/>
              </w:rPr>
            </w:pPr>
          </w:p>
        </w:tc>
        <w:tc>
          <w:tcPr>
            <w:tcW w:w="254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tcBorders>
            <w:shd w:val="clear" w:color="auto" w:fill="CFEDF9"/>
          </w:tcPr>
          <w:p>
            <w:pPr>
              <w:spacing w:after="0"/>
              <w:rPr>
                <w:sz w:val="10"/>
                <w:szCs w:val="10"/>
                <w:color w:val="auto"/>
              </w:rPr>
            </w:pPr>
          </w:p>
        </w:tc>
        <w:tc>
          <w:tcPr>
            <w:tcW w:w="80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right w:val="single" w:sz="8" w:color="CFEDF9"/>
            </w:tcBorders>
            <w:shd w:val="clear" w:color="auto" w:fill="CFEDF9"/>
          </w:tcPr>
          <w:p>
            <w:pPr>
              <w:spacing w:after="0"/>
              <w:rPr>
                <w:sz w:val="10"/>
                <w:szCs w:val="10"/>
                <w:color w:val="auto"/>
              </w:rPr>
            </w:pPr>
          </w:p>
        </w:tc>
        <w:tc>
          <w:tcPr>
            <w:tcW w:w="110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left w:val="single" w:sz="8" w:color="CFEDF9"/>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40" w:type="dxa"/>
            <w:vAlign w:val="bottom"/>
            <w:tcBorders>
              <w:left w:val="single" w:sz="8" w:color="CFEDF9"/>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Tango Management</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First-lien loan ($44,674 par, due 12/2027)</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12/1/2021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231F20"/>
              </w:rPr>
              <w:t>L + 6.75%</w:t>
            </w:r>
          </w:p>
        </w:tc>
        <w:tc>
          <w:tcPr>
            <w:tcW w:w="102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10.49%</w:t>
            </w:r>
          </w:p>
        </w:tc>
        <w:tc>
          <w:tcPr>
            <w:tcW w:w="130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43,752</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42,997</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3.2%</w:t>
            </w:r>
          </w:p>
        </w:tc>
        <w:tc>
          <w:tcPr>
            <w:tcW w:w="0" w:type="dxa"/>
            <w:vAlign w:val="bottom"/>
          </w:tcPr>
          <w:p>
            <w:pPr>
              <w:spacing w:after="0"/>
              <w:rPr>
                <w:sz w:val="1"/>
                <w:szCs w:val="1"/>
                <w:color w:val="auto"/>
              </w:rPr>
            </w:pPr>
          </w:p>
        </w:tc>
      </w:tr>
      <w:tr>
        <w:trPr>
          <w:trHeight w:val="149"/>
        </w:trPr>
        <w:tc>
          <w:tcPr>
            <w:tcW w:w="1540" w:type="dxa"/>
            <w:vAlign w:val="bottom"/>
            <w:tcBorders>
              <w:bottom w:val="single" w:sz="8" w:color="CFEDF9"/>
            </w:tcBorders>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Consulting, LLC </w:t>
            </w:r>
            <w:r>
              <w:rPr>
                <w:rFonts w:ascii="Times New Roman" w:cs="Times New Roman" w:eastAsia="Times New Roman" w:hAnsi="Times New Roman"/>
                <w:sz w:val="16"/>
                <w:szCs w:val="16"/>
                <w:color w:val="231F20"/>
                <w:vertAlign w:val="superscript"/>
              </w:rPr>
              <w:t>(3)(5)</w:t>
            </w:r>
          </w:p>
        </w:tc>
        <w:tc>
          <w:tcPr>
            <w:tcW w:w="100" w:type="dxa"/>
            <w:vAlign w:val="bottom"/>
            <w:tcBorders>
              <w:bottom w:val="single" w:sz="8" w:color="CFEDF9"/>
            </w:tcBorders>
          </w:tcPr>
          <w:p>
            <w:pPr>
              <w:spacing w:after="0"/>
              <w:rPr>
                <w:sz w:val="12"/>
                <w:szCs w:val="12"/>
                <w:color w:val="auto"/>
              </w:rPr>
            </w:pPr>
          </w:p>
        </w:tc>
        <w:tc>
          <w:tcPr>
            <w:tcW w:w="254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780" w:type="dxa"/>
            <w:vAlign w:val="bottom"/>
            <w:tcBorders>
              <w:bottom w:val="single" w:sz="8" w:color="CFEDF9"/>
            </w:tcBorders>
          </w:tcPr>
          <w:p>
            <w:pPr>
              <w:spacing w:after="0"/>
              <w:rPr>
                <w:sz w:val="12"/>
                <w:szCs w:val="12"/>
                <w:color w:val="auto"/>
              </w:rPr>
            </w:pPr>
          </w:p>
        </w:tc>
        <w:tc>
          <w:tcPr>
            <w:tcW w:w="20" w:type="dxa"/>
            <w:vAlign w:val="bottom"/>
            <w:tcBorders>
              <w:bottom w:val="single" w:sz="8" w:color="CFEDF9"/>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780" w:type="dxa"/>
            <w:vAlign w:val="bottom"/>
            <w:tcBorders>
              <w:bottom w:val="single" w:sz="8" w:color="CFEDF9"/>
            </w:tcBorders>
          </w:tcPr>
          <w:p>
            <w:pPr>
              <w:spacing w:after="0"/>
              <w:rPr>
                <w:sz w:val="12"/>
                <w:szCs w:val="12"/>
                <w:color w:val="auto"/>
              </w:rPr>
            </w:pPr>
          </w:p>
        </w:tc>
        <w:tc>
          <w:tcPr>
            <w:tcW w:w="220" w:type="dxa"/>
            <w:vAlign w:val="bottom"/>
            <w:tcBorders>
              <w:bottom w:val="single" w:sz="8" w:color="CFEDF9"/>
            </w:tcBorders>
          </w:tcPr>
          <w:p>
            <w:pPr>
              <w:spacing w:after="0"/>
              <w:rPr>
                <w:sz w:val="12"/>
                <w:szCs w:val="12"/>
                <w:color w:val="auto"/>
              </w:rPr>
            </w:pPr>
          </w:p>
        </w:tc>
        <w:tc>
          <w:tcPr>
            <w:tcW w:w="800" w:type="dxa"/>
            <w:vAlign w:val="bottom"/>
            <w:tcBorders>
              <w:bottom w:val="single" w:sz="8" w:color="CFEDF9"/>
            </w:tcBorders>
          </w:tcPr>
          <w:p>
            <w:pPr>
              <w:spacing w:after="0"/>
              <w:rPr>
                <w:sz w:val="12"/>
                <w:szCs w:val="12"/>
                <w:color w:val="auto"/>
              </w:rPr>
            </w:pPr>
          </w:p>
        </w:tc>
        <w:tc>
          <w:tcPr>
            <w:tcW w:w="220" w:type="dxa"/>
            <w:vAlign w:val="bottom"/>
            <w:tcBorders>
              <w:bottom w:val="single" w:sz="8" w:color="CFEDF9"/>
            </w:tcBorders>
          </w:tcPr>
          <w:p>
            <w:pPr>
              <w:spacing w:after="0"/>
              <w:rPr>
                <w:sz w:val="12"/>
                <w:szCs w:val="12"/>
                <w:color w:val="auto"/>
              </w:rPr>
            </w:pPr>
          </w:p>
        </w:tc>
        <w:tc>
          <w:tcPr>
            <w:tcW w:w="1100" w:type="dxa"/>
            <w:vAlign w:val="bottom"/>
            <w:tcBorders>
              <w:bottom w:val="single" w:sz="8" w:color="231F20"/>
            </w:tcBorders>
          </w:tcPr>
          <w:p>
            <w:pPr>
              <w:spacing w:after="0"/>
              <w:rPr>
                <w:sz w:val="12"/>
                <w:szCs w:val="12"/>
                <w:color w:val="auto"/>
              </w:rPr>
            </w:pPr>
          </w:p>
        </w:tc>
        <w:tc>
          <w:tcPr>
            <w:tcW w:w="200" w:type="dxa"/>
            <w:vAlign w:val="bottom"/>
            <w:tcBorders>
              <w:bottom w:val="single" w:sz="8" w:color="CFEDF9"/>
            </w:tcBorders>
          </w:tcPr>
          <w:p>
            <w:pPr>
              <w:spacing w:after="0"/>
              <w:rPr>
                <w:sz w:val="12"/>
                <w:szCs w:val="12"/>
                <w:color w:val="auto"/>
              </w:rPr>
            </w:pPr>
          </w:p>
        </w:tc>
        <w:tc>
          <w:tcPr>
            <w:tcW w:w="880" w:type="dxa"/>
            <w:vAlign w:val="bottom"/>
            <w:tcBorders>
              <w:bottom w:val="single" w:sz="8" w:color="231F20"/>
            </w:tcBorders>
          </w:tcPr>
          <w:p>
            <w:pPr>
              <w:spacing w:after="0"/>
              <w:rPr>
                <w:sz w:val="12"/>
                <w:szCs w:val="12"/>
                <w:color w:val="auto"/>
              </w:rPr>
            </w:pPr>
          </w:p>
        </w:tc>
        <w:tc>
          <w:tcPr>
            <w:tcW w:w="200" w:type="dxa"/>
            <w:vAlign w:val="bottom"/>
            <w:tcBorders>
              <w:bottom w:val="single" w:sz="8" w:color="CFEDF9"/>
            </w:tcBorders>
          </w:tcPr>
          <w:p>
            <w:pPr>
              <w:spacing w:after="0"/>
              <w:rPr>
                <w:sz w:val="12"/>
                <w:szCs w:val="12"/>
                <w:color w:val="auto"/>
              </w:rPr>
            </w:pPr>
          </w:p>
        </w:tc>
        <w:tc>
          <w:tcPr>
            <w:tcW w:w="840" w:type="dxa"/>
            <w:vAlign w:val="bottom"/>
            <w:tcBorders>
              <w:bottom w:val="single" w:sz="8" w:color="231F2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10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309,957</w:t>
            </w:r>
          </w:p>
        </w:tc>
        <w:tc>
          <w:tcPr>
            <w:tcW w:w="200" w:type="dxa"/>
            <w:vAlign w:val="bottom"/>
            <w:shd w:val="clear" w:color="auto" w:fill="CFEDF9"/>
          </w:tcPr>
          <w:p>
            <w:pPr>
              <w:spacing w:after="0"/>
              <w:rPr>
                <w:sz w:val="11"/>
                <w:szCs w:val="11"/>
                <w:color w:val="auto"/>
              </w:rPr>
            </w:pPr>
          </w:p>
        </w:tc>
        <w:tc>
          <w:tcPr>
            <w:tcW w:w="880" w:type="dxa"/>
            <w:vAlign w:val="bottom"/>
            <w:tcBorders>
              <w:lef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303,381</w:t>
            </w:r>
          </w:p>
        </w:tc>
        <w:tc>
          <w:tcPr>
            <w:tcW w:w="20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22.6%</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Transportation</w:t>
            </w: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Project44, Inc. </w:t>
            </w:r>
            <w:r>
              <w:rPr>
                <w:rFonts w:ascii="Times New Roman" w:cs="Times New Roman" w:eastAsia="Times New Roman" w:hAnsi="Times New Roman"/>
                <w:sz w:val="15"/>
                <w:szCs w:val="15"/>
                <w:color w:val="231F20"/>
                <w:vertAlign w:val="superscript"/>
              </w:rPr>
              <w:t>(3)(5)</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First-lien loan ($35,139 par, due 11/2027)</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11/12/2021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jc w:val="right"/>
              <w:ind w:right="220"/>
              <w:spacing w:after="0"/>
              <w:rPr>
                <w:sz w:val="20"/>
                <w:szCs w:val="20"/>
                <w:color w:val="auto"/>
              </w:rPr>
            </w:pPr>
            <w:r>
              <w:rPr>
                <w:rFonts w:ascii="Times New Roman" w:cs="Times New Roman" w:eastAsia="Times New Roman" w:hAnsi="Times New Roman"/>
                <w:sz w:val="12"/>
                <w:szCs w:val="12"/>
                <w:color w:val="231F20"/>
              </w:rPr>
              <w:t>L + 6.25%</w:t>
            </w:r>
          </w:p>
        </w:tc>
        <w:tc>
          <w:tcPr>
            <w:tcW w:w="1020" w:type="dxa"/>
            <w:vAlign w:val="bottom"/>
            <w:tcBorders>
              <w:right w:val="single" w:sz="8" w:color="CFEDF9"/>
            </w:tcBorders>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2"/>
                <w:szCs w:val="12"/>
                <w:color w:val="231F20"/>
              </w:rPr>
              <w:t>11.41%</w:t>
            </w: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34,043</w:t>
            </w:r>
          </w:p>
        </w:tc>
        <w:tc>
          <w:tcPr>
            <w:tcW w:w="200" w:type="dxa"/>
            <w:vAlign w:val="bottom"/>
            <w:shd w:val="clear" w:color="auto" w:fill="CFEDF9"/>
          </w:tcPr>
          <w:p>
            <w:pPr>
              <w:spacing w:after="0"/>
              <w:rPr>
                <w:sz w:val="11"/>
                <w:szCs w:val="11"/>
                <w:color w:val="auto"/>
              </w:rPr>
            </w:pPr>
          </w:p>
        </w:tc>
        <w:tc>
          <w:tcPr>
            <w:tcW w:w="880" w:type="dxa"/>
            <w:vAlign w:val="bottom"/>
            <w:tcBorders>
              <w:lef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33,901</w:t>
            </w:r>
          </w:p>
        </w:tc>
        <w:tc>
          <w:tcPr>
            <w:tcW w:w="20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2.5%</w:t>
            </w:r>
          </w:p>
        </w:tc>
        <w:tc>
          <w:tcPr>
            <w:tcW w:w="0" w:type="dxa"/>
            <w:vAlign w:val="bottom"/>
          </w:tcPr>
          <w:p>
            <w:pPr>
              <w:spacing w:after="0"/>
              <w:rPr>
                <w:sz w:val="1"/>
                <w:szCs w:val="1"/>
                <w:color w:val="auto"/>
              </w:rPr>
            </w:pPr>
          </w:p>
        </w:tc>
      </w:tr>
      <w:tr>
        <w:trPr>
          <w:trHeight w:val="20"/>
        </w:trPr>
        <w:tc>
          <w:tcPr>
            <w:tcW w:w="1540" w:type="dxa"/>
            <w:vAlign w:val="bottom"/>
            <w:tcBorders>
              <w:top w:val="single" w:sz="8" w:color="CFEDF9"/>
            </w:tcBorders>
            <w:vMerge w:val="restart"/>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Total Debt Investments</w:t>
            </w:r>
          </w:p>
        </w:tc>
        <w:tc>
          <w:tcPr>
            <w:tcW w:w="100" w:type="dxa"/>
            <w:vAlign w:val="bottom"/>
            <w:tcBorders>
              <w:top w:val="single" w:sz="8" w:color="CFEDF9"/>
            </w:tcBorders>
          </w:tcPr>
          <w:p>
            <w:pPr>
              <w:spacing w:after="0" w:line="20" w:lineRule="exact"/>
              <w:rPr>
                <w:sz w:val="1"/>
                <w:szCs w:val="1"/>
                <w:color w:val="auto"/>
              </w:rPr>
            </w:pPr>
          </w:p>
        </w:tc>
        <w:tc>
          <w:tcPr>
            <w:tcW w:w="2540" w:type="dxa"/>
            <w:vAlign w:val="bottom"/>
            <w:tcBorders>
              <w:top w:val="single" w:sz="8" w:color="CFEDF9"/>
            </w:tcBorders>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tcBorders>
          </w:tcPr>
          <w:p>
            <w:pPr>
              <w:spacing w:after="0" w:line="20" w:lineRule="exact"/>
              <w:rPr>
                <w:sz w:val="1"/>
                <w:szCs w:val="1"/>
                <w:color w:val="auto"/>
              </w:rPr>
            </w:pPr>
          </w:p>
        </w:tc>
        <w:tc>
          <w:tcPr>
            <w:tcW w:w="80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right w:val="single" w:sz="8" w:color="231F20"/>
            </w:tcBorders>
          </w:tcPr>
          <w:p>
            <w:pPr>
              <w:spacing w:after="0" w:line="20" w:lineRule="exact"/>
              <w:rPr>
                <w:sz w:val="1"/>
                <w:szCs w:val="1"/>
                <w:color w:val="auto"/>
              </w:rPr>
            </w:pPr>
          </w:p>
        </w:tc>
        <w:tc>
          <w:tcPr>
            <w:tcW w:w="110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vMerge w:val="restart"/>
          </w:tcPr>
          <w:p>
            <w:pPr>
              <w:spacing w:after="0" w:line="20" w:lineRule="exact"/>
              <w:rPr>
                <w:sz w:val="1"/>
                <w:szCs w:val="1"/>
                <w:color w:val="auto"/>
              </w:rPr>
            </w:pPr>
          </w:p>
        </w:tc>
        <w:tc>
          <w:tcPr>
            <w:tcW w:w="88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vMerge w:val="restart"/>
          </w:tcPr>
          <w:p>
            <w:pPr>
              <w:spacing w:after="0" w:line="20" w:lineRule="exact"/>
              <w:rPr>
                <w:sz w:val="1"/>
                <w:szCs w:val="1"/>
                <w:color w:val="auto"/>
              </w:rPr>
            </w:pPr>
          </w:p>
        </w:tc>
        <w:tc>
          <w:tcPr>
            <w:tcW w:w="84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2,579,557</w:t>
            </w:r>
          </w:p>
        </w:tc>
        <w:tc>
          <w:tcPr>
            <w:tcW w:w="200" w:type="dxa"/>
            <w:vAlign w:val="bottom"/>
            <w:vMerge w:val="continue"/>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2,568,814</w:t>
            </w:r>
          </w:p>
        </w:tc>
        <w:tc>
          <w:tcPr>
            <w:tcW w:w="200" w:type="dxa"/>
            <w:vAlign w:val="bottom"/>
            <w:vMerge w:val="continue"/>
          </w:tcPr>
          <w:p>
            <w:pPr>
              <w:spacing w:after="0"/>
              <w:rPr>
                <w:sz w:val="9"/>
                <w:szCs w:val="9"/>
                <w:color w:val="auto"/>
              </w:rPr>
            </w:pPr>
          </w:p>
        </w:tc>
        <w:tc>
          <w:tcPr>
            <w:tcW w:w="9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231F20"/>
              </w:rPr>
              <w:t>188.1%</w:t>
            </w:r>
          </w:p>
        </w:tc>
        <w:tc>
          <w:tcPr>
            <w:tcW w:w="0" w:type="dxa"/>
            <w:vAlign w:val="bottom"/>
          </w:tcPr>
          <w:p>
            <w:pPr>
              <w:spacing w:after="0"/>
              <w:rPr>
                <w:sz w:val="1"/>
                <w:szCs w:val="1"/>
                <w:color w:val="auto"/>
              </w:rPr>
            </w:pPr>
          </w:p>
        </w:tc>
      </w:tr>
      <w:tr>
        <w:trPr>
          <w:trHeight w:val="128"/>
        </w:trPr>
        <w:tc>
          <w:tcPr>
            <w:tcW w:w="1540" w:type="dxa"/>
            <w:vAlign w:val="bottom"/>
            <w:tcBorders>
              <w:top w:val="single" w:sz="8" w:color="CFEDF9"/>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254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0" w:type="dxa"/>
            <w:vAlign w:val="bottom"/>
            <w:tcBorders>
              <w:top w:val="single" w:sz="8" w:color="CFEDF9"/>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tcBorders>
            <w:shd w:val="clear" w:color="auto" w:fill="CFEDF9"/>
          </w:tcPr>
          <w:p>
            <w:pPr>
              <w:spacing w:after="0"/>
              <w:rPr>
                <w:sz w:val="11"/>
                <w:szCs w:val="11"/>
                <w:color w:val="auto"/>
              </w:rPr>
            </w:pPr>
          </w:p>
        </w:tc>
        <w:tc>
          <w:tcPr>
            <w:tcW w:w="80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1100" w:type="dxa"/>
            <w:vAlign w:val="bottom"/>
            <w:tcBorders>
              <w:top w:val="single" w:sz="8" w:color="231F20"/>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80" w:type="dxa"/>
            <w:vAlign w:val="bottom"/>
            <w:tcBorders>
              <w:top w:val="single" w:sz="8" w:color="231F20"/>
              <w:left w:val="single" w:sz="8" w:color="CFEDF9"/>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40" w:type="dxa"/>
            <w:vAlign w:val="bottom"/>
            <w:tcBorders>
              <w:top w:val="single" w:sz="8" w:color="231F20"/>
              <w:left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40" w:type="dxa"/>
            <w:vAlign w:val="bottom"/>
          </w:tcPr>
          <w:p>
            <w:pPr>
              <w:spacing w:after="0" w:line="125" w:lineRule="exact"/>
              <w:rPr>
                <w:sz w:val="20"/>
                <w:szCs w:val="20"/>
                <w:color w:val="auto"/>
              </w:rPr>
            </w:pPr>
            <w:r>
              <w:rPr>
                <w:rFonts w:ascii="Times New Roman" w:cs="Times New Roman" w:eastAsia="Times New Roman" w:hAnsi="Times New Roman"/>
                <w:sz w:val="12"/>
                <w:szCs w:val="12"/>
                <w:b w:val="1"/>
                <w:bCs w:val="1"/>
                <w:color w:val="231F20"/>
              </w:rPr>
              <w:t>Equity and Other</w:t>
            </w:r>
          </w:p>
        </w:tc>
        <w:tc>
          <w:tcPr>
            <w:tcW w:w="1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Investments</w:t>
            </w:r>
          </w:p>
        </w:tc>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Business Services</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1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80" w:type="dxa"/>
            <w:vAlign w:val="bottom"/>
            <w:tcBorders>
              <w:left w:val="single" w:sz="8" w:color="CFEDF9"/>
            </w:tcBorders>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40" w:type="dxa"/>
            <w:vAlign w:val="bottom"/>
            <w:tcBorders>
              <w:left w:val="single" w:sz="8" w:color="CFEDF9"/>
            </w:tcBorders>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7" w:lineRule="exact"/>
              <w:rPr>
                <w:sz w:val="20"/>
                <w:szCs w:val="20"/>
                <w:color w:val="auto"/>
              </w:rPr>
            </w:pPr>
            <w:r>
              <w:rPr>
                <w:rFonts w:ascii="Times New Roman" w:cs="Times New Roman" w:eastAsia="Times New Roman" w:hAnsi="Times New Roman"/>
                <w:sz w:val="11"/>
                <w:szCs w:val="11"/>
                <w:color w:val="231F20"/>
              </w:rPr>
              <w:t xml:space="preserve">Dye &amp; Durham, Ltd. </w:t>
            </w:r>
            <w:r>
              <w:rPr>
                <w:rFonts w:ascii="Times New Roman" w:cs="Times New Roman" w:eastAsia="Times New Roman" w:hAnsi="Times New Roman"/>
                <w:sz w:val="14"/>
                <w:szCs w:val="14"/>
                <w:color w:val="231F20"/>
                <w:vertAlign w:val="superscript"/>
              </w:rPr>
              <w:t>(4)(11)</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Common Shares (126,968 shares)</w:t>
            </w:r>
          </w:p>
        </w:tc>
        <w:tc>
          <w:tcPr>
            <w:tcW w:w="1020" w:type="dxa"/>
            <w:vAlign w:val="bottom"/>
            <w:gridSpan w:val="4"/>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12/3/2021</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3,909</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1,538</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(CAD 2,284)</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Mitnick TA Aggregator, LP</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Membership Interest (0.43% ownership)</w:t>
            </w:r>
          </w:p>
        </w:tc>
        <w:tc>
          <w:tcPr>
            <w:tcW w:w="9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5/2/2022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30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5,243</w:t>
            </w:r>
          </w:p>
        </w:tc>
        <w:tc>
          <w:tcPr>
            <w:tcW w:w="1080" w:type="dxa"/>
            <w:vAlign w:val="bottom"/>
            <w:tcBorders>
              <w:left w:val="single" w:sz="8" w:color="CFEDF9"/>
            </w:tcBorders>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5,243</w:t>
            </w:r>
          </w:p>
        </w:tc>
        <w:tc>
          <w:tcPr>
            <w:tcW w:w="960" w:type="dxa"/>
            <w:vAlign w:val="bottom"/>
            <w:tcBorders>
              <w:left w:val="single" w:sz="8" w:color="CFEDF9"/>
            </w:tcBorders>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0.4%</w:t>
            </w:r>
          </w:p>
        </w:tc>
        <w:tc>
          <w:tcPr>
            <w:tcW w:w="0" w:type="dxa"/>
            <w:vAlign w:val="bottom"/>
          </w:tcPr>
          <w:p>
            <w:pPr>
              <w:spacing w:after="0"/>
              <w:rPr>
                <w:sz w:val="1"/>
                <w:szCs w:val="1"/>
                <w:color w:val="auto"/>
              </w:rPr>
            </w:pPr>
          </w:p>
        </w:tc>
      </w:tr>
      <w:tr>
        <w:trPr>
          <w:trHeight w:val="124"/>
        </w:trPr>
        <w:tc>
          <w:tcPr>
            <w:tcW w:w="15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(12)(13)(14)</w:t>
            </w:r>
          </w:p>
        </w:tc>
        <w:tc>
          <w:tcPr>
            <w:tcW w:w="100" w:type="dxa"/>
            <w:vAlign w:val="bottom"/>
            <w:tcBorders>
              <w:bottom w:val="single" w:sz="8" w:color="CFEDF9"/>
            </w:tcBorders>
            <w:shd w:val="clear" w:color="auto" w:fill="CFEDF9"/>
          </w:tcPr>
          <w:p>
            <w:pPr>
              <w:spacing w:after="0"/>
              <w:rPr>
                <w:sz w:val="10"/>
                <w:szCs w:val="10"/>
                <w:color w:val="auto"/>
              </w:rPr>
            </w:pPr>
          </w:p>
        </w:tc>
        <w:tc>
          <w:tcPr>
            <w:tcW w:w="254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tcBorders>
            <w:shd w:val="clear" w:color="auto" w:fill="CFEDF9"/>
          </w:tcPr>
          <w:p>
            <w:pPr>
              <w:spacing w:after="0"/>
              <w:rPr>
                <w:sz w:val="10"/>
                <w:szCs w:val="10"/>
                <w:color w:val="auto"/>
              </w:rPr>
            </w:pPr>
          </w:p>
        </w:tc>
        <w:tc>
          <w:tcPr>
            <w:tcW w:w="80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right w:val="single" w:sz="8" w:color="CFEDF9"/>
            </w:tcBorders>
            <w:shd w:val="clear" w:color="auto" w:fill="CFEDF9"/>
          </w:tcPr>
          <w:p>
            <w:pPr>
              <w:spacing w:after="0"/>
              <w:rPr>
                <w:sz w:val="10"/>
                <w:szCs w:val="10"/>
                <w:color w:val="auto"/>
              </w:rPr>
            </w:pPr>
          </w:p>
        </w:tc>
        <w:tc>
          <w:tcPr>
            <w:tcW w:w="110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left w:val="single" w:sz="8" w:color="CFEDF9"/>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40" w:type="dxa"/>
            <w:vAlign w:val="bottom"/>
            <w:tcBorders>
              <w:left w:val="single" w:sz="8" w:color="CFEDF9"/>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ReliaQuest, LLC </w:t>
            </w:r>
            <w:r>
              <w:rPr>
                <w:rFonts w:ascii="Times New Roman" w:cs="Times New Roman" w:eastAsia="Times New Roman" w:hAnsi="Times New Roman"/>
                <w:sz w:val="15"/>
                <w:szCs w:val="15"/>
                <w:color w:val="231F20"/>
                <w:vertAlign w:val="superscript"/>
              </w:rPr>
              <w:t>(12)(14)</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Class A-1 Units (567,683 units)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11/23/2021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1,120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1,512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Class A-2 Units (2,580 units)</w:t>
            </w:r>
            <w:r>
              <w:rPr>
                <w:rFonts w:ascii="Times New Roman" w:cs="Times New Roman" w:eastAsia="Times New Roman" w:hAnsi="Times New Roman"/>
                <w:sz w:val="15"/>
                <w:szCs w:val="15"/>
                <w:color w:val="231F20"/>
                <w:vertAlign w:val="superscript"/>
              </w:rPr>
              <w:t>(13)</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6/21/2022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6</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9</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Sprinklr, Inc. </w:t>
            </w:r>
            <w:r>
              <w:rPr>
                <w:rFonts w:ascii="Times New Roman" w:cs="Times New Roman" w:eastAsia="Times New Roman" w:hAnsi="Times New Roman"/>
                <w:sz w:val="15"/>
                <w:szCs w:val="15"/>
                <w:color w:val="231F20"/>
                <w:vertAlign w:val="superscript"/>
              </w:rPr>
              <w:t>(11)(12)</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Common Shares (484,700 shares)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6/24/2021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4,180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3,960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0.3%</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WideOrbit, Inc. </w:t>
            </w:r>
            <w:r>
              <w:rPr>
                <w:rFonts w:ascii="Times New Roman" w:cs="Times New Roman" w:eastAsia="Times New Roman" w:hAnsi="Times New Roman"/>
                <w:sz w:val="15"/>
                <w:szCs w:val="15"/>
                <w:color w:val="231F20"/>
                <w:vertAlign w:val="superscript"/>
              </w:rPr>
              <w:t>(12)</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1,567,807 Warrants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7/8/2020</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327</w:t>
            </w:r>
          </w:p>
        </w:tc>
        <w:tc>
          <w:tcPr>
            <w:tcW w:w="200" w:type="dxa"/>
            <w:vAlign w:val="bottom"/>
            <w:shd w:val="clear" w:color="auto" w:fill="CFEDF9"/>
          </w:tcPr>
          <w:p>
            <w:pPr>
              <w:spacing w:after="0"/>
              <w:rPr>
                <w:sz w:val="11"/>
                <w:szCs w:val="11"/>
                <w:color w:val="auto"/>
              </w:rPr>
            </w:pPr>
          </w:p>
        </w:tc>
        <w:tc>
          <w:tcPr>
            <w:tcW w:w="880" w:type="dxa"/>
            <w:vAlign w:val="bottom"/>
            <w:tcBorders>
              <w:left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4,869</w:t>
            </w:r>
          </w:p>
        </w:tc>
        <w:tc>
          <w:tcPr>
            <w:tcW w:w="20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0.4%</w:t>
            </w:r>
          </w:p>
        </w:tc>
        <w:tc>
          <w:tcPr>
            <w:tcW w:w="0" w:type="dxa"/>
            <w:vAlign w:val="bottom"/>
          </w:tcPr>
          <w:p>
            <w:pPr>
              <w:spacing w:after="0"/>
              <w:rPr>
                <w:sz w:val="1"/>
                <w:szCs w:val="1"/>
                <w:color w:val="auto"/>
              </w:rPr>
            </w:pPr>
          </w:p>
        </w:tc>
      </w:tr>
      <w:tr>
        <w:trPr>
          <w:trHeight w:val="20"/>
        </w:trPr>
        <w:tc>
          <w:tcPr>
            <w:tcW w:w="1540" w:type="dxa"/>
            <w:vAlign w:val="bottom"/>
            <w:tcBorders>
              <w:top w:val="single" w:sz="8" w:color="CFEDF9"/>
            </w:tcBorders>
          </w:tcPr>
          <w:p>
            <w:pPr>
              <w:spacing w:after="0" w:line="20" w:lineRule="exact"/>
              <w:rPr>
                <w:sz w:val="1"/>
                <w:szCs w:val="1"/>
                <w:color w:val="auto"/>
              </w:rPr>
            </w:pPr>
          </w:p>
        </w:tc>
        <w:tc>
          <w:tcPr>
            <w:tcW w:w="100" w:type="dxa"/>
            <w:vAlign w:val="bottom"/>
            <w:tcBorders>
              <w:top w:val="single" w:sz="8" w:color="CFEDF9"/>
            </w:tcBorders>
          </w:tcPr>
          <w:p>
            <w:pPr>
              <w:spacing w:after="0" w:line="20" w:lineRule="exact"/>
              <w:rPr>
                <w:sz w:val="1"/>
                <w:szCs w:val="1"/>
                <w:color w:val="auto"/>
              </w:rPr>
            </w:pPr>
          </w:p>
        </w:tc>
        <w:tc>
          <w:tcPr>
            <w:tcW w:w="2540" w:type="dxa"/>
            <w:vAlign w:val="bottom"/>
            <w:tcBorders>
              <w:top w:val="single" w:sz="8" w:color="CFEDF9"/>
            </w:tcBorders>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CFEDF9"/>
            </w:tcBorders>
          </w:tcPr>
          <w:p>
            <w:pPr>
              <w:spacing w:after="0" w:line="20" w:lineRule="exact"/>
              <w:rPr>
                <w:sz w:val="1"/>
                <w:szCs w:val="1"/>
                <w:color w:val="auto"/>
              </w:rPr>
            </w:pPr>
          </w:p>
        </w:tc>
        <w:tc>
          <w:tcPr>
            <w:tcW w:w="78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tcBorders>
          </w:tcPr>
          <w:p>
            <w:pPr>
              <w:spacing w:after="0" w:line="20" w:lineRule="exact"/>
              <w:rPr>
                <w:sz w:val="1"/>
                <w:szCs w:val="1"/>
                <w:color w:val="auto"/>
              </w:rPr>
            </w:pPr>
          </w:p>
        </w:tc>
        <w:tc>
          <w:tcPr>
            <w:tcW w:w="800" w:type="dxa"/>
            <w:vAlign w:val="bottom"/>
            <w:tcBorders>
              <w:top w:val="single" w:sz="8" w:color="CFEDF9"/>
            </w:tcBorders>
          </w:tcPr>
          <w:p>
            <w:pPr>
              <w:spacing w:after="0" w:line="20" w:lineRule="exact"/>
              <w:rPr>
                <w:sz w:val="1"/>
                <w:szCs w:val="1"/>
                <w:color w:val="auto"/>
              </w:rPr>
            </w:pPr>
          </w:p>
        </w:tc>
        <w:tc>
          <w:tcPr>
            <w:tcW w:w="220" w:type="dxa"/>
            <w:vAlign w:val="bottom"/>
            <w:tcBorders>
              <w:top w:val="single" w:sz="8" w:color="CFEDF9"/>
              <w:right w:val="single" w:sz="8" w:color="231F20"/>
            </w:tcBorders>
          </w:tcPr>
          <w:p>
            <w:pPr>
              <w:spacing w:after="0" w:line="20" w:lineRule="exact"/>
              <w:rPr>
                <w:sz w:val="1"/>
                <w:szCs w:val="1"/>
                <w:color w:val="auto"/>
              </w:rPr>
            </w:pPr>
          </w:p>
        </w:tc>
        <w:tc>
          <w:tcPr>
            <w:tcW w:w="1100" w:type="dxa"/>
            <w:vAlign w:val="bottom"/>
            <w:tcBorders>
              <w:top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tcPr>
          <w:p>
            <w:pPr>
              <w:spacing w:after="0" w:line="20" w:lineRule="exact"/>
              <w:rPr>
                <w:sz w:val="1"/>
                <w:szCs w:val="1"/>
                <w:color w:val="auto"/>
              </w:rPr>
            </w:pPr>
          </w:p>
        </w:tc>
        <w:tc>
          <w:tcPr>
            <w:tcW w:w="88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200" w:type="dxa"/>
            <w:vAlign w:val="bottom"/>
            <w:tcBorders>
              <w:top w:val="single" w:sz="8" w:color="CFEDF9"/>
            </w:tcBorders>
          </w:tcPr>
          <w:p>
            <w:pPr>
              <w:spacing w:after="0" w:line="20" w:lineRule="exact"/>
              <w:rPr>
                <w:sz w:val="1"/>
                <w:szCs w:val="1"/>
                <w:color w:val="auto"/>
              </w:rPr>
            </w:pPr>
          </w:p>
        </w:tc>
        <w:tc>
          <w:tcPr>
            <w:tcW w:w="840" w:type="dxa"/>
            <w:vAlign w:val="bottom"/>
            <w:tcBorders>
              <w:top w:val="single" w:sz="8" w:color="231F20"/>
              <w:left w:val="single" w:sz="8" w:color="231F20"/>
            </w:tcBorders>
            <w:shd w:val="clear" w:color="auto" w:fill="231F20"/>
          </w:tcPr>
          <w:p>
            <w:pPr>
              <w:spacing w:after="0" w:line="20" w:lineRule="exact"/>
              <w:rPr>
                <w:sz w:val="1"/>
                <w:szCs w:val="1"/>
                <w:color w:val="auto"/>
              </w:rPr>
            </w:pPr>
          </w:p>
        </w:tc>
        <w:tc>
          <w:tcPr>
            <w:tcW w:w="120" w:type="dxa"/>
            <w:vAlign w:val="bottom"/>
            <w:tcBorders>
              <w:top w:val="single" w:sz="8" w:color="CFED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14,785</w:t>
            </w:r>
          </w:p>
        </w:tc>
        <w:tc>
          <w:tcPr>
            <w:tcW w:w="20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17,131</w:t>
            </w:r>
          </w:p>
        </w:tc>
        <w:tc>
          <w:tcPr>
            <w:tcW w:w="200" w:type="dxa"/>
            <w:vAlign w:val="bottom"/>
          </w:tcPr>
          <w:p>
            <w:pPr>
              <w:spacing w:after="0"/>
              <w:rPr>
                <w:sz w:val="9"/>
                <w:szCs w:val="9"/>
                <w:color w:val="auto"/>
              </w:rPr>
            </w:pPr>
          </w:p>
        </w:tc>
        <w:tc>
          <w:tcPr>
            <w:tcW w:w="9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231F20"/>
              </w:rPr>
              <w:t>1.3%</w:t>
            </w:r>
          </w:p>
        </w:tc>
        <w:tc>
          <w:tcPr>
            <w:tcW w:w="0" w:type="dxa"/>
            <w:vAlign w:val="bottom"/>
          </w:tcPr>
          <w:p>
            <w:pPr>
              <w:spacing w:after="0"/>
              <w:rPr>
                <w:sz w:val="1"/>
                <w:szCs w:val="1"/>
                <w:color w:val="auto"/>
              </w:rPr>
            </w:pPr>
          </w:p>
        </w:tc>
      </w:tr>
      <w:tr>
        <w:trPr>
          <w:trHeight w:val="128"/>
        </w:trPr>
        <w:tc>
          <w:tcPr>
            <w:tcW w:w="1540" w:type="dxa"/>
            <w:vAlign w:val="bottom"/>
            <w:tcBorders>
              <w:top w:val="single" w:sz="8" w:color="CFEDF9"/>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Communications</w:t>
            </w:r>
          </w:p>
        </w:tc>
        <w:tc>
          <w:tcPr>
            <w:tcW w:w="100" w:type="dxa"/>
            <w:vAlign w:val="bottom"/>
            <w:tcBorders>
              <w:top w:val="single" w:sz="8" w:color="CFEDF9"/>
            </w:tcBorders>
            <w:shd w:val="clear" w:color="auto" w:fill="CFEDF9"/>
          </w:tcPr>
          <w:p>
            <w:pPr>
              <w:spacing w:after="0"/>
              <w:rPr>
                <w:sz w:val="11"/>
                <w:szCs w:val="11"/>
                <w:color w:val="auto"/>
              </w:rPr>
            </w:pPr>
          </w:p>
        </w:tc>
        <w:tc>
          <w:tcPr>
            <w:tcW w:w="254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0" w:type="dxa"/>
            <w:vAlign w:val="bottom"/>
            <w:tcBorders>
              <w:top w:val="single" w:sz="8" w:color="CFEDF9"/>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tcBorders>
            <w:shd w:val="clear" w:color="auto" w:fill="CFEDF9"/>
          </w:tcPr>
          <w:p>
            <w:pPr>
              <w:spacing w:after="0"/>
              <w:rPr>
                <w:sz w:val="11"/>
                <w:szCs w:val="11"/>
                <w:color w:val="auto"/>
              </w:rPr>
            </w:pPr>
          </w:p>
        </w:tc>
        <w:tc>
          <w:tcPr>
            <w:tcW w:w="80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1100" w:type="dxa"/>
            <w:vAlign w:val="bottom"/>
            <w:tcBorders>
              <w:top w:val="single" w:sz="8" w:color="231F20"/>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80" w:type="dxa"/>
            <w:vAlign w:val="bottom"/>
            <w:tcBorders>
              <w:top w:val="single" w:sz="8" w:color="231F20"/>
              <w:left w:val="single" w:sz="8" w:color="CFEDF9"/>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40" w:type="dxa"/>
            <w:vAlign w:val="bottom"/>
            <w:tcBorders>
              <w:top w:val="single" w:sz="8" w:color="231F20"/>
              <w:left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Celtra Technologies, Inc. </w:t>
            </w:r>
            <w:r>
              <w:rPr>
                <w:rFonts w:ascii="Times New Roman" w:cs="Times New Roman" w:eastAsia="Times New Roman" w:hAnsi="Times New Roman"/>
                <w:sz w:val="15"/>
                <w:szCs w:val="15"/>
                <w:color w:val="231F20"/>
                <w:vertAlign w:val="superscript"/>
              </w:rPr>
              <w:t>(12)</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Class A Units (1,250,000 units)</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231F20"/>
              </w:rPr>
              <w:t>11/19/2021</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1,250</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1,250</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IntelePeer Holdings, Inc. </w:t>
            </w:r>
            <w:r>
              <w:rPr>
                <w:rFonts w:ascii="Times New Roman" w:cs="Times New Roman" w:eastAsia="Times New Roman" w:hAnsi="Times New Roman"/>
                <w:sz w:val="15"/>
                <w:szCs w:val="15"/>
                <w:color w:val="231F20"/>
                <w:vertAlign w:val="superscript"/>
              </w:rPr>
              <w:t>(12)</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Series C Preferred Shares (1,816,295 shares)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4/8/2021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1,816</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1,794</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Series D Preferred Shares (1,598,874 shares)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4/8/2021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2,925</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1,923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280,000 Warrants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2/28/2020</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183</w:t>
            </w:r>
          </w:p>
        </w:tc>
        <w:tc>
          <w:tcPr>
            <w:tcW w:w="1080" w:type="dxa"/>
            <w:vAlign w:val="bottom"/>
            <w:tcBorders>
              <w:left w:val="single" w:sz="8" w:color="CFEDF9"/>
            </w:tcBorders>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106,592 Warrants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4/8/2021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20"/>
        </w:trPr>
        <w:tc>
          <w:tcPr>
            <w:tcW w:w="154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254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20" w:type="dxa"/>
            <w:vAlign w:val="bottom"/>
            <w:shd w:val="clear" w:color="auto" w:fill="CFEDF9"/>
          </w:tcPr>
          <w:p>
            <w:pPr>
              <w:spacing w:after="0" w:line="20" w:lineRule="exact"/>
              <w:rPr>
                <w:sz w:val="1"/>
                <w:szCs w:val="1"/>
                <w:color w:val="auto"/>
              </w:rPr>
            </w:pPr>
          </w:p>
        </w:tc>
        <w:tc>
          <w:tcPr>
            <w:tcW w:w="800" w:type="dxa"/>
            <w:vAlign w:val="bottom"/>
            <w:shd w:val="clear" w:color="auto" w:fill="CFEDF9"/>
          </w:tcPr>
          <w:p>
            <w:pPr>
              <w:spacing w:after="0" w:line="20" w:lineRule="exact"/>
              <w:rPr>
                <w:sz w:val="1"/>
                <w:szCs w:val="1"/>
                <w:color w:val="auto"/>
              </w:rPr>
            </w:pPr>
          </w:p>
        </w:tc>
        <w:tc>
          <w:tcPr>
            <w:tcW w:w="220" w:type="dxa"/>
            <w:vAlign w:val="bottom"/>
            <w:tcBorders>
              <w:right w:val="single" w:sz="8" w:color="231F20"/>
            </w:tcBorders>
            <w:shd w:val="clear" w:color="auto" w:fill="CFEDF9"/>
          </w:tcPr>
          <w:p>
            <w:pPr>
              <w:spacing w:after="0" w:line="20" w:lineRule="exact"/>
              <w:rPr>
                <w:sz w:val="1"/>
                <w:szCs w:val="1"/>
                <w:color w:val="auto"/>
              </w:rPr>
            </w:pPr>
          </w:p>
        </w:tc>
        <w:tc>
          <w:tcPr>
            <w:tcW w:w="1100" w:type="dxa"/>
            <w:vAlign w:val="bottom"/>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80" w:type="dxa"/>
            <w:vAlign w:val="bottom"/>
            <w:tcBorders>
              <w:left w:val="single" w:sz="8" w:color="231F20"/>
            </w:tcBorders>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20" w:type="dxa"/>
            <w:vAlign w:val="bottom"/>
            <w:tcBorders>
              <w:right w:val="single" w:sz="8" w:color="CFEDF9"/>
            </w:tcBorders>
            <w:shd w:val="clear" w:color="auto" w:fill="CFEDF9"/>
          </w:tcPr>
          <w:p>
            <w:pPr>
              <w:spacing w:after="0"/>
              <w:rPr>
                <w:sz w:val="12"/>
                <w:szCs w:val="12"/>
                <w:color w:val="auto"/>
              </w:rPr>
            </w:pPr>
          </w:p>
        </w:tc>
        <w:tc>
          <w:tcPr>
            <w:tcW w:w="110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6,174</w:t>
            </w:r>
          </w:p>
        </w:tc>
        <w:tc>
          <w:tcPr>
            <w:tcW w:w="200" w:type="dxa"/>
            <w:vAlign w:val="bottom"/>
            <w:shd w:val="clear" w:color="auto" w:fill="CFEDF9"/>
          </w:tcPr>
          <w:p>
            <w:pPr>
              <w:spacing w:after="0"/>
              <w:rPr>
                <w:sz w:val="12"/>
                <w:szCs w:val="12"/>
                <w:color w:val="auto"/>
              </w:rPr>
            </w:pPr>
          </w:p>
        </w:tc>
        <w:tc>
          <w:tcPr>
            <w:tcW w:w="880" w:type="dxa"/>
            <w:vAlign w:val="bottom"/>
            <w:tcBorders>
              <w:left w:val="single" w:sz="8" w:color="CFEDF9"/>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4,967</w:t>
            </w:r>
          </w:p>
        </w:tc>
        <w:tc>
          <w:tcPr>
            <w:tcW w:w="200" w:type="dxa"/>
            <w:vAlign w:val="bottom"/>
            <w:shd w:val="clear" w:color="auto" w:fill="CFEDF9"/>
          </w:tcPr>
          <w:p>
            <w:pPr>
              <w:spacing w:after="0"/>
              <w:rPr>
                <w:sz w:val="12"/>
                <w:szCs w:val="12"/>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0.3%</w:t>
            </w:r>
          </w:p>
        </w:tc>
        <w:tc>
          <w:tcPr>
            <w:tcW w:w="0" w:type="dxa"/>
            <w:vAlign w:val="bottom"/>
          </w:tcPr>
          <w:p>
            <w:pPr>
              <w:spacing w:after="0"/>
              <w:rPr>
                <w:sz w:val="1"/>
                <w:szCs w:val="1"/>
                <w:color w:val="auto"/>
              </w:rPr>
            </w:pPr>
          </w:p>
        </w:tc>
      </w:tr>
      <w:tr>
        <w:trPr>
          <w:trHeight w:val="108"/>
        </w:trPr>
        <w:tc>
          <w:tcPr>
            <w:tcW w:w="154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Education</w:t>
            </w:r>
          </w:p>
        </w:tc>
        <w:tc>
          <w:tcPr>
            <w:tcW w:w="100" w:type="dxa"/>
            <w:vAlign w:val="bottom"/>
            <w:tcBorders>
              <w:top w:val="single" w:sz="8" w:color="CFEDF9"/>
            </w:tcBorders>
          </w:tcPr>
          <w:p>
            <w:pPr>
              <w:spacing w:after="0"/>
              <w:rPr>
                <w:sz w:val="9"/>
                <w:szCs w:val="9"/>
                <w:color w:val="auto"/>
              </w:rPr>
            </w:pPr>
          </w:p>
        </w:tc>
        <w:tc>
          <w:tcPr>
            <w:tcW w:w="254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80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1100" w:type="dxa"/>
            <w:vAlign w:val="bottom"/>
            <w:tcBorders>
              <w:top w:val="single" w:sz="8" w:color="231F20"/>
            </w:tcBorders>
          </w:tcPr>
          <w:p>
            <w:pPr>
              <w:spacing w:after="0"/>
              <w:rPr>
                <w:sz w:val="9"/>
                <w:szCs w:val="9"/>
                <w:color w:val="auto"/>
              </w:rPr>
            </w:pPr>
          </w:p>
        </w:tc>
        <w:tc>
          <w:tcPr>
            <w:tcW w:w="200" w:type="dxa"/>
            <w:vAlign w:val="bottom"/>
            <w:tcBorders>
              <w:top w:val="single" w:sz="8" w:color="CFEDF9"/>
            </w:tcBorders>
          </w:tcPr>
          <w:p>
            <w:pPr>
              <w:spacing w:after="0"/>
              <w:rPr>
                <w:sz w:val="9"/>
                <w:szCs w:val="9"/>
                <w:color w:val="auto"/>
              </w:rPr>
            </w:pPr>
          </w:p>
        </w:tc>
        <w:tc>
          <w:tcPr>
            <w:tcW w:w="880" w:type="dxa"/>
            <w:vAlign w:val="bottom"/>
            <w:tcBorders>
              <w:top w:val="single" w:sz="8" w:color="231F20"/>
            </w:tcBorders>
          </w:tcPr>
          <w:p>
            <w:pPr>
              <w:spacing w:after="0"/>
              <w:rPr>
                <w:sz w:val="9"/>
                <w:szCs w:val="9"/>
                <w:color w:val="auto"/>
              </w:rPr>
            </w:pPr>
          </w:p>
        </w:tc>
        <w:tc>
          <w:tcPr>
            <w:tcW w:w="200" w:type="dxa"/>
            <w:vAlign w:val="bottom"/>
            <w:tcBorders>
              <w:top w:val="single" w:sz="8" w:color="CFEDF9"/>
            </w:tcBorders>
          </w:tcPr>
          <w:p>
            <w:pPr>
              <w:spacing w:after="0"/>
              <w:rPr>
                <w:sz w:val="9"/>
                <w:szCs w:val="9"/>
                <w:color w:val="auto"/>
              </w:rPr>
            </w:pPr>
          </w:p>
        </w:tc>
        <w:tc>
          <w:tcPr>
            <w:tcW w:w="840" w:type="dxa"/>
            <w:vAlign w:val="bottom"/>
            <w:tcBorders>
              <w:top w:val="single" w:sz="8" w:color="231F2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Astra 2L Holdings II LLC</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Membership Interest (10.17% ownership)</w:t>
            </w:r>
          </w:p>
        </w:tc>
        <w:tc>
          <w:tcPr>
            <w:tcW w:w="9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1/13/2022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30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3,255</w:t>
            </w:r>
          </w:p>
        </w:tc>
        <w:tc>
          <w:tcPr>
            <w:tcW w:w="1080" w:type="dxa"/>
            <w:vAlign w:val="bottom"/>
            <w:tcBorders>
              <w:left w:val="single" w:sz="8" w:color="CFEDF9"/>
            </w:tcBorders>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2,555</w:t>
            </w:r>
          </w:p>
        </w:tc>
        <w:tc>
          <w:tcPr>
            <w:tcW w:w="960" w:type="dxa"/>
            <w:vAlign w:val="bottom"/>
            <w:tcBorders>
              <w:left w:val="single" w:sz="8" w:color="CFEDF9"/>
            </w:tcBorders>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24"/>
        </w:trPr>
        <w:tc>
          <w:tcPr>
            <w:tcW w:w="15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(12)(13)</w:t>
            </w:r>
          </w:p>
        </w:tc>
        <w:tc>
          <w:tcPr>
            <w:tcW w:w="100" w:type="dxa"/>
            <w:vAlign w:val="bottom"/>
            <w:tcBorders>
              <w:bottom w:val="single" w:sz="8" w:color="CFEDF9"/>
            </w:tcBorders>
            <w:shd w:val="clear" w:color="auto" w:fill="CFEDF9"/>
          </w:tcPr>
          <w:p>
            <w:pPr>
              <w:spacing w:after="0"/>
              <w:rPr>
                <w:sz w:val="10"/>
                <w:szCs w:val="10"/>
                <w:color w:val="auto"/>
              </w:rPr>
            </w:pPr>
          </w:p>
        </w:tc>
        <w:tc>
          <w:tcPr>
            <w:tcW w:w="254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tcBorders>
            <w:shd w:val="clear" w:color="auto" w:fill="CFEDF9"/>
          </w:tcPr>
          <w:p>
            <w:pPr>
              <w:spacing w:after="0"/>
              <w:rPr>
                <w:sz w:val="10"/>
                <w:szCs w:val="10"/>
                <w:color w:val="auto"/>
              </w:rPr>
            </w:pPr>
          </w:p>
        </w:tc>
        <w:tc>
          <w:tcPr>
            <w:tcW w:w="80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right w:val="single" w:sz="8" w:color="CFEDF9"/>
            </w:tcBorders>
            <w:shd w:val="clear" w:color="auto" w:fill="CFEDF9"/>
          </w:tcPr>
          <w:p>
            <w:pPr>
              <w:spacing w:after="0"/>
              <w:rPr>
                <w:sz w:val="10"/>
                <w:szCs w:val="10"/>
                <w:color w:val="auto"/>
              </w:rPr>
            </w:pPr>
          </w:p>
        </w:tc>
        <w:tc>
          <w:tcPr>
            <w:tcW w:w="110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left w:val="single" w:sz="8" w:color="CFEDF9"/>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40" w:type="dxa"/>
            <w:vAlign w:val="bottom"/>
            <w:tcBorders>
              <w:left w:val="single" w:sz="8" w:color="CFEDF9"/>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EMS Linq, Inc. </w:t>
            </w:r>
            <w:r>
              <w:rPr>
                <w:rFonts w:ascii="Times New Roman" w:cs="Times New Roman" w:eastAsia="Times New Roman" w:hAnsi="Times New Roman"/>
                <w:sz w:val="15"/>
                <w:szCs w:val="15"/>
                <w:color w:val="231F20"/>
                <w:vertAlign w:val="superscript"/>
              </w:rPr>
              <w:t>(12)</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Class B Units (5,522,526 units)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12/22/2021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5,523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4,763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0.4%</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RMCF IV CIV XXXV,</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Partnership Interest (11.94% ownership)</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6/8/2021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30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1,000</w:t>
            </w:r>
          </w:p>
        </w:tc>
        <w:tc>
          <w:tcPr>
            <w:tcW w:w="1080" w:type="dxa"/>
            <w:vAlign w:val="bottom"/>
            <w:tcBorders>
              <w:left w:val="single" w:sz="8" w:color="CFEDF9"/>
            </w:tcBorders>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1,190</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CFEDF9"/>
            </w:tcBorders>
            <w:shd w:val="clear" w:color="auto" w:fill="CFEDF9"/>
          </w:tcPr>
          <w:p>
            <w:pPr>
              <w:ind w:left="100"/>
              <w:spacing w:after="0" w:line="149" w:lineRule="exact"/>
              <w:rPr>
                <w:sz w:val="20"/>
                <w:szCs w:val="20"/>
                <w:color w:val="auto"/>
              </w:rPr>
            </w:pPr>
            <w:r>
              <w:rPr>
                <w:rFonts w:ascii="Times New Roman" w:cs="Times New Roman" w:eastAsia="Times New Roman" w:hAnsi="Times New Roman"/>
                <w:sz w:val="17"/>
                <w:szCs w:val="17"/>
                <w:color w:val="231F20"/>
                <w:vertAlign w:val="subscript"/>
              </w:rPr>
              <w:t>LP.</w:t>
            </w:r>
            <w:r>
              <w:rPr>
                <w:rFonts w:ascii="Times New Roman" w:cs="Times New Roman" w:eastAsia="Times New Roman" w:hAnsi="Times New Roman"/>
                <w:sz w:val="7"/>
                <w:szCs w:val="7"/>
                <w:color w:val="231F20"/>
              </w:rPr>
              <w:t xml:space="preserve"> (12)</w:t>
            </w:r>
          </w:p>
        </w:tc>
        <w:tc>
          <w:tcPr>
            <w:tcW w:w="100" w:type="dxa"/>
            <w:vAlign w:val="bottom"/>
            <w:tcBorders>
              <w:bottom w:val="single" w:sz="8" w:color="CFEDF9"/>
            </w:tcBorders>
            <w:shd w:val="clear" w:color="auto" w:fill="CFEDF9"/>
          </w:tcPr>
          <w:p>
            <w:pPr>
              <w:spacing w:after="0"/>
              <w:rPr>
                <w:sz w:val="14"/>
                <w:szCs w:val="14"/>
                <w:color w:val="auto"/>
              </w:rPr>
            </w:pPr>
          </w:p>
        </w:tc>
        <w:tc>
          <w:tcPr>
            <w:tcW w:w="2540" w:type="dxa"/>
            <w:vAlign w:val="bottom"/>
            <w:tcBorders>
              <w:bottom w:val="single" w:sz="8" w:color="CFEDF9"/>
            </w:tcBorders>
            <w:shd w:val="clear" w:color="auto" w:fill="CFEDF9"/>
          </w:tcPr>
          <w:p>
            <w:pPr>
              <w:spacing w:after="0"/>
              <w:rPr>
                <w:sz w:val="14"/>
                <w:szCs w:val="14"/>
                <w:color w:val="auto"/>
              </w:rPr>
            </w:pPr>
          </w:p>
        </w:tc>
        <w:tc>
          <w:tcPr>
            <w:tcW w:w="120" w:type="dxa"/>
            <w:vAlign w:val="bottom"/>
            <w:tcBorders>
              <w:bottom w:val="single" w:sz="8" w:color="CFEDF9"/>
            </w:tcBorders>
            <w:shd w:val="clear" w:color="auto" w:fill="CFEDF9"/>
          </w:tcPr>
          <w:p>
            <w:pPr>
              <w:spacing w:after="0"/>
              <w:rPr>
                <w:sz w:val="14"/>
                <w:szCs w:val="14"/>
                <w:color w:val="auto"/>
              </w:rPr>
            </w:pPr>
          </w:p>
        </w:tc>
        <w:tc>
          <w:tcPr>
            <w:tcW w:w="780" w:type="dxa"/>
            <w:vAlign w:val="bottom"/>
            <w:tcBorders>
              <w:bottom w:val="single" w:sz="8" w:color="CFEDF9"/>
            </w:tcBorders>
            <w:shd w:val="clear" w:color="auto" w:fill="CFEDF9"/>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FEDF9"/>
            </w:tcBorders>
            <w:shd w:val="clear" w:color="auto" w:fill="CFEDF9"/>
          </w:tcPr>
          <w:p>
            <w:pPr>
              <w:spacing w:after="0"/>
              <w:rPr>
                <w:sz w:val="14"/>
                <w:szCs w:val="14"/>
                <w:color w:val="auto"/>
              </w:rPr>
            </w:pPr>
          </w:p>
        </w:tc>
        <w:tc>
          <w:tcPr>
            <w:tcW w:w="780" w:type="dxa"/>
            <w:vAlign w:val="bottom"/>
            <w:tcBorders>
              <w:bottom w:val="single" w:sz="8" w:color="CFEDF9"/>
            </w:tcBorders>
            <w:shd w:val="clear" w:color="auto" w:fill="CFEDF9"/>
          </w:tcPr>
          <w:p>
            <w:pPr>
              <w:spacing w:after="0"/>
              <w:rPr>
                <w:sz w:val="14"/>
                <w:szCs w:val="14"/>
                <w:color w:val="auto"/>
              </w:rPr>
            </w:pPr>
          </w:p>
        </w:tc>
        <w:tc>
          <w:tcPr>
            <w:tcW w:w="220" w:type="dxa"/>
            <w:vAlign w:val="bottom"/>
            <w:tcBorders>
              <w:bottom w:val="single" w:sz="8" w:color="CFEDF9"/>
            </w:tcBorders>
            <w:shd w:val="clear" w:color="auto" w:fill="CFEDF9"/>
          </w:tcPr>
          <w:p>
            <w:pPr>
              <w:spacing w:after="0"/>
              <w:rPr>
                <w:sz w:val="14"/>
                <w:szCs w:val="14"/>
                <w:color w:val="auto"/>
              </w:rPr>
            </w:pPr>
          </w:p>
        </w:tc>
        <w:tc>
          <w:tcPr>
            <w:tcW w:w="800" w:type="dxa"/>
            <w:vAlign w:val="bottom"/>
            <w:tcBorders>
              <w:bottom w:val="single" w:sz="8" w:color="CFEDF9"/>
            </w:tcBorders>
            <w:shd w:val="clear" w:color="auto" w:fill="CFEDF9"/>
          </w:tcPr>
          <w:p>
            <w:pPr>
              <w:spacing w:after="0"/>
              <w:rPr>
                <w:sz w:val="14"/>
                <w:szCs w:val="14"/>
                <w:color w:val="auto"/>
              </w:rPr>
            </w:pPr>
          </w:p>
        </w:tc>
        <w:tc>
          <w:tcPr>
            <w:tcW w:w="220" w:type="dxa"/>
            <w:vAlign w:val="bottom"/>
            <w:tcBorders>
              <w:bottom w:val="single" w:sz="8" w:color="CFEDF9"/>
              <w:right w:val="single" w:sz="8" w:color="CFEDF9"/>
            </w:tcBorders>
            <w:shd w:val="clear" w:color="auto" w:fill="CFEDF9"/>
          </w:tcPr>
          <w:p>
            <w:pPr>
              <w:spacing w:after="0"/>
              <w:rPr>
                <w:sz w:val="14"/>
                <w:szCs w:val="14"/>
                <w:color w:val="auto"/>
              </w:rPr>
            </w:pPr>
          </w:p>
        </w:tc>
        <w:tc>
          <w:tcPr>
            <w:tcW w:w="1100" w:type="dxa"/>
            <w:vAlign w:val="bottom"/>
            <w:tcBorders>
              <w:bottom w:val="single" w:sz="8" w:color="231F20"/>
            </w:tcBorders>
            <w:shd w:val="clear" w:color="auto" w:fill="CFEDF9"/>
          </w:tcPr>
          <w:p>
            <w:pPr>
              <w:spacing w:after="0"/>
              <w:rPr>
                <w:sz w:val="14"/>
                <w:szCs w:val="14"/>
                <w:color w:val="auto"/>
              </w:rPr>
            </w:pPr>
          </w:p>
        </w:tc>
        <w:tc>
          <w:tcPr>
            <w:tcW w:w="200" w:type="dxa"/>
            <w:vAlign w:val="bottom"/>
            <w:tcBorders>
              <w:bottom w:val="single" w:sz="8" w:color="CFEDF9"/>
            </w:tcBorders>
            <w:shd w:val="clear" w:color="auto" w:fill="CFEDF9"/>
          </w:tcPr>
          <w:p>
            <w:pPr>
              <w:spacing w:after="0"/>
              <w:rPr>
                <w:sz w:val="14"/>
                <w:szCs w:val="14"/>
                <w:color w:val="auto"/>
              </w:rPr>
            </w:pPr>
          </w:p>
        </w:tc>
        <w:tc>
          <w:tcPr>
            <w:tcW w:w="880" w:type="dxa"/>
            <w:vAlign w:val="bottom"/>
            <w:tcBorders>
              <w:left w:val="single" w:sz="8" w:color="CFEDF9"/>
              <w:bottom w:val="single" w:sz="8" w:color="231F20"/>
            </w:tcBorders>
            <w:shd w:val="clear" w:color="auto" w:fill="CFEDF9"/>
          </w:tcPr>
          <w:p>
            <w:pPr>
              <w:spacing w:after="0"/>
              <w:rPr>
                <w:sz w:val="14"/>
                <w:szCs w:val="14"/>
                <w:color w:val="auto"/>
              </w:rPr>
            </w:pPr>
          </w:p>
        </w:tc>
        <w:tc>
          <w:tcPr>
            <w:tcW w:w="200" w:type="dxa"/>
            <w:vAlign w:val="bottom"/>
            <w:tcBorders>
              <w:bottom w:val="single" w:sz="8" w:color="CFEDF9"/>
            </w:tcBorders>
            <w:shd w:val="clear" w:color="auto" w:fill="CFEDF9"/>
          </w:tcPr>
          <w:p>
            <w:pPr>
              <w:spacing w:after="0"/>
              <w:rPr>
                <w:sz w:val="14"/>
                <w:szCs w:val="14"/>
                <w:color w:val="auto"/>
              </w:rPr>
            </w:pPr>
          </w:p>
        </w:tc>
        <w:tc>
          <w:tcPr>
            <w:tcW w:w="840" w:type="dxa"/>
            <w:vAlign w:val="bottom"/>
            <w:tcBorders>
              <w:left w:val="single" w:sz="8" w:color="CFEDF9"/>
              <w:bottom w:val="single" w:sz="8" w:color="231F20"/>
            </w:tcBorders>
            <w:shd w:val="clear" w:color="auto" w:fill="CFEDF9"/>
          </w:tcPr>
          <w:p>
            <w:pPr>
              <w:spacing w:after="0"/>
              <w:rPr>
                <w:sz w:val="14"/>
                <w:szCs w:val="14"/>
                <w:color w:val="auto"/>
              </w:rPr>
            </w:pPr>
          </w:p>
        </w:tc>
        <w:tc>
          <w:tcPr>
            <w:tcW w:w="120" w:type="dxa"/>
            <w:vAlign w:val="bottom"/>
            <w:tcBorders>
              <w:bottom w:val="single" w:sz="8" w:color="CFEDF9"/>
            </w:tcBorders>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9,778</w:t>
            </w:r>
          </w:p>
        </w:tc>
        <w:tc>
          <w:tcPr>
            <w:tcW w:w="20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231F20"/>
              </w:rPr>
              <w:t>8,508</w:t>
            </w:r>
          </w:p>
        </w:tc>
        <w:tc>
          <w:tcPr>
            <w:tcW w:w="200" w:type="dxa"/>
            <w:vAlign w:val="bottom"/>
          </w:tcPr>
          <w:p>
            <w:pPr>
              <w:spacing w:after="0"/>
              <w:rPr>
                <w:sz w:val="9"/>
                <w:szCs w:val="9"/>
                <w:color w:val="auto"/>
              </w:rPr>
            </w:pPr>
          </w:p>
        </w:tc>
        <w:tc>
          <w:tcPr>
            <w:tcW w:w="9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231F20"/>
              </w:rPr>
              <w:t>0.7%</w:t>
            </w:r>
          </w:p>
        </w:tc>
        <w:tc>
          <w:tcPr>
            <w:tcW w:w="0" w:type="dxa"/>
            <w:vAlign w:val="bottom"/>
          </w:tcPr>
          <w:p>
            <w:pPr>
              <w:spacing w:after="0"/>
              <w:rPr>
                <w:sz w:val="1"/>
                <w:szCs w:val="1"/>
                <w:color w:val="auto"/>
              </w:rPr>
            </w:pPr>
          </w:p>
        </w:tc>
      </w:tr>
      <w:tr>
        <w:trPr>
          <w:trHeight w:val="128"/>
        </w:trPr>
        <w:tc>
          <w:tcPr>
            <w:tcW w:w="1540" w:type="dxa"/>
            <w:vAlign w:val="bottom"/>
            <w:tcBorders>
              <w:top w:val="single" w:sz="8" w:color="CFEDF9"/>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Financial Services</w:t>
            </w:r>
          </w:p>
        </w:tc>
        <w:tc>
          <w:tcPr>
            <w:tcW w:w="100" w:type="dxa"/>
            <w:vAlign w:val="bottom"/>
            <w:tcBorders>
              <w:top w:val="single" w:sz="8" w:color="CFEDF9"/>
            </w:tcBorders>
            <w:shd w:val="clear" w:color="auto" w:fill="CFEDF9"/>
          </w:tcPr>
          <w:p>
            <w:pPr>
              <w:spacing w:after="0"/>
              <w:rPr>
                <w:sz w:val="11"/>
                <w:szCs w:val="11"/>
                <w:color w:val="auto"/>
              </w:rPr>
            </w:pPr>
          </w:p>
        </w:tc>
        <w:tc>
          <w:tcPr>
            <w:tcW w:w="254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0" w:type="dxa"/>
            <w:vAlign w:val="bottom"/>
            <w:tcBorders>
              <w:top w:val="single" w:sz="8" w:color="CFEDF9"/>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tcBorders>
            <w:shd w:val="clear" w:color="auto" w:fill="CFEDF9"/>
          </w:tcPr>
          <w:p>
            <w:pPr>
              <w:spacing w:after="0"/>
              <w:rPr>
                <w:sz w:val="11"/>
                <w:szCs w:val="11"/>
                <w:color w:val="auto"/>
              </w:rPr>
            </w:pPr>
          </w:p>
        </w:tc>
        <w:tc>
          <w:tcPr>
            <w:tcW w:w="80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1100" w:type="dxa"/>
            <w:vAlign w:val="bottom"/>
            <w:tcBorders>
              <w:top w:val="single" w:sz="8" w:color="231F20"/>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80" w:type="dxa"/>
            <w:vAlign w:val="bottom"/>
            <w:tcBorders>
              <w:top w:val="single" w:sz="8" w:color="231F20"/>
              <w:left w:val="single" w:sz="8" w:color="CFEDF9"/>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40" w:type="dxa"/>
            <w:vAlign w:val="bottom"/>
            <w:tcBorders>
              <w:top w:val="single" w:sz="8" w:color="231F20"/>
              <w:left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AvidXchange, Inc. </w:t>
            </w:r>
            <w:r>
              <w:rPr>
                <w:rFonts w:ascii="Times New Roman" w:cs="Times New Roman" w:eastAsia="Times New Roman" w:hAnsi="Times New Roman"/>
                <w:sz w:val="15"/>
                <w:szCs w:val="15"/>
                <w:color w:val="231F20"/>
                <w:vertAlign w:val="superscript"/>
              </w:rPr>
              <w:t>(11)(12)</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Common Shares (200,721 shares)</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231F20"/>
              </w:rPr>
              <w:t>10/15/2021</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1,022</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1,995</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2"/>
        </w:trPr>
        <w:tc>
          <w:tcPr>
            <w:tcW w:w="1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Newport Parent Holdings, LP</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Class A-2 Units (131,569 units)</w:t>
            </w:r>
          </w:p>
        </w:tc>
        <w:tc>
          <w:tcPr>
            <w:tcW w:w="9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12/10/2020</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20" w:type="dxa"/>
            <w:vAlign w:val="bottom"/>
            <w:tcBorders>
              <w:right w:val="single" w:sz="8" w:color="CFEDF9"/>
            </w:tcBorders>
            <w:shd w:val="clear" w:color="auto" w:fill="CFEDF9"/>
          </w:tcPr>
          <w:p>
            <w:pPr>
              <w:spacing w:after="0"/>
              <w:rPr>
                <w:sz w:val="11"/>
                <w:szCs w:val="11"/>
                <w:color w:val="auto"/>
              </w:rPr>
            </w:pPr>
          </w:p>
        </w:tc>
        <w:tc>
          <w:tcPr>
            <w:tcW w:w="130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4,177</w:t>
            </w:r>
          </w:p>
        </w:tc>
        <w:tc>
          <w:tcPr>
            <w:tcW w:w="1080" w:type="dxa"/>
            <w:vAlign w:val="bottom"/>
            <w:tcBorders>
              <w:left w:val="single" w:sz="8" w:color="CFEDF9"/>
            </w:tcBorders>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4,845</w:t>
            </w:r>
          </w:p>
        </w:tc>
        <w:tc>
          <w:tcPr>
            <w:tcW w:w="960" w:type="dxa"/>
            <w:vAlign w:val="bottom"/>
            <w:tcBorders>
              <w:left w:val="single" w:sz="8" w:color="CFEDF9"/>
            </w:tcBorders>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0.4%</w:t>
            </w:r>
          </w:p>
        </w:tc>
        <w:tc>
          <w:tcPr>
            <w:tcW w:w="0" w:type="dxa"/>
            <w:vAlign w:val="bottom"/>
          </w:tcPr>
          <w:p>
            <w:pPr>
              <w:spacing w:after="0"/>
              <w:rPr>
                <w:sz w:val="1"/>
                <w:szCs w:val="1"/>
                <w:color w:val="auto"/>
              </w:rPr>
            </w:pPr>
          </w:p>
        </w:tc>
      </w:tr>
      <w:tr>
        <w:trPr>
          <w:trHeight w:val="105"/>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8"/>
                <w:szCs w:val="8"/>
                <w:color w:val="231F20"/>
              </w:rPr>
              <w:t>(12)</w:t>
            </w:r>
          </w:p>
        </w:tc>
        <w:tc>
          <w:tcPr>
            <w:tcW w:w="100" w:type="dxa"/>
            <w:vAlign w:val="bottom"/>
            <w:shd w:val="clear" w:color="auto" w:fill="CFEDF9"/>
          </w:tcPr>
          <w:p>
            <w:pPr>
              <w:spacing w:after="0"/>
              <w:rPr>
                <w:sz w:val="9"/>
                <w:szCs w:val="9"/>
                <w:color w:val="auto"/>
              </w:rPr>
            </w:pPr>
          </w:p>
        </w:tc>
        <w:tc>
          <w:tcPr>
            <w:tcW w:w="2540" w:type="dxa"/>
            <w:vAlign w:val="bottom"/>
            <w:shd w:val="clear" w:color="auto" w:fill="CFEDF9"/>
          </w:tcPr>
          <w:p>
            <w:pPr>
              <w:spacing w:after="0"/>
              <w:rPr>
                <w:sz w:val="9"/>
                <w:szCs w:val="9"/>
                <w:color w:val="auto"/>
              </w:rPr>
            </w:pPr>
          </w:p>
        </w:tc>
        <w:tc>
          <w:tcPr>
            <w:tcW w:w="120" w:type="dxa"/>
            <w:vAlign w:val="bottom"/>
            <w:shd w:val="clear" w:color="auto" w:fill="CFEDF9"/>
          </w:tcPr>
          <w:p>
            <w:pPr>
              <w:spacing w:after="0"/>
              <w:rPr>
                <w:sz w:val="9"/>
                <w:szCs w:val="9"/>
                <w:color w:val="auto"/>
              </w:rPr>
            </w:pPr>
          </w:p>
        </w:tc>
        <w:tc>
          <w:tcPr>
            <w:tcW w:w="780" w:type="dxa"/>
            <w:vAlign w:val="bottom"/>
            <w:shd w:val="clear" w:color="auto" w:fill="CFEDF9"/>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CFEDF9"/>
          </w:tcPr>
          <w:p>
            <w:pPr>
              <w:spacing w:after="0"/>
              <w:rPr>
                <w:sz w:val="9"/>
                <w:szCs w:val="9"/>
                <w:color w:val="auto"/>
              </w:rPr>
            </w:pPr>
          </w:p>
        </w:tc>
        <w:tc>
          <w:tcPr>
            <w:tcW w:w="780" w:type="dxa"/>
            <w:vAlign w:val="bottom"/>
            <w:shd w:val="clear" w:color="auto" w:fill="CFEDF9"/>
          </w:tcPr>
          <w:p>
            <w:pPr>
              <w:spacing w:after="0"/>
              <w:rPr>
                <w:sz w:val="9"/>
                <w:szCs w:val="9"/>
                <w:color w:val="auto"/>
              </w:rPr>
            </w:pPr>
          </w:p>
        </w:tc>
        <w:tc>
          <w:tcPr>
            <w:tcW w:w="220" w:type="dxa"/>
            <w:vAlign w:val="bottom"/>
            <w:shd w:val="clear" w:color="auto" w:fill="CFEDF9"/>
          </w:tcPr>
          <w:p>
            <w:pPr>
              <w:spacing w:after="0"/>
              <w:rPr>
                <w:sz w:val="9"/>
                <w:szCs w:val="9"/>
                <w:color w:val="auto"/>
              </w:rPr>
            </w:pPr>
          </w:p>
        </w:tc>
        <w:tc>
          <w:tcPr>
            <w:tcW w:w="800" w:type="dxa"/>
            <w:vAlign w:val="bottom"/>
            <w:shd w:val="clear" w:color="auto" w:fill="CFEDF9"/>
          </w:tcPr>
          <w:p>
            <w:pPr>
              <w:spacing w:after="0"/>
              <w:rPr>
                <w:sz w:val="9"/>
                <w:szCs w:val="9"/>
                <w:color w:val="auto"/>
              </w:rPr>
            </w:pPr>
          </w:p>
        </w:tc>
        <w:tc>
          <w:tcPr>
            <w:tcW w:w="220" w:type="dxa"/>
            <w:vAlign w:val="bottom"/>
            <w:tcBorders>
              <w:right w:val="single" w:sz="8" w:color="CFEDF9"/>
            </w:tcBorders>
            <w:shd w:val="clear" w:color="auto" w:fill="CFEDF9"/>
          </w:tcPr>
          <w:p>
            <w:pPr>
              <w:spacing w:after="0"/>
              <w:rPr>
                <w:sz w:val="9"/>
                <w:szCs w:val="9"/>
                <w:color w:val="auto"/>
              </w:rPr>
            </w:pPr>
          </w:p>
        </w:tc>
        <w:tc>
          <w:tcPr>
            <w:tcW w:w="1100" w:type="dxa"/>
            <w:vAlign w:val="bottom"/>
            <w:shd w:val="clear" w:color="auto" w:fill="CFEDF9"/>
          </w:tcPr>
          <w:p>
            <w:pPr>
              <w:spacing w:after="0"/>
              <w:rPr>
                <w:sz w:val="9"/>
                <w:szCs w:val="9"/>
                <w:color w:val="auto"/>
              </w:rPr>
            </w:pPr>
          </w:p>
        </w:tc>
        <w:tc>
          <w:tcPr>
            <w:tcW w:w="200" w:type="dxa"/>
            <w:vAlign w:val="bottom"/>
            <w:shd w:val="clear" w:color="auto" w:fill="CFEDF9"/>
          </w:tcPr>
          <w:p>
            <w:pPr>
              <w:spacing w:after="0"/>
              <w:rPr>
                <w:sz w:val="9"/>
                <w:szCs w:val="9"/>
                <w:color w:val="auto"/>
              </w:rPr>
            </w:pPr>
          </w:p>
        </w:tc>
        <w:tc>
          <w:tcPr>
            <w:tcW w:w="880" w:type="dxa"/>
            <w:vAlign w:val="bottom"/>
            <w:tcBorders>
              <w:left w:val="single" w:sz="8" w:color="CFEDF9"/>
            </w:tcBorders>
            <w:shd w:val="clear" w:color="auto" w:fill="CFEDF9"/>
          </w:tcPr>
          <w:p>
            <w:pPr>
              <w:spacing w:after="0"/>
              <w:rPr>
                <w:sz w:val="9"/>
                <w:szCs w:val="9"/>
                <w:color w:val="auto"/>
              </w:rPr>
            </w:pPr>
          </w:p>
        </w:tc>
        <w:tc>
          <w:tcPr>
            <w:tcW w:w="200" w:type="dxa"/>
            <w:vAlign w:val="bottom"/>
            <w:shd w:val="clear" w:color="auto" w:fill="CFEDF9"/>
          </w:tcPr>
          <w:p>
            <w:pPr>
              <w:spacing w:after="0"/>
              <w:rPr>
                <w:sz w:val="9"/>
                <w:szCs w:val="9"/>
                <w:color w:val="auto"/>
              </w:rPr>
            </w:pPr>
          </w:p>
        </w:tc>
        <w:tc>
          <w:tcPr>
            <w:tcW w:w="840" w:type="dxa"/>
            <w:vAlign w:val="bottom"/>
            <w:tcBorders>
              <w:left w:val="single" w:sz="8" w:color="CFEDF9"/>
            </w:tcBorders>
            <w:shd w:val="clear" w:color="auto" w:fill="CFEDF9"/>
          </w:tcPr>
          <w:p>
            <w:pPr>
              <w:spacing w:after="0"/>
              <w:rPr>
                <w:sz w:val="9"/>
                <w:szCs w:val="9"/>
                <w:color w:val="auto"/>
              </w:rPr>
            </w:pPr>
          </w:p>
        </w:tc>
        <w:tc>
          <w:tcPr>
            <w:tcW w:w="120" w:type="dxa"/>
            <w:vAlign w:val="bottom"/>
            <w:shd w:val="clear" w:color="auto" w:fill="CFEDF9"/>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40" w:type="dxa"/>
            <w:vAlign w:val="bottom"/>
            <w:shd w:val="clear" w:color="auto" w:fill="CFEDF9"/>
          </w:tcPr>
          <w:p>
            <w:pPr>
              <w:spacing w:after="0"/>
              <w:rPr>
                <w:sz w:val="3"/>
                <w:szCs w:val="3"/>
                <w:color w:val="auto"/>
              </w:rPr>
            </w:pPr>
          </w:p>
        </w:tc>
        <w:tc>
          <w:tcPr>
            <w:tcW w:w="100" w:type="dxa"/>
            <w:vAlign w:val="bottom"/>
            <w:shd w:val="clear" w:color="auto" w:fill="CFEDF9"/>
          </w:tcPr>
          <w:p>
            <w:pPr>
              <w:spacing w:after="0"/>
              <w:rPr>
                <w:sz w:val="3"/>
                <w:szCs w:val="3"/>
                <w:color w:val="auto"/>
              </w:rPr>
            </w:pPr>
          </w:p>
        </w:tc>
        <w:tc>
          <w:tcPr>
            <w:tcW w:w="2540" w:type="dxa"/>
            <w:vAlign w:val="bottom"/>
            <w:shd w:val="clear" w:color="auto" w:fill="CFEDF9"/>
          </w:tcPr>
          <w:p>
            <w:pPr>
              <w:spacing w:after="0"/>
              <w:rPr>
                <w:sz w:val="3"/>
                <w:szCs w:val="3"/>
                <w:color w:val="auto"/>
              </w:rPr>
            </w:pPr>
          </w:p>
        </w:tc>
        <w:tc>
          <w:tcPr>
            <w:tcW w:w="120" w:type="dxa"/>
            <w:vAlign w:val="bottom"/>
            <w:shd w:val="clear" w:color="auto" w:fill="CFEDF9"/>
          </w:tcPr>
          <w:p>
            <w:pPr>
              <w:spacing w:after="0"/>
              <w:rPr>
                <w:sz w:val="3"/>
                <w:szCs w:val="3"/>
                <w:color w:val="auto"/>
              </w:rPr>
            </w:pPr>
          </w:p>
        </w:tc>
        <w:tc>
          <w:tcPr>
            <w:tcW w:w="780" w:type="dxa"/>
            <w:vAlign w:val="bottom"/>
            <w:shd w:val="clear" w:color="auto" w:fill="CFEDF9"/>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shd w:val="clear" w:color="auto" w:fill="CFEDF9"/>
          </w:tcPr>
          <w:p>
            <w:pPr>
              <w:spacing w:after="0"/>
              <w:rPr>
                <w:sz w:val="3"/>
                <w:szCs w:val="3"/>
                <w:color w:val="auto"/>
              </w:rPr>
            </w:pPr>
          </w:p>
        </w:tc>
        <w:tc>
          <w:tcPr>
            <w:tcW w:w="780" w:type="dxa"/>
            <w:vAlign w:val="bottom"/>
            <w:shd w:val="clear" w:color="auto" w:fill="CFEDF9"/>
          </w:tcPr>
          <w:p>
            <w:pPr>
              <w:spacing w:after="0"/>
              <w:rPr>
                <w:sz w:val="3"/>
                <w:szCs w:val="3"/>
                <w:color w:val="auto"/>
              </w:rPr>
            </w:pPr>
          </w:p>
        </w:tc>
        <w:tc>
          <w:tcPr>
            <w:tcW w:w="220" w:type="dxa"/>
            <w:vAlign w:val="bottom"/>
            <w:shd w:val="clear" w:color="auto" w:fill="CFEDF9"/>
          </w:tcPr>
          <w:p>
            <w:pPr>
              <w:spacing w:after="0"/>
              <w:rPr>
                <w:sz w:val="3"/>
                <w:szCs w:val="3"/>
                <w:color w:val="auto"/>
              </w:rPr>
            </w:pPr>
          </w:p>
        </w:tc>
        <w:tc>
          <w:tcPr>
            <w:tcW w:w="800" w:type="dxa"/>
            <w:vAlign w:val="bottom"/>
            <w:shd w:val="clear" w:color="auto" w:fill="CFEDF9"/>
          </w:tcPr>
          <w:p>
            <w:pPr>
              <w:spacing w:after="0"/>
              <w:rPr>
                <w:sz w:val="3"/>
                <w:szCs w:val="3"/>
                <w:color w:val="auto"/>
              </w:rPr>
            </w:pPr>
          </w:p>
        </w:tc>
        <w:tc>
          <w:tcPr>
            <w:tcW w:w="220" w:type="dxa"/>
            <w:vAlign w:val="bottom"/>
            <w:tcBorders>
              <w:right w:val="single" w:sz="8" w:color="CFEDF9"/>
            </w:tcBorders>
            <w:shd w:val="clear" w:color="auto" w:fill="CFEDF9"/>
          </w:tcPr>
          <w:p>
            <w:pPr>
              <w:spacing w:after="0"/>
              <w:rPr>
                <w:sz w:val="3"/>
                <w:szCs w:val="3"/>
                <w:color w:val="auto"/>
              </w:rPr>
            </w:pPr>
          </w:p>
        </w:tc>
        <w:tc>
          <w:tcPr>
            <w:tcW w:w="1100" w:type="dxa"/>
            <w:vAlign w:val="bottom"/>
            <w:shd w:val="clear" w:color="auto" w:fill="CFEDF9"/>
          </w:tcPr>
          <w:p>
            <w:pPr>
              <w:spacing w:after="0"/>
              <w:rPr>
                <w:sz w:val="3"/>
                <w:szCs w:val="3"/>
                <w:color w:val="auto"/>
              </w:rPr>
            </w:pPr>
          </w:p>
        </w:tc>
        <w:tc>
          <w:tcPr>
            <w:tcW w:w="200" w:type="dxa"/>
            <w:vAlign w:val="bottom"/>
            <w:shd w:val="clear" w:color="auto" w:fill="CFEDF9"/>
          </w:tcPr>
          <w:p>
            <w:pPr>
              <w:spacing w:after="0"/>
              <w:rPr>
                <w:sz w:val="3"/>
                <w:szCs w:val="3"/>
                <w:color w:val="auto"/>
              </w:rPr>
            </w:pPr>
          </w:p>
        </w:tc>
        <w:tc>
          <w:tcPr>
            <w:tcW w:w="880" w:type="dxa"/>
            <w:vAlign w:val="bottom"/>
            <w:tcBorders>
              <w:left w:val="single" w:sz="8" w:color="CFEDF9"/>
            </w:tcBorders>
            <w:shd w:val="clear" w:color="auto" w:fill="CFEDF9"/>
          </w:tcPr>
          <w:p>
            <w:pPr>
              <w:spacing w:after="0"/>
              <w:rPr>
                <w:sz w:val="3"/>
                <w:szCs w:val="3"/>
                <w:color w:val="auto"/>
              </w:rPr>
            </w:pPr>
          </w:p>
        </w:tc>
        <w:tc>
          <w:tcPr>
            <w:tcW w:w="200" w:type="dxa"/>
            <w:vAlign w:val="bottom"/>
            <w:shd w:val="clear" w:color="auto" w:fill="CFEDF9"/>
          </w:tcPr>
          <w:p>
            <w:pPr>
              <w:spacing w:after="0"/>
              <w:rPr>
                <w:sz w:val="3"/>
                <w:szCs w:val="3"/>
                <w:color w:val="auto"/>
              </w:rPr>
            </w:pPr>
          </w:p>
        </w:tc>
        <w:tc>
          <w:tcPr>
            <w:tcW w:w="840" w:type="dxa"/>
            <w:vAlign w:val="bottom"/>
            <w:tcBorders>
              <w:left w:val="single" w:sz="8" w:color="CFEDF9"/>
            </w:tcBorders>
            <w:shd w:val="clear" w:color="auto" w:fill="CFEDF9"/>
          </w:tcPr>
          <w:p>
            <w:pPr>
              <w:spacing w:after="0"/>
              <w:rPr>
                <w:sz w:val="3"/>
                <w:szCs w:val="3"/>
                <w:color w:val="auto"/>
              </w:rPr>
            </w:pPr>
          </w:p>
        </w:tc>
        <w:tc>
          <w:tcPr>
            <w:tcW w:w="120" w:type="dxa"/>
            <w:vAlign w:val="bottom"/>
            <w:shd w:val="clear" w:color="auto" w:fill="CFEDF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6101715</wp:posOffset>
                </wp:positionH>
                <wp:positionV relativeFrom="paragraph">
                  <wp:posOffset>-7010400</wp:posOffset>
                </wp:positionV>
                <wp:extent cx="527050" cy="8763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38" o:spid="_x0000_s1063" style="position:absolute;margin-left:480.45pt;margin-top:-552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-3117215</wp:posOffset>
                </wp:positionV>
                <wp:extent cx="527050" cy="8763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39" o:spid="_x0000_s1064" style="position:absolute;margin-left:480.45pt;margin-top:-245.44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-1069975</wp:posOffset>
                </wp:positionV>
                <wp:extent cx="527050" cy="8763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40" o:spid="_x0000_s1065" style="position:absolute;margin-left:480.45pt;margin-top:-84.24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ectPr>
          <w:pgSz w:w="12240" w:h="15840" w:orient="portrait"/>
          <w:cols w:equalWidth="0" w:num="1">
            <w:col w:w="10560"/>
          </w:cols>
          <w:pgMar w:left="840" w:top="937" w:right="840" w:bottom="186"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F-13</w:t>
      </w:r>
    </w:p>
    <w:p>
      <w:pPr>
        <w:sectPr>
          <w:pgSz w:w="12240" w:h="15840" w:orient="portrait"/>
          <w:cols w:equalWidth="0" w:num="1">
            <w:col w:w="10560"/>
          </w:cols>
          <w:pgMar w:left="840" w:top="937" w:right="840" w:bottom="186"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5"/>
              </w:rPr>
              <w:t>Initial</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231F20"/>
                <w:w w:val="97"/>
              </w:rPr>
              <w:t>Reference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8"/>
              </w:rPr>
              <w:t>Acquisition</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231F20"/>
                <w:w w:val="99"/>
              </w:rPr>
              <w:t>Rate and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231F20"/>
              </w:rPr>
              <w:t>Amortized</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rPr>
              <w:t>Percentage</w:t>
            </w:r>
          </w:p>
        </w:tc>
        <w:tc>
          <w:tcPr>
            <w:tcW w:w="0" w:type="dxa"/>
            <w:vAlign w:val="bottom"/>
          </w:tcPr>
          <w:p>
            <w:pPr>
              <w:spacing w:after="0"/>
              <w:rPr>
                <w:sz w:val="1"/>
                <w:szCs w:val="1"/>
                <w:color w:val="auto"/>
              </w:rPr>
            </w:pPr>
          </w:p>
        </w:tc>
      </w:tr>
      <w:tr>
        <w:trPr>
          <w:trHeight w:val="151"/>
        </w:trPr>
        <w:tc>
          <w:tcPr>
            <w:tcW w:w="1540" w:type="dxa"/>
            <w:vAlign w:val="bottom"/>
            <w:tcBorders>
              <w:bottom w:val="single" w:sz="8" w:color="231F20"/>
            </w:tcBorders>
          </w:tcPr>
          <w:p>
            <w:pPr>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Company </w:t>
            </w:r>
            <w:r>
              <w:rPr>
                <w:rFonts w:ascii="Times New Roman" w:cs="Times New Roman" w:eastAsia="Times New Roman" w:hAnsi="Times New Roman"/>
                <w:sz w:val="16"/>
                <w:szCs w:val="16"/>
                <w:b w:val="1"/>
                <w:bCs w:val="1"/>
                <w:color w:val="231F20"/>
                <w:vertAlign w:val="superscript"/>
              </w:rPr>
              <w:t>(1)</w:t>
            </w:r>
          </w:p>
        </w:tc>
        <w:tc>
          <w:tcPr>
            <w:tcW w:w="100" w:type="dxa"/>
            <w:vAlign w:val="bottom"/>
          </w:tcPr>
          <w:p>
            <w:pPr>
              <w:spacing w:after="0"/>
              <w:rPr>
                <w:sz w:val="13"/>
                <w:szCs w:val="13"/>
                <w:color w:val="auto"/>
              </w:rPr>
            </w:pPr>
          </w:p>
        </w:tc>
        <w:tc>
          <w:tcPr>
            <w:tcW w:w="2540" w:type="dxa"/>
            <w:vAlign w:val="bottom"/>
            <w:tcBorders>
              <w:bottom w:val="single" w:sz="8" w:color="231F20"/>
            </w:tcBorders>
          </w:tcPr>
          <w:p>
            <w:pPr>
              <w:ind w:left="980"/>
              <w:spacing w:after="0"/>
              <w:rPr>
                <w:sz w:val="20"/>
                <w:szCs w:val="20"/>
                <w:color w:val="auto"/>
              </w:rPr>
            </w:pPr>
            <w:r>
              <w:rPr>
                <w:rFonts w:ascii="Times New Roman" w:cs="Times New Roman" w:eastAsia="Times New Roman" w:hAnsi="Times New Roman"/>
                <w:sz w:val="12"/>
                <w:szCs w:val="12"/>
                <w:b w:val="1"/>
                <w:bCs w:val="1"/>
                <w:color w:val="231F20"/>
              </w:rPr>
              <w:t>Investment</w:t>
            </w:r>
          </w:p>
        </w:tc>
        <w:tc>
          <w:tcPr>
            <w:tcW w:w="120" w:type="dxa"/>
            <w:vAlign w:val="bottom"/>
          </w:tcPr>
          <w:p>
            <w:pPr>
              <w:spacing w:after="0"/>
              <w:rPr>
                <w:sz w:val="13"/>
                <w:szCs w:val="13"/>
                <w:color w:val="auto"/>
              </w:rPr>
            </w:pPr>
          </w:p>
        </w:tc>
        <w:tc>
          <w:tcPr>
            <w:tcW w:w="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231F20"/>
                <w:w w:val="99"/>
              </w:rPr>
              <w:t>Date</w:t>
            </w:r>
          </w:p>
        </w:tc>
        <w:tc>
          <w:tcPr>
            <w:tcW w:w="120" w:type="dxa"/>
            <w:vAlign w:val="bottom"/>
            <w:gridSpan w:val="2"/>
          </w:tcPr>
          <w:p>
            <w:pPr>
              <w:spacing w:after="0"/>
              <w:rPr>
                <w:sz w:val="13"/>
                <w:szCs w:val="13"/>
                <w:color w:val="auto"/>
              </w:rPr>
            </w:pPr>
          </w:p>
        </w:tc>
        <w:tc>
          <w:tcPr>
            <w:tcW w:w="7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231F20"/>
              </w:rPr>
              <w:t>Spread</w:t>
            </w:r>
          </w:p>
        </w:tc>
        <w:tc>
          <w:tcPr>
            <w:tcW w:w="220" w:type="dxa"/>
            <w:vAlign w:val="bottom"/>
          </w:tcPr>
          <w:p>
            <w:pPr>
              <w:spacing w:after="0"/>
              <w:rPr>
                <w:sz w:val="13"/>
                <w:szCs w:val="13"/>
                <w:color w:val="auto"/>
              </w:rPr>
            </w:pPr>
          </w:p>
        </w:tc>
        <w:tc>
          <w:tcPr>
            <w:tcW w:w="8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2"/>
                <w:szCs w:val="12"/>
                <w:b w:val="1"/>
                <w:bCs w:val="1"/>
                <w:color w:val="231F20"/>
              </w:rPr>
              <w:t>Interest Rate</w:t>
            </w:r>
          </w:p>
        </w:tc>
        <w:tc>
          <w:tcPr>
            <w:tcW w:w="200" w:type="dxa"/>
            <w:vAlign w:val="bottom"/>
          </w:tcPr>
          <w:p>
            <w:pPr>
              <w:spacing w:after="0"/>
              <w:rPr>
                <w:sz w:val="13"/>
                <w:szCs w:val="13"/>
                <w:color w:val="auto"/>
              </w:rPr>
            </w:pPr>
          </w:p>
        </w:tc>
        <w:tc>
          <w:tcPr>
            <w:tcW w:w="1120" w:type="dxa"/>
            <w:vAlign w:val="bottom"/>
            <w:tcBorders>
              <w:bottom w:val="single" w:sz="8" w:color="231F20"/>
            </w:tcBorders>
          </w:tcPr>
          <w:p>
            <w:pPr>
              <w:jc w:val="right"/>
              <w:ind w:right="220"/>
              <w:spacing w:after="0" w:line="151" w:lineRule="exact"/>
              <w:rPr>
                <w:sz w:val="20"/>
                <w:szCs w:val="20"/>
                <w:color w:val="auto"/>
              </w:rPr>
            </w:pPr>
            <w:r>
              <w:rPr>
                <w:rFonts w:ascii="Times New Roman" w:cs="Times New Roman" w:eastAsia="Times New Roman" w:hAnsi="Times New Roman"/>
                <w:sz w:val="17"/>
                <w:szCs w:val="17"/>
                <w:b w:val="1"/>
                <w:bCs w:val="1"/>
                <w:color w:val="231F20"/>
                <w:vertAlign w:val="subscript"/>
              </w:rPr>
              <w:t>Cost</w:t>
            </w:r>
            <w:r>
              <w:rPr>
                <w:rFonts w:ascii="Times New Roman" w:cs="Times New Roman" w:eastAsia="Times New Roman" w:hAnsi="Times New Roman"/>
                <w:sz w:val="7"/>
                <w:szCs w:val="7"/>
                <w:b w:val="1"/>
                <w:bCs w:val="1"/>
                <w:color w:val="231F20"/>
              </w:rPr>
              <w:t xml:space="preserve"> (2)(8)</w:t>
            </w:r>
          </w:p>
        </w:tc>
        <w:tc>
          <w:tcPr>
            <w:tcW w:w="200" w:type="dxa"/>
            <w:vAlign w:val="bottom"/>
          </w:tcPr>
          <w:p>
            <w:pPr>
              <w:spacing w:after="0"/>
              <w:rPr>
                <w:sz w:val="13"/>
                <w:szCs w:val="13"/>
                <w:color w:val="auto"/>
              </w:rPr>
            </w:pPr>
          </w:p>
        </w:tc>
        <w:tc>
          <w:tcPr>
            <w:tcW w:w="880" w:type="dxa"/>
            <w:vAlign w:val="bottom"/>
            <w:tcBorders>
              <w:bottom w:val="single" w:sz="8" w:color="231F20"/>
            </w:tcBorders>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Fair Value </w:t>
            </w:r>
            <w:r>
              <w:rPr>
                <w:rFonts w:ascii="Times New Roman" w:cs="Times New Roman" w:eastAsia="Times New Roman" w:hAnsi="Times New Roman"/>
                <w:sz w:val="16"/>
                <w:szCs w:val="16"/>
                <w:b w:val="1"/>
                <w:bCs w:val="1"/>
                <w:color w:val="231F20"/>
                <w:vertAlign w:val="superscript"/>
              </w:rPr>
              <w:t>(9)</w:t>
            </w:r>
          </w:p>
        </w:tc>
        <w:tc>
          <w:tcPr>
            <w:tcW w:w="200" w:type="dxa"/>
            <w:vAlign w:val="bottom"/>
          </w:tcPr>
          <w:p>
            <w:pPr>
              <w:spacing w:after="0"/>
              <w:rPr>
                <w:sz w:val="13"/>
                <w:szCs w:val="13"/>
                <w:color w:val="auto"/>
              </w:rPr>
            </w:pPr>
          </w:p>
        </w:tc>
        <w:tc>
          <w:tcPr>
            <w:tcW w:w="84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231F20"/>
              </w:rPr>
              <w:t>of Net Assets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231F20"/>
              </w:rPr>
              <w:t>Oxford Square Capital Corp.</w:t>
            </w:r>
          </w:p>
        </w:tc>
        <w:tc>
          <w:tcPr>
            <w:tcW w:w="100" w:type="dxa"/>
            <w:vAlign w:val="bottom"/>
          </w:tcPr>
          <w:p>
            <w:pPr>
              <w:spacing w:after="0"/>
              <w:rPr>
                <w:sz w:val="10"/>
                <w:szCs w:val="10"/>
                <w:color w:val="auto"/>
              </w:rPr>
            </w:pPr>
          </w:p>
        </w:tc>
        <w:tc>
          <w:tcPr>
            <w:tcW w:w="25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231F20"/>
              </w:rPr>
              <w:t>Common Shares (1,620 shares)</w:t>
            </w: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231F20"/>
              </w:rPr>
              <w:t>8/5/2015</w:t>
            </w:r>
          </w:p>
        </w:tc>
        <w:tc>
          <w:tcPr>
            <w:tcW w:w="12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231F20"/>
              </w:rPr>
              <w:t>6</w:t>
            </w:r>
          </w:p>
        </w:tc>
        <w:tc>
          <w:tcPr>
            <w:tcW w:w="2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231F20"/>
              </w:rPr>
              <w:t>5</w:t>
            </w:r>
          </w:p>
        </w:tc>
        <w:tc>
          <w:tcPr>
            <w:tcW w:w="200" w:type="dxa"/>
            <w:vAlign w:val="bottom"/>
          </w:tcPr>
          <w:p>
            <w:pPr>
              <w:spacing w:after="0"/>
              <w:rPr>
                <w:sz w:val="10"/>
                <w:szCs w:val="10"/>
                <w:color w:val="auto"/>
              </w:rPr>
            </w:pPr>
          </w:p>
        </w:tc>
        <w:tc>
          <w:tcPr>
            <w:tcW w:w="9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05"/>
        </w:trPr>
        <w:tc>
          <w:tcPr>
            <w:tcW w:w="1540" w:type="dxa"/>
            <w:vAlign w:val="bottom"/>
          </w:tcPr>
          <w:p>
            <w:pPr>
              <w:spacing w:after="0"/>
              <w:rPr>
                <w:sz w:val="20"/>
                <w:szCs w:val="20"/>
                <w:color w:val="auto"/>
              </w:rPr>
            </w:pPr>
            <w:r>
              <w:rPr>
                <w:rFonts w:ascii="Times New Roman" w:cs="Times New Roman" w:eastAsia="Times New Roman" w:hAnsi="Times New Roman"/>
                <w:sz w:val="8"/>
                <w:szCs w:val="8"/>
                <w:color w:val="231F20"/>
              </w:rPr>
              <w:t>(4)(11)</w:t>
            </w: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Passport Labs, Inc. </w:t>
            </w:r>
            <w:r>
              <w:rPr>
                <w:rFonts w:ascii="Times New Roman" w:cs="Times New Roman" w:eastAsia="Times New Roman" w:hAnsi="Times New Roman"/>
                <w:sz w:val="15"/>
                <w:szCs w:val="15"/>
                <w:color w:val="231F20"/>
                <w:vertAlign w:val="superscript"/>
              </w:rPr>
              <w:t>(12)</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17,534 Warrants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4/28/2021</w:t>
            </w:r>
          </w:p>
        </w:tc>
        <w:tc>
          <w:tcPr>
            <w:tcW w:w="20" w:type="dxa"/>
            <w:vAlign w:val="bottom"/>
            <w:vMerge w:val="continue"/>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192</w:t>
            </w:r>
          </w:p>
        </w:tc>
        <w:tc>
          <w:tcPr>
            <w:tcW w:w="108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71</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TradingScreen, Inc. </w:t>
            </w:r>
            <w:r>
              <w:rPr>
                <w:rFonts w:ascii="Times New Roman" w:cs="Times New Roman" w:eastAsia="Times New Roman" w:hAnsi="Times New Roman"/>
                <w:sz w:val="15"/>
                <w:szCs w:val="15"/>
                <w:color w:val="231F20"/>
                <w:vertAlign w:val="superscript"/>
              </w:rPr>
              <w:t>(12)(14)</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Class A Units (600,000 units)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5/14/2021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600</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600</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20"/>
        </w:trPr>
        <w:tc>
          <w:tcPr>
            <w:tcW w:w="154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254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20" w:type="dxa"/>
            <w:vAlign w:val="bottom"/>
            <w:shd w:val="clear" w:color="auto" w:fill="CFEDF9"/>
          </w:tcPr>
          <w:p>
            <w:pPr>
              <w:spacing w:after="0" w:line="20" w:lineRule="exact"/>
              <w:rPr>
                <w:sz w:val="1"/>
                <w:szCs w:val="1"/>
                <w:color w:val="auto"/>
              </w:rPr>
            </w:pPr>
          </w:p>
        </w:tc>
        <w:tc>
          <w:tcPr>
            <w:tcW w:w="800" w:type="dxa"/>
            <w:vAlign w:val="bottom"/>
            <w:shd w:val="clear" w:color="auto" w:fill="CFEDF9"/>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12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5,997</w:t>
            </w:r>
          </w:p>
        </w:tc>
        <w:tc>
          <w:tcPr>
            <w:tcW w:w="200" w:type="dxa"/>
            <w:vAlign w:val="bottom"/>
            <w:shd w:val="clear" w:color="auto" w:fill="CFEDF9"/>
          </w:tcPr>
          <w:p>
            <w:pPr>
              <w:spacing w:after="0"/>
              <w:rPr>
                <w:sz w:val="11"/>
                <w:szCs w:val="11"/>
                <w:color w:val="auto"/>
              </w:rPr>
            </w:pP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7,516</w:t>
            </w:r>
          </w:p>
        </w:tc>
        <w:tc>
          <w:tcPr>
            <w:tcW w:w="20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0.5%</w:t>
            </w:r>
          </w:p>
        </w:tc>
        <w:tc>
          <w:tcPr>
            <w:tcW w:w="0" w:type="dxa"/>
            <w:vAlign w:val="bottom"/>
          </w:tcPr>
          <w:p>
            <w:pPr>
              <w:spacing w:after="0"/>
              <w:rPr>
                <w:sz w:val="1"/>
                <w:szCs w:val="1"/>
                <w:color w:val="auto"/>
              </w:rPr>
            </w:pPr>
          </w:p>
        </w:tc>
      </w:tr>
      <w:tr>
        <w:trPr>
          <w:trHeight w:val="128"/>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Healthcare</w:t>
            </w: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Borders>
              <w:top w:val="single" w:sz="8" w:color="231F20"/>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231F20"/>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231F2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Caris Life Sciences, Inc. </w:t>
            </w:r>
            <w:r>
              <w:rPr>
                <w:rFonts w:ascii="Times New Roman" w:cs="Times New Roman" w:eastAsia="Times New Roman" w:hAnsi="Times New Roman"/>
                <w:sz w:val="15"/>
                <w:szCs w:val="15"/>
                <w:color w:val="231F20"/>
                <w:vertAlign w:val="superscript"/>
              </w:rPr>
              <w:t>(12)</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Series C Preferred Shares (362,319 shares)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10/13/2020</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1,000</w:t>
            </w:r>
          </w:p>
        </w:tc>
        <w:tc>
          <w:tcPr>
            <w:tcW w:w="108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1,310</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Series D Preferred Shares (1,240,740 shares)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5/11/2021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10,050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8,668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0.6%</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633,376 Warrants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9/21/2018</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192</w:t>
            </w:r>
          </w:p>
        </w:tc>
        <w:tc>
          <w:tcPr>
            <w:tcW w:w="108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1,270</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569,991 Warrants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4/2/2020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250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959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Merative L.P. </w:t>
            </w:r>
            <w:r>
              <w:rPr>
                <w:rFonts w:ascii="Times New Roman" w:cs="Times New Roman" w:eastAsia="Times New Roman" w:hAnsi="Times New Roman"/>
                <w:sz w:val="15"/>
                <w:szCs w:val="15"/>
                <w:color w:val="231F20"/>
                <w:vertAlign w:val="superscript"/>
              </w:rPr>
              <w:t>(12)(13)(14)</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989,691 Class A-1 Units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6/30/2022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9,897</w:t>
            </w:r>
          </w:p>
        </w:tc>
        <w:tc>
          <w:tcPr>
            <w:tcW w:w="200" w:type="dxa"/>
            <w:vAlign w:val="bottom"/>
            <w:shd w:val="clear" w:color="auto" w:fill="CFEDF9"/>
          </w:tcPr>
          <w:p>
            <w:pPr>
              <w:spacing w:after="0"/>
              <w:rPr>
                <w:sz w:val="11"/>
                <w:szCs w:val="11"/>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9,897</w:t>
            </w:r>
          </w:p>
        </w:tc>
        <w:tc>
          <w:tcPr>
            <w:tcW w:w="20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0.7%</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21,389</w:t>
            </w:r>
          </w:p>
        </w:tc>
        <w:tc>
          <w:tcPr>
            <w:tcW w:w="200" w:type="dxa"/>
            <w:vAlign w:val="bottom"/>
            <w:vMerge w:val="continue"/>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22,104</w:t>
            </w:r>
          </w:p>
        </w:tc>
        <w:tc>
          <w:tcPr>
            <w:tcW w:w="200" w:type="dxa"/>
            <w:vAlign w:val="bottom"/>
            <w:vMerge w:val="continue"/>
          </w:tcPr>
          <w:p>
            <w:pPr>
              <w:spacing w:after="0"/>
              <w:rPr>
                <w:sz w:val="11"/>
                <w:szCs w:val="11"/>
                <w:color w:val="auto"/>
              </w:rPr>
            </w:pP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1.6%</w:t>
            </w:r>
          </w:p>
        </w:tc>
        <w:tc>
          <w:tcPr>
            <w:tcW w:w="0" w:type="dxa"/>
            <w:vAlign w:val="bottom"/>
          </w:tcPr>
          <w:p>
            <w:pPr>
              <w:spacing w:after="0"/>
              <w:rPr>
                <w:sz w:val="1"/>
                <w:szCs w:val="1"/>
                <w:color w:val="auto"/>
              </w:rPr>
            </w:pPr>
          </w:p>
        </w:tc>
      </w:tr>
      <w:tr>
        <w:trPr>
          <w:trHeight w:val="128"/>
        </w:trPr>
        <w:tc>
          <w:tcPr>
            <w:tcW w:w="1540" w:type="dxa"/>
            <w:vAlign w:val="bottom"/>
            <w:tcBorders>
              <w:top w:val="single" w:sz="8" w:color="CFEDF9"/>
            </w:tcBorders>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Hotel, Gaming and Leisure</w:t>
            </w:r>
          </w:p>
        </w:tc>
        <w:tc>
          <w:tcPr>
            <w:tcW w:w="100" w:type="dxa"/>
            <w:vAlign w:val="bottom"/>
            <w:tcBorders>
              <w:top w:val="single" w:sz="8" w:color="CFEDF9"/>
            </w:tcBorders>
            <w:shd w:val="clear" w:color="auto" w:fill="CFEDF9"/>
          </w:tcPr>
          <w:p>
            <w:pPr>
              <w:spacing w:after="0"/>
              <w:rPr>
                <w:sz w:val="11"/>
                <w:szCs w:val="11"/>
                <w:color w:val="auto"/>
              </w:rPr>
            </w:pPr>
          </w:p>
        </w:tc>
        <w:tc>
          <w:tcPr>
            <w:tcW w:w="2540" w:type="dxa"/>
            <w:vAlign w:val="bottom"/>
            <w:tcBorders>
              <w:top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0" w:type="dxa"/>
            <w:vAlign w:val="bottom"/>
            <w:tcBorders>
              <w:top w:val="single" w:sz="8" w:color="CFEDF9"/>
            </w:tcBorders>
            <w:shd w:val="clear" w:color="auto" w:fill="CFEDF9"/>
          </w:tcPr>
          <w:p>
            <w:pPr>
              <w:spacing w:after="0"/>
              <w:rPr>
                <w:sz w:val="11"/>
                <w:szCs w:val="11"/>
                <w:color w:val="auto"/>
              </w:rPr>
            </w:pPr>
          </w:p>
        </w:tc>
        <w:tc>
          <w:tcPr>
            <w:tcW w:w="100" w:type="dxa"/>
            <w:vAlign w:val="bottom"/>
            <w:tcBorders>
              <w:top w:val="single" w:sz="8" w:color="CFEDF9"/>
            </w:tcBorders>
            <w:shd w:val="clear" w:color="auto" w:fill="CFEDF9"/>
          </w:tcPr>
          <w:p>
            <w:pPr>
              <w:spacing w:after="0"/>
              <w:rPr>
                <w:sz w:val="11"/>
                <w:szCs w:val="11"/>
                <w:color w:val="auto"/>
              </w:rPr>
            </w:pPr>
          </w:p>
        </w:tc>
        <w:tc>
          <w:tcPr>
            <w:tcW w:w="780" w:type="dxa"/>
            <w:vAlign w:val="bottom"/>
            <w:tcBorders>
              <w:top w:val="single" w:sz="8" w:color="CFEDF9"/>
            </w:tcBorders>
            <w:shd w:val="clear" w:color="auto" w:fill="CFEDF9"/>
          </w:tcPr>
          <w:p>
            <w:pPr>
              <w:spacing w:after="0"/>
              <w:rPr>
                <w:sz w:val="11"/>
                <w:szCs w:val="11"/>
                <w:color w:val="auto"/>
              </w:rPr>
            </w:pPr>
          </w:p>
        </w:tc>
        <w:tc>
          <w:tcPr>
            <w:tcW w:w="220" w:type="dxa"/>
            <w:vAlign w:val="bottom"/>
            <w:tcBorders>
              <w:top w:val="single" w:sz="8" w:color="CFEDF9"/>
            </w:tcBorders>
            <w:shd w:val="clear" w:color="auto" w:fill="CFEDF9"/>
          </w:tcPr>
          <w:p>
            <w:pPr>
              <w:spacing w:after="0"/>
              <w:rPr>
                <w:sz w:val="11"/>
                <w:szCs w:val="11"/>
                <w:color w:val="auto"/>
              </w:rPr>
            </w:pPr>
          </w:p>
        </w:tc>
        <w:tc>
          <w:tcPr>
            <w:tcW w:w="800" w:type="dxa"/>
            <w:vAlign w:val="bottom"/>
            <w:tcBorders>
              <w:top w:val="single" w:sz="8" w:color="CFEDF9"/>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1120" w:type="dxa"/>
            <w:vAlign w:val="bottom"/>
            <w:tcBorders>
              <w:top w:val="single" w:sz="8" w:color="231F20"/>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80" w:type="dxa"/>
            <w:vAlign w:val="bottom"/>
            <w:tcBorders>
              <w:top w:val="single" w:sz="8" w:color="231F20"/>
            </w:tcBorders>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840" w:type="dxa"/>
            <w:vAlign w:val="bottom"/>
            <w:tcBorders>
              <w:top w:val="single" w:sz="8" w:color="231F20"/>
              <w:left w:val="single" w:sz="8" w:color="CFEDF9"/>
            </w:tcBorders>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IRGSE Holding Corp. </w:t>
            </w:r>
            <w:r>
              <w:rPr>
                <w:rFonts w:ascii="Times New Roman" w:cs="Times New Roman" w:eastAsia="Times New Roman" w:hAnsi="Times New Roman"/>
                <w:sz w:val="15"/>
                <w:szCs w:val="15"/>
                <w:color w:val="231F20"/>
                <w:vertAlign w:val="superscript"/>
              </w:rPr>
              <w:t>(7)(12)</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Class A Units (33,790,171 units)</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231F20"/>
              </w:rPr>
              <w:t>12/21/2018</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21,842</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24,413</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1.8%</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Class C-1 Units (8,800,000 units)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12/21/2018</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100</w:t>
            </w:r>
          </w:p>
        </w:tc>
        <w:tc>
          <w:tcPr>
            <w:tcW w:w="200" w:type="dxa"/>
            <w:vAlign w:val="bottom"/>
            <w:shd w:val="clear" w:color="auto" w:fill="CFEDF9"/>
          </w:tcPr>
          <w:p>
            <w:pPr>
              <w:spacing w:after="0"/>
              <w:rPr>
                <w:sz w:val="11"/>
                <w:szCs w:val="11"/>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43</w:t>
            </w:r>
          </w:p>
        </w:tc>
        <w:tc>
          <w:tcPr>
            <w:tcW w:w="20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21,942</w:t>
            </w:r>
          </w:p>
        </w:tc>
        <w:tc>
          <w:tcPr>
            <w:tcW w:w="200" w:type="dxa"/>
            <w:vAlign w:val="bottom"/>
            <w:vMerge w:val="continue"/>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231F20"/>
              </w:rPr>
              <w:t>24,456</w:t>
            </w:r>
          </w:p>
        </w:tc>
        <w:tc>
          <w:tcPr>
            <w:tcW w:w="200" w:type="dxa"/>
            <w:vAlign w:val="bottom"/>
            <w:vMerge w:val="continue"/>
          </w:tcPr>
          <w:p>
            <w:pPr>
              <w:spacing w:after="0"/>
              <w:rPr>
                <w:sz w:val="11"/>
                <w:szCs w:val="11"/>
                <w:color w:val="auto"/>
              </w:rPr>
            </w:pP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1.8%</w:t>
            </w:r>
          </w:p>
        </w:tc>
        <w:tc>
          <w:tcPr>
            <w:tcW w:w="0" w:type="dxa"/>
            <w:vAlign w:val="bottom"/>
          </w:tcPr>
          <w:p>
            <w:pPr>
              <w:spacing w:after="0"/>
              <w:rPr>
                <w:sz w:val="1"/>
                <w:szCs w:val="1"/>
                <w:color w:val="auto"/>
              </w:rPr>
            </w:pPr>
          </w:p>
        </w:tc>
      </w:tr>
      <w:tr>
        <w:trPr>
          <w:trHeight w:val="115"/>
        </w:trPr>
        <w:tc>
          <w:tcPr>
            <w:tcW w:w="1540" w:type="dxa"/>
            <w:vAlign w:val="bottom"/>
            <w:tcBorders>
              <w:top w:val="single" w:sz="8" w:color="CFEDF9"/>
            </w:tcBorders>
            <w:shd w:val="clear" w:color="auto" w:fill="CFEDF9"/>
          </w:tcPr>
          <w:p>
            <w:pPr>
              <w:spacing w:after="0" w:line="115" w:lineRule="exact"/>
              <w:rPr>
                <w:sz w:val="20"/>
                <w:szCs w:val="20"/>
                <w:color w:val="auto"/>
              </w:rPr>
            </w:pPr>
            <w:r>
              <w:rPr>
                <w:rFonts w:ascii="Times New Roman" w:cs="Times New Roman" w:eastAsia="Times New Roman" w:hAnsi="Times New Roman"/>
                <w:sz w:val="12"/>
                <w:szCs w:val="12"/>
                <w:b w:val="1"/>
                <w:bCs w:val="1"/>
                <w:color w:val="231F20"/>
              </w:rPr>
              <w:t>Human Resource Support</w:t>
            </w:r>
          </w:p>
        </w:tc>
        <w:tc>
          <w:tcPr>
            <w:tcW w:w="100" w:type="dxa"/>
            <w:vAlign w:val="bottom"/>
            <w:tcBorders>
              <w:top w:val="single" w:sz="8" w:color="CFEDF9"/>
            </w:tcBorders>
            <w:shd w:val="clear" w:color="auto" w:fill="CFEDF9"/>
          </w:tcPr>
          <w:p>
            <w:pPr>
              <w:spacing w:after="0"/>
              <w:rPr>
                <w:sz w:val="10"/>
                <w:szCs w:val="10"/>
                <w:color w:val="auto"/>
              </w:rPr>
            </w:pPr>
          </w:p>
        </w:tc>
        <w:tc>
          <w:tcPr>
            <w:tcW w:w="2540" w:type="dxa"/>
            <w:vAlign w:val="bottom"/>
            <w:tcBorders>
              <w:top w:val="single" w:sz="8" w:color="CFEDF9"/>
            </w:tcBorders>
            <w:shd w:val="clear" w:color="auto" w:fill="CFEDF9"/>
          </w:tcPr>
          <w:p>
            <w:pPr>
              <w:spacing w:after="0"/>
              <w:rPr>
                <w:sz w:val="10"/>
                <w:szCs w:val="10"/>
                <w:color w:val="auto"/>
              </w:rPr>
            </w:pPr>
          </w:p>
        </w:tc>
        <w:tc>
          <w:tcPr>
            <w:tcW w:w="120" w:type="dxa"/>
            <w:vAlign w:val="bottom"/>
            <w:tcBorders>
              <w:top w:val="single" w:sz="8" w:color="CFEDF9"/>
            </w:tcBorders>
            <w:shd w:val="clear" w:color="auto" w:fill="CFEDF9"/>
          </w:tcPr>
          <w:p>
            <w:pPr>
              <w:spacing w:after="0"/>
              <w:rPr>
                <w:sz w:val="10"/>
                <w:szCs w:val="10"/>
                <w:color w:val="auto"/>
              </w:rPr>
            </w:pPr>
          </w:p>
        </w:tc>
        <w:tc>
          <w:tcPr>
            <w:tcW w:w="780" w:type="dxa"/>
            <w:vAlign w:val="bottom"/>
            <w:tcBorders>
              <w:top w:val="single" w:sz="8" w:color="CFEDF9"/>
            </w:tcBorders>
            <w:shd w:val="clear" w:color="auto" w:fill="CFEDF9"/>
          </w:tcPr>
          <w:p>
            <w:pPr>
              <w:spacing w:after="0"/>
              <w:rPr>
                <w:sz w:val="10"/>
                <w:szCs w:val="10"/>
                <w:color w:val="auto"/>
              </w:rPr>
            </w:pPr>
          </w:p>
        </w:tc>
        <w:tc>
          <w:tcPr>
            <w:tcW w:w="20" w:type="dxa"/>
            <w:vAlign w:val="bottom"/>
            <w:tcBorders>
              <w:top w:val="single" w:sz="8" w:color="CFEDF9"/>
            </w:tcBorders>
            <w:shd w:val="clear" w:color="auto" w:fill="CFEDF9"/>
          </w:tcPr>
          <w:p>
            <w:pPr>
              <w:spacing w:after="0"/>
              <w:rPr>
                <w:sz w:val="10"/>
                <w:szCs w:val="10"/>
                <w:color w:val="auto"/>
              </w:rPr>
            </w:pPr>
          </w:p>
        </w:tc>
        <w:tc>
          <w:tcPr>
            <w:tcW w:w="100" w:type="dxa"/>
            <w:vAlign w:val="bottom"/>
            <w:tcBorders>
              <w:top w:val="single" w:sz="8" w:color="CFEDF9"/>
            </w:tcBorders>
            <w:shd w:val="clear" w:color="auto" w:fill="CFEDF9"/>
          </w:tcPr>
          <w:p>
            <w:pPr>
              <w:spacing w:after="0"/>
              <w:rPr>
                <w:sz w:val="10"/>
                <w:szCs w:val="10"/>
                <w:color w:val="auto"/>
              </w:rPr>
            </w:pPr>
          </w:p>
        </w:tc>
        <w:tc>
          <w:tcPr>
            <w:tcW w:w="780" w:type="dxa"/>
            <w:vAlign w:val="bottom"/>
            <w:tcBorders>
              <w:top w:val="single" w:sz="8" w:color="CFEDF9"/>
            </w:tcBorders>
            <w:shd w:val="clear" w:color="auto" w:fill="CFEDF9"/>
          </w:tcPr>
          <w:p>
            <w:pPr>
              <w:spacing w:after="0"/>
              <w:rPr>
                <w:sz w:val="10"/>
                <w:szCs w:val="10"/>
                <w:color w:val="auto"/>
              </w:rPr>
            </w:pPr>
          </w:p>
        </w:tc>
        <w:tc>
          <w:tcPr>
            <w:tcW w:w="220" w:type="dxa"/>
            <w:vAlign w:val="bottom"/>
            <w:tcBorders>
              <w:top w:val="single" w:sz="8" w:color="CFEDF9"/>
            </w:tcBorders>
            <w:shd w:val="clear" w:color="auto" w:fill="CFEDF9"/>
          </w:tcPr>
          <w:p>
            <w:pPr>
              <w:spacing w:after="0"/>
              <w:rPr>
                <w:sz w:val="10"/>
                <w:szCs w:val="10"/>
                <w:color w:val="auto"/>
              </w:rPr>
            </w:pPr>
          </w:p>
        </w:tc>
        <w:tc>
          <w:tcPr>
            <w:tcW w:w="800" w:type="dxa"/>
            <w:vAlign w:val="bottom"/>
            <w:tcBorders>
              <w:top w:val="single" w:sz="8" w:color="CFEDF9"/>
            </w:tcBorders>
            <w:shd w:val="clear" w:color="auto" w:fill="CFEDF9"/>
          </w:tcPr>
          <w:p>
            <w:pPr>
              <w:spacing w:after="0"/>
              <w:rPr>
                <w:sz w:val="10"/>
                <w:szCs w:val="10"/>
                <w:color w:val="auto"/>
              </w:rPr>
            </w:pPr>
          </w:p>
        </w:tc>
        <w:tc>
          <w:tcPr>
            <w:tcW w:w="200" w:type="dxa"/>
            <w:vAlign w:val="bottom"/>
            <w:tcBorders>
              <w:top w:val="single" w:sz="8" w:color="CFEDF9"/>
            </w:tcBorders>
            <w:shd w:val="clear" w:color="auto" w:fill="CFEDF9"/>
          </w:tcPr>
          <w:p>
            <w:pPr>
              <w:spacing w:after="0"/>
              <w:rPr>
                <w:sz w:val="10"/>
                <w:szCs w:val="10"/>
                <w:color w:val="auto"/>
              </w:rPr>
            </w:pPr>
          </w:p>
        </w:tc>
        <w:tc>
          <w:tcPr>
            <w:tcW w:w="1120" w:type="dxa"/>
            <w:vAlign w:val="bottom"/>
            <w:tcBorders>
              <w:top w:val="single" w:sz="8" w:color="231F20"/>
            </w:tcBorders>
            <w:shd w:val="clear" w:color="auto" w:fill="CFEDF9"/>
          </w:tcPr>
          <w:p>
            <w:pPr>
              <w:spacing w:after="0"/>
              <w:rPr>
                <w:sz w:val="10"/>
                <w:szCs w:val="10"/>
                <w:color w:val="auto"/>
              </w:rPr>
            </w:pPr>
          </w:p>
        </w:tc>
        <w:tc>
          <w:tcPr>
            <w:tcW w:w="200" w:type="dxa"/>
            <w:vAlign w:val="bottom"/>
            <w:tcBorders>
              <w:top w:val="single" w:sz="8" w:color="CFEDF9"/>
            </w:tcBorders>
            <w:shd w:val="clear" w:color="auto" w:fill="CFEDF9"/>
          </w:tcPr>
          <w:p>
            <w:pPr>
              <w:spacing w:after="0"/>
              <w:rPr>
                <w:sz w:val="10"/>
                <w:szCs w:val="10"/>
                <w:color w:val="auto"/>
              </w:rPr>
            </w:pPr>
          </w:p>
        </w:tc>
        <w:tc>
          <w:tcPr>
            <w:tcW w:w="880" w:type="dxa"/>
            <w:vAlign w:val="bottom"/>
            <w:tcBorders>
              <w:top w:val="single" w:sz="8" w:color="231F20"/>
            </w:tcBorders>
            <w:shd w:val="clear" w:color="auto" w:fill="CFEDF9"/>
          </w:tcPr>
          <w:p>
            <w:pPr>
              <w:spacing w:after="0"/>
              <w:rPr>
                <w:sz w:val="10"/>
                <w:szCs w:val="10"/>
                <w:color w:val="auto"/>
              </w:rPr>
            </w:pPr>
          </w:p>
        </w:tc>
        <w:tc>
          <w:tcPr>
            <w:tcW w:w="200" w:type="dxa"/>
            <w:vAlign w:val="bottom"/>
            <w:tcBorders>
              <w:top w:val="single" w:sz="8" w:color="CFEDF9"/>
            </w:tcBorders>
            <w:shd w:val="clear" w:color="auto" w:fill="CFEDF9"/>
          </w:tcPr>
          <w:p>
            <w:pPr>
              <w:spacing w:after="0"/>
              <w:rPr>
                <w:sz w:val="10"/>
                <w:szCs w:val="10"/>
                <w:color w:val="auto"/>
              </w:rPr>
            </w:pPr>
          </w:p>
        </w:tc>
        <w:tc>
          <w:tcPr>
            <w:tcW w:w="840" w:type="dxa"/>
            <w:vAlign w:val="bottom"/>
            <w:tcBorders>
              <w:top w:val="single" w:sz="8" w:color="231F20"/>
              <w:left w:val="single" w:sz="8" w:color="CFEDF9"/>
            </w:tcBorders>
            <w:shd w:val="clear" w:color="auto" w:fill="CFEDF9"/>
          </w:tcPr>
          <w:p>
            <w:pPr>
              <w:spacing w:after="0"/>
              <w:rPr>
                <w:sz w:val="10"/>
                <w:szCs w:val="10"/>
                <w:color w:val="auto"/>
              </w:rPr>
            </w:pPr>
          </w:p>
        </w:tc>
        <w:tc>
          <w:tcPr>
            <w:tcW w:w="120" w:type="dxa"/>
            <w:vAlign w:val="bottom"/>
            <w:tcBorders>
              <w:top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Services</w:t>
            </w:r>
          </w:p>
        </w:tc>
        <w:tc>
          <w:tcPr>
            <w:tcW w:w="100" w:type="dxa"/>
            <w:vAlign w:val="bottom"/>
            <w:shd w:val="clear" w:color="auto" w:fill="CFEDF9"/>
          </w:tcPr>
          <w:p>
            <w:pPr>
              <w:spacing w:after="0"/>
              <w:rPr>
                <w:sz w:val="13"/>
                <w:szCs w:val="13"/>
                <w:color w:val="auto"/>
              </w:rPr>
            </w:pPr>
          </w:p>
        </w:tc>
        <w:tc>
          <w:tcPr>
            <w:tcW w:w="254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7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780" w:type="dxa"/>
            <w:vAlign w:val="bottom"/>
            <w:shd w:val="clear" w:color="auto" w:fill="CFEDF9"/>
          </w:tcPr>
          <w:p>
            <w:pPr>
              <w:spacing w:after="0"/>
              <w:rPr>
                <w:sz w:val="13"/>
                <w:szCs w:val="13"/>
                <w:color w:val="auto"/>
              </w:rPr>
            </w:pPr>
          </w:p>
        </w:tc>
        <w:tc>
          <w:tcPr>
            <w:tcW w:w="220" w:type="dxa"/>
            <w:vAlign w:val="bottom"/>
            <w:shd w:val="clear" w:color="auto" w:fill="CFEDF9"/>
          </w:tcPr>
          <w:p>
            <w:pPr>
              <w:spacing w:after="0"/>
              <w:rPr>
                <w:sz w:val="13"/>
                <w:szCs w:val="13"/>
                <w:color w:val="auto"/>
              </w:rPr>
            </w:pPr>
          </w:p>
        </w:tc>
        <w:tc>
          <w:tcPr>
            <w:tcW w:w="800" w:type="dxa"/>
            <w:vAlign w:val="bottom"/>
            <w:shd w:val="clear" w:color="auto" w:fill="CFEDF9"/>
          </w:tcPr>
          <w:p>
            <w:pPr>
              <w:spacing w:after="0"/>
              <w:rPr>
                <w:sz w:val="13"/>
                <w:szCs w:val="13"/>
                <w:color w:val="auto"/>
              </w:rPr>
            </w:pPr>
          </w:p>
        </w:tc>
        <w:tc>
          <w:tcPr>
            <w:tcW w:w="200" w:type="dxa"/>
            <w:vAlign w:val="bottom"/>
            <w:shd w:val="clear" w:color="auto" w:fill="CFEDF9"/>
          </w:tcPr>
          <w:p>
            <w:pPr>
              <w:spacing w:after="0"/>
              <w:rPr>
                <w:sz w:val="13"/>
                <w:szCs w:val="13"/>
                <w:color w:val="auto"/>
              </w:rPr>
            </w:pPr>
          </w:p>
        </w:tc>
        <w:tc>
          <w:tcPr>
            <w:tcW w:w="1120" w:type="dxa"/>
            <w:vAlign w:val="bottom"/>
            <w:shd w:val="clear" w:color="auto" w:fill="CFEDF9"/>
          </w:tcPr>
          <w:p>
            <w:pPr>
              <w:spacing w:after="0"/>
              <w:rPr>
                <w:sz w:val="13"/>
                <w:szCs w:val="13"/>
                <w:color w:val="auto"/>
              </w:rPr>
            </w:pPr>
          </w:p>
        </w:tc>
        <w:tc>
          <w:tcPr>
            <w:tcW w:w="200" w:type="dxa"/>
            <w:vAlign w:val="bottom"/>
            <w:shd w:val="clear" w:color="auto" w:fill="CFEDF9"/>
          </w:tcPr>
          <w:p>
            <w:pPr>
              <w:spacing w:after="0"/>
              <w:rPr>
                <w:sz w:val="13"/>
                <w:szCs w:val="13"/>
                <w:color w:val="auto"/>
              </w:rPr>
            </w:pPr>
          </w:p>
        </w:tc>
        <w:tc>
          <w:tcPr>
            <w:tcW w:w="880" w:type="dxa"/>
            <w:vAlign w:val="bottom"/>
            <w:shd w:val="clear" w:color="auto" w:fill="CFEDF9"/>
          </w:tcPr>
          <w:p>
            <w:pPr>
              <w:spacing w:after="0"/>
              <w:rPr>
                <w:sz w:val="13"/>
                <w:szCs w:val="13"/>
                <w:color w:val="auto"/>
              </w:rPr>
            </w:pPr>
          </w:p>
        </w:tc>
        <w:tc>
          <w:tcPr>
            <w:tcW w:w="200" w:type="dxa"/>
            <w:vAlign w:val="bottom"/>
            <w:shd w:val="clear" w:color="auto" w:fill="CFEDF9"/>
          </w:tcPr>
          <w:p>
            <w:pPr>
              <w:spacing w:after="0"/>
              <w:rPr>
                <w:sz w:val="13"/>
                <w:szCs w:val="13"/>
                <w:color w:val="auto"/>
              </w:rPr>
            </w:pPr>
          </w:p>
        </w:tc>
        <w:tc>
          <w:tcPr>
            <w:tcW w:w="840" w:type="dxa"/>
            <w:vAlign w:val="bottom"/>
            <w:tcBorders>
              <w:left w:val="single" w:sz="8" w:color="CFEDF9"/>
            </w:tcBorders>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Axonify, Inc. </w:t>
            </w:r>
            <w:r>
              <w:rPr>
                <w:rFonts w:ascii="Times New Roman" w:cs="Times New Roman" w:eastAsia="Times New Roman" w:hAnsi="Times New Roman"/>
                <w:sz w:val="15"/>
                <w:szCs w:val="15"/>
                <w:color w:val="231F20"/>
                <w:vertAlign w:val="superscript"/>
              </w:rPr>
              <w:t>(4)(12)(14)</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Class A-1 Units (3,780,000 units)</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231F20"/>
              </w:rPr>
              <w:t>5/5/2021</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3,780</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4,262</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0.3%</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bswift, LLC </w:t>
            </w:r>
            <w:r>
              <w:rPr>
                <w:rFonts w:ascii="Times New Roman" w:cs="Times New Roman" w:eastAsia="Times New Roman" w:hAnsi="Times New Roman"/>
                <w:sz w:val="15"/>
                <w:szCs w:val="15"/>
                <w:color w:val="231F20"/>
                <w:vertAlign w:val="superscript"/>
              </w:rPr>
              <w:t>(12)(13)</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Class A-1 Units (2,393,509 units)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11/7/2022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2,394</w:t>
            </w:r>
          </w:p>
        </w:tc>
        <w:tc>
          <w:tcPr>
            <w:tcW w:w="108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2,394</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ClearCompany, LLC </w:t>
            </w:r>
            <w:r>
              <w:rPr>
                <w:rFonts w:ascii="Times New Roman" w:cs="Times New Roman" w:eastAsia="Times New Roman" w:hAnsi="Times New Roman"/>
                <w:sz w:val="15"/>
                <w:szCs w:val="15"/>
                <w:color w:val="231F20"/>
                <w:vertAlign w:val="superscript"/>
              </w:rPr>
              <w:t>(12)(14)</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Series A Preferred Units (1,429,228 units)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8/24/2018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2,014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4,869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0.4%</w:t>
            </w:r>
          </w:p>
        </w:tc>
        <w:tc>
          <w:tcPr>
            <w:tcW w:w="0" w:type="dxa"/>
            <w:vAlign w:val="bottom"/>
          </w:tcPr>
          <w:p>
            <w:pPr>
              <w:spacing w:after="0"/>
              <w:rPr>
                <w:sz w:val="1"/>
                <w:szCs w:val="1"/>
                <w:color w:val="auto"/>
              </w:rPr>
            </w:pPr>
          </w:p>
        </w:tc>
      </w:tr>
      <w:tr>
        <w:trPr>
          <w:trHeight w:val="132"/>
        </w:trPr>
        <w:tc>
          <w:tcPr>
            <w:tcW w:w="1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DaySmart Holdings, LLC</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Class A Units (166,811 units)</w:t>
            </w:r>
          </w:p>
        </w:tc>
        <w:tc>
          <w:tcPr>
            <w:tcW w:w="9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10/1/2019</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1,347</w:t>
            </w:r>
          </w:p>
        </w:tc>
        <w:tc>
          <w:tcPr>
            <w:tcW w:w="108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1,798</w:t>
            </w:r>
          </w:p>
        </w:tc>
        <w:tc>
          <w:tcPr>
            <w:tcW w:w="960" w:type="dxa"/>
            <w:vAlign w:val="bottom"/>
            <w:tcBorders>
              <w:left w:val="single" w:sz="8" w:color="CFEDF9"/>
            </w:tcBorders>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24"/>
        </w:trPr>
        <w:tc>
          <w:tcPr>
            <w:tcW w:w="15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(12)(14)</w:t>
            </w:r>
          </w:p>
        </w:tc>
        <w:tc>
          <w:tcPr>
            <w:tcW w:w="100" w:type="dxa"/>
            <w:vAlign w:val="bottom"/>
            <w:tcBorders>
              <w:bottom w:val="single" w:sz="8" w:color="CFEDF9"/>
            </w:tcBorders>
            <w:shd w:val="clear" w:color="auto" w:fill="CFEDF9"/>
          </w:tcPr>
          <w:p>
            <w:pPr>
              <w:spacing w:after="0"/>
              <w:rPr>
                <w:sz w:val="10"/>
                <w:szCs w:val="10"/>
                <w:color w:val="auto"/>
              </w:rPr>
            </w:pPr>
          </w:p>
        </w:tc>
        <w:tc>
          <w:tcPr>
            <w:tcW w:w="254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tcBorders>
            <w:shd w:val="clear" w:color="auto" w:fill="CFEDF9"/>
          </w:tcPr>
          <w:p>
            <w:pPr>
              <w:spacing w:after="0"/>
              <w:rPr>
                <w:sz w:val="10"/>
                <w:szCs w:val="10"/>
                <w:color w:val="auto"/>
              </w:rPr>
            </w:pPr>
          </w:p>
        </w:tc>
        <w:tc>
          <w:tcPr>
            <w:tcW w:w="80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112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40" w:type="dxa"/>
            <w:vAlign w:val="bottom"/>
            <w:tcBorders>
              <w:left w:val="single" w:sz="8" w:color="CFEDF9"/>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Employment Hero Holdings</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Series E Preferred Shares (113,250 shares)</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3/1/2022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2,134</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2,034</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49"/>
        </w:trPr>
        <w:tc>
          <w:tcPr>
            <w:tcW w:w="1540" w:type="dxa"/>
            <w:vAlign w:val="bottom"/>
            <w:tcBorders>
              <w:bottom w:val="single" w:sz="8" w:color="CFEDF9"/>
            </w:tcBorders>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Pty Ltd.</w:t>
            </w:r>
            <w:r>
              <w:rPr>
                <w:rFonts w:ascii="Times New Roman" w:cs="Times New Roman" w:eastAsia="Times New Roman" w:hAnsi="Times New Roman"/>
                <w:sz w:val="7"/>
                <w:szCs w:val="7"/>
                <w:color w:val="231F20"/>
              </w:rPr>
              <w:t xml:space="preserve"> (4)(12)(13)</w:t>
            </w:r>
          </w:p>
        </w:tc>
        <w:tc>
          <w:tcPr>
            <w:tcW w:w="100" w:type="dxa"/>
            <w:vAlign w:val="bottom"/>
            <w:tcBorders>
              <w:bottom w:val="single" w:sz="8" w:color="CFEDF9"/>
            </w:tcBorders>
          </w:tcPr>
          <w:p>
            <w:pPr>
              <w:spacing w:after="0"/>
              <w:rPr>
                <w:sz w:val="12"/>
                <w:szCs w:val="12"/>
                <w:color w:val="auto"/>
              </w:rPr>
            </w:pPr>
          </w:p>
        </w:tc>
        <w:tc>
          <w:tcPr>
            <w:tcW w:w="254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780" w:type="dxa"/>
            <w:vAlign w:val="bottom"/>
            <w:tcBorders>
              <w:bottom w:val="single" w:sz="8" w:color="CFEDF9"/>
            </w:tcBorders>
          </w:tcPr>
          <w:p>
            <w:pPr>
              <w:spacing w:after="0"/>
              <w:rPr>
                <w:sz w:val="12"/>
                <w:szCs w:val="12"/>
                <w:color w:val="auto"/>
              </w:rPr>
            </w:pPr>
          </w:p>
        </w:tc>
        <w:tc>
          <w:tcPr>
            <w:tcW w:w="20" w:type="dxa"/>
            <w:vAlign w:val="bottom"/>
            <w:tcBorders>
              <w:bottom w:val="single" w:sz="8" w:color="CFEDF9"/>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780" w:type="dxa"/>
            <w:vAlign w:val="bottom"/>
            <w:tcBorders>
              <w:bottom w:val="single" w:sz="8" w:color="CFEDF9"/>
            </w:tcBorders>
          </w:tcPr>
          <w:p>
            <w:pPr>
              <w:spacing w:after="0"/>
              <w:rPr>
                <w:sz w:val="12"/>
                <w:szCs w:val="12"/>
                <w:color w:val="auto"/>
              </w:rPr>
            </w:pPr>
          </w:p>
        </w:tc>
        <w:tc>
          <w:tcPr>
            <w:tcW w:w="220" w:type="dxa"/>
            <w:vAlign w:val="bottom"/>
            <w:tcBorders>
              <w:bottom w:val="single" w:sz="8" w:color="CFEDF9"/>
            </w:tcBorders>
          </w:tcPr>
          <w:p>
            <w:pPr>
              <w:spacing w:after="0"/>
              <w:rPr>
                <w:sz w:val="12"/>
                <w:szCs w:val="12"/>
                <w:color w:val="auto"/>
              </w:rPr>
            </w:pPr>
          </w:p>
        </w:tc>
        <w:tc>
          <w:tcPr>
            <w:tcW w:w="800" w:type="dxa"/>
            <w:vAlign w:val="bottom"/>
            <w:tcBorders>
              <w:bottom w:val="single" w:sz="8" w:color="CFEDF9"/>
            </w:tcBorders>
          </w:tcPr>
          <w:p>
            <w:pPr>
              <w:spacing w:after="0"/>
              <w:rPr>
                <w:sz w:val="12"/>
                <w:szCs w:val="12"/>
                <w:color w:val="auto"/>
              </w:rPr>
            </w:pPr>
          </w:p>
        </w:tc>
        <w:tc>
          <w:tcPr>
            <w:tcW w:w="200" w:type="dxa"/>
            <w:vAlign w:val="bottom"/>
            <w:tcBorders>
              <w:bottom w:val="single" w:sz="8" w:color="CFEDF9"/>
            </w:tcBorders>
          </w:tcPr>
          <w:p>
            <w:pPr>
              <w:spacing w:after="0"/>
              <w:rPr>
                <w:sz w:val="12"/>
                <w:szCs w:val="12"/>
                <w:color w:val="auto"/>
              </w:rPr>
            </w:pPr>
          </w:p>
        </w:tc>
        <w:tc>
          <w:tcPr>
            <w:tcW w:w="1120" w:type="dxa"/>
            <w:vAlign w:val="bottom"/>
            <w:tcBorders>
              <w:bottom w:val="single" w:sz="8" w:color="231F20"/>
            </w:tcBorders>
          </w:tcPr>
          <w:p>
            <w:pPr>
              <w:spacing w:after="0"/>
              <w:rPr>
                <w:sz w:val="12"/>
                <w:szCs w:val="12"/>
                <w:color w:val="auto"/>
              </w:rPr>
            </w:pPr>
          </w:p>
        </w:tc>
        <w:tc>
          <w:tcPr>
            <w:tcW w:w="200" w:type="dxa"/>
            <w:vAlign w:val="bottom"/>
            <w:tcBorders>
              <w:bottom w:val="single" w:sz="8" w:color="CFEDF9"/>
            </w:tcBorders>
          </w:tcPr>
          <w:p>
            <w:pPr>
              <w:spacing w:after="0"/>
              <w:rPr>
                <w:sz w:val="12"/>
                <w:szCs w:val="12"/>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(AUD 3,164)</w:t>
            </w:r>
          </w:p>
        </w:tc>
        <w:tc>
          <w:tcPr>
            <w:tcW w:w="200" w:type="dxa"/>
            <w:vAlign w:val="bottom"/>
            <w:tcBorders>
              <w:bottom w:val="single" w:sz="8" w:color="CFEDF9"/>
            </w:tcBorders>
          </w:tcPr>
          <w:p>
            <w:pPr>
              <w:spacing w:after="0"/>
              <w:rPr>
                <w:sz w:val="12"/>
                <w:szCs w:val="12"/>
                <w:color w:val="auto"/>
              </w:rPr>
            </w:pPr>
          </w:p>
        </w:tc>
        <w:tc>
          <w:tcPr>
            <w:tcW w:w="840" w:type="dxa"/>
            <w:vAlign w:val="bottom"/>
            <w:tcBorders>
              <w:bottom w:val="single" w:sz="8" w:color="231F2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12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11,669</w:t>
            </w:r>
          </w:p>
        </w:tc>
        <w:tc>
          <w:tcPr>
            <w:tcW w:w="200" w:type="dxa"/>
            <w:vAlign w:val="bottom"/>
            <w:shd w:val="clear" w:color="auto" w:fill="CFEDF9"/>
          </w:tcPr>
          <w:p>
            <w:pPr>
              <w:spacing w:after="0"/>
              <w:rPr>
                <w:sz w:val="11"/>
                <w:szCs w:val="11"/>
                <w:color w:val="auto"/>
              </w:rPr>
            </w:pP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15,357</w:t>
            </w:r>
          </w:p>
        </w:tc>
        <w:tc>
          <w:tcPr>
            <w:tcW w:w="20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1.2%</w:t>
            </w:r>
          </w:p>
        </w:tc>
        <w:tc>
          <w:tcPr>
            <w:tcW w:w="0" w:type="dxa"/>
            <w:vAlign w:val="bottom"/>
          </w:tcPr>
          <w:p>
            <w:pPr>
              <w:spacing w:after="0"/>
              <w:rPr>
                <w:sz w:val="1"/>
                <w:szCs w:val="1"/>
                <w:color w:val="auto"/>
              </w:rPr>
            </w:pPr>
          </w:p>
        </w:tc>
      </w:tr>
      <w:tr>
        <w:trPr>
          <w:trHeight w:val="128"/>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Internet Services</w:t>
            </w: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Borders>
              <w:top w:val="single" w:sz="8" w:color="231F20"/>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231F20"/>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231F2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Bayshore Intermediate #2, L.P.</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Common Units (12,330,709 units)</w:t>
            </w:r>
          </w:p>
        </w:tc>
        <w:tc>
          <w:tcPr>
            <w:tcW w:w="9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10/1/2021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12,331</w:t>
            </w:r>
          </w:p>
        </w:tc>
        <w:tc>
          <w:tcPr>
            <w:tcW w:w="108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11,375</w:t>
            </w:r>
          </w:p>
        </w:tc>
        <w:tc>
          <w:tcPr>
            <w:tcW w:w="960" w:type="dxa"/>
            <w:vAlign w:val="bottom"/>
            <w:tcBorders>
              <w:left w:val="single" w:sz="8" w:color="CFEDF9"/>
            </w:tcBorders>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0.8%</w:t>
            </w:r>
          </w:p>
        </w:tc>
        <w:tc>
          <w:tcPr>
            <w:tcW w:w="0" w:type="dxa"/>
            <w:vAlign w:val="bottom"/>
          </w:tcPr>
          <w:p>
            <w:pPr>
              <w:spacing w:after="0"/>
              <w:rPr>
                <w:sz w:val="1"/>
                <w:szCs w:val="1"/>
                <w:color w:val="auto"/>
              </w:rPr>
            </w:pPr>
          </w:p>
        </w:tc>
      </w:tr>
      <w:tr>
        <w:trPr>
          <w:trHeight w:val="124"/>
        </w:trPr>
        <w:tc>
          <w:tcPr>
            <w:tcW w:w="15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(12)(14)</w:t>
            </w:r>
          </w:p>
        </w:tc>
        <w:tc>
          <w:tcPr>
            <w:tcW w:w="100" w:type="dxa"/>
            <w:vAlign w:val="bottom"/>
            <w:tcBorders>
              <w:bottom w:val="single" w:sz="8" w:color="CFEDF9"/>
            </w:tcBorders>
            <w:shd w:val="clear" w:color="auto" w:fill="CFEDF9"/>
          </w:tcPr>
          <w:p>
            <w:pPr>
              <w:spacing w:after="0"/>
              <w:rPr>
                <w:sz w:val="10"/>
                <w:szCs w:val="10"/>
                <w:color w:val="auto"/>
              </w:rPr>
            </w:pPr>
          </w:p>
        </w:tc>
        <w:tc>
          <w:tcPr>
            <w:tcW w:w="254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tcBorders>
            <w:shd w:val="clear" w:color="auto" w:fill="CFEDF9"/>
          </w:tcPr>
          <w:p>
            <w:pPr>
              <w:spacing w:after="0"/>
              <w:rPr>
                <w:sz w:val="10"/>
                <w:szCs w:val="10"/>
                <w:color w:val="auto"/>
              </w:rPr>
            </w:pPr>
          </w:p>
        </w:tc>
        <w:tc>
          <w:tcPr>
            <w:tcW w:w="80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112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40" w:type="dxa"/>
            <w:vAlign w:val="bottom"/>
            <w:tcBorders>
              <w:left w:val="single" w:sz="8" w:color="CFEDF9"/>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Lucidworks, Inc. </w:t>
            </w:r>
            <w:r>
              <w:rPr>
                <w:rFonts w:ascii="Times New Roman" w:cs="Times New Roman" w:eastAsia="Times New Roman" w:hAnsi="Times New Roman"/>
                <w:sz w:val="15"/>
                <w:szCs w:val="15"/>
                <w:color w:val="231F20"/>
                <w:vertAlign w:val="superscript"/>
              </w:rPr>
              <w:t>(12)</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Series F Preferred Shares (199,054 shares)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8/2/2019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800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800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Piano Software, Inc. </w:t>
            </w:r>
            <w:r>
              <w:rPr>
                <w:rFonts w:ascii="Times New Roman" w:cs="Times New Roman" w:eastAsia="Times New Roman" w:hAnsi="Times New Roman"/>
                <w:sz w:val="15"/>
                <w:szCs w:val="15"/>
                <w:color w:val="231F20"/>
                <w:vertAlign w:val="superscript"/>
              </w:rPr>
              <w:t>(12)</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Series C-1 Preferred Shares (418,527 shares)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12/22/2021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3,000</w:t>
            </w:r>
          </w:p>
        </w:tc>
        <w:tc>
          <w:tcPr>
            <w:tcW w:w="108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3,000</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Series C-2 Preferred Shares (27,588 shares)</w:t>
            </w:r>
            <w:r>
              <w:rPr>
                <w:rFonts w:ascii="Times New Roman" w:cs="Times New Roman" w:eastAsia="Times New Roman" w:hAnsi="Times New Roman"/>
                <w:sz w:val="15"/>
                <w:szCs w:val="15"/>
                <w:color w:val="231F20"/>
                <w:vertAlign w:val="superscript"/>
              </w:rPr>
              <w:t>(13)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11/18/2022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198</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198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SMA Technologies Holdings,</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Class A Units (1,300 shares)</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11/21/2022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1,300</w:t>
            </w:r>
          </w:p>
        </w:tc>
        <w:tc>
          <w:tcPr>
            <w:tcW w:w="108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1,300</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LLC</w:t>
            </w:r>
            <w:r>
              <w:rPr>
                <w:rFonts w:ascii="Times New Roman" w:cs="Times New Roman" w:eastAsia="Times New Roman" w:hAnsi="Times New Roman"/>
                <w:sz w:val="7"/>
                <w:szCs w:val="7"/>
                <w:color w:val="231F20"/>
              </w:rPr>
              <w:t xml:space="preserve"> (12)(13)</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Class B Units (923,250 shares)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11/21/2022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20"/>
        </w:trPr>
        <w:tc>
          <w:tcPr>
            <w:tcW w:w="154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254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20" w:type="dxa"/>
            <w:vAlign w:val="bottom"/>
            <w:shd w:val="clear" w:color="auto" w:fill="CFEDF9"/>
          </w:tcPr>
          <w:p>
            <w:pPr>
              <w:spacing w:after="0" w:line="20" w:lineRule="exact"/>
              <w:rPr>
                <w:sz w:val="1"/>
                <w:szCs w:val="1"/>
                <w:color w:val="auto"/>
              </w:rPr>
            </w:pPr>
          </w:p>
        </w:tc>
        <w:tc>
          <w:tcPr>
            <w:tcW w:w="800" w:type="dxa"/>
            <w:vAlign w:val="bottom"/>
            <w:shd w:val="clear" w:color="auto" w:fill="CFEDF9"/>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17,629</w:t>
            </w: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16,673</w:t>
            </w:r>
          </w:p>
        </w:tc>
        <w:tc>
          <w:tcPr>
            <w:tcW w:w="200" w:type="dxa"/>
            <w:vAlign w:val="bottom"/>
            <w:shd w:val="clear" w:color="auto" w:fill="CFEDF9"/>
          </w:tcPr>
          <w:p>
            <w:pPr>
              <w:spacing w:after="0"/>
              <w:rPr>
                <w:sz w:val="12"/>
                <w:szCs w:val="12"/>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1.2%</w:t>
            </w:r>
          </w:p>
        </w:tc>
        <w:tc>
          <w:tcPr>
            <w:tcW w:w="0" w:type="dxa"/>
            <w:vAlign w:val="bottom"/>
          </w:tcPr>
          <w:p>
            <w:pPr>
              <w:spacing w:after="0"/>
              <w:rPr>
                <w:sz w:val="1"/>
                <w:szCs w:val="1"/>
                <w:color w:val="auto"/>
              </w:rPr>
            </w:pPr>
          </w:p>
        </w:tc>
      </w:tr>
      <w:tr>
        <w:trPr>
          <w:trHeight w:val="108"/>
        </w:trPr>
        <w:tc>
          <w:tcPr>
            <w:tcW w:w="154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Marketing Services</w:t>
            </w:r>
          </w:p>
        </w:tc>
        <w:tc>
          <w:tcPr>
            <w:tcW w:w="100" w:type="dxa"/>
            <w:vAlign w:val="bottom"/>
            <w:tcBorders>
              <w:top w:val="single" w:sz="8" w:color="CFEDF9"/>
            </w:tcBorders>
          </w:tcPr>
          <w:p>
            <w:pPr>
              <w:spacing w:after="0"/>
              <w:rPr>
                <w:sz w:val="9"/>
                <w:szCs w:val="9"/>
                <w:color w:val="auto"/>
              </w:rPr>
            </w:pPr>
          </w:p>
        </w:tc>
        <w:tc>
          <w:tcPr>
            <w:tcW w:w="254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800" w:type="dxa"/>
            <w:vAlign w:val="bottom"/>
            <w:tcBorders>
              <w:top w:val="single" w:sz="8" w:color="CFEDF9"/>
            </w:tcBorders>
          </w:tcPr>
          <w:p>
            <w:pPr>
              <w:spacing w:after="0"/>
              <w:rPr>
                <w:sz w:val="9"/>
                <w:szCs w:val="9"/>
                <w:color w:val="auto"/>
              </w:rPr>
            </w:pPr>
          </w:p>
        </w:tc>
        <w:tc>
          <w:tcPr>
            <w:tcW w:w="200" w:type="dxa"/>
            <w:vAlign w:val="bottom"/>
            <w:tcBorders>
              <w:top w:val="single" w:sz="8" w:color="CFEDF9"/>
            </w:tcBorders>
          </w:tcPr>
          <w:p>
            <w:pPr>
              <w:spacing w:after="0"/>
              <w:rPr>
                <w:sz w:val="9"/>
                <w:szCs w:val="9"/>
                <w:color w:val="auto"/>
              </w:rPr>
            </w:pPr>
          </w:p>
        </w:tc>
        <w:tc>
          <w:tcPr>
            <w:tcW w:w="1120" w:type="dxa"/>
            <w:vAlign w:val="bottom"/>
            <w:tcBorders>
              <w:top w:val="single" w:sz="8" w:color="231F20"/>
            </w:tcBorders>
          </w:tcPr>
          <w:p>
            <w:pPr>
              <w:spacing w:after="0"/>
              <w:rPr>
                <w:sz w:val="9"/>
                <w:szCs w:val="9"/>
                <w:color w:val="auto"/>
              </w:rPr>
            </w:pPr>
          </w:p>
        </w:tc>
        <w:tc>
          <w:tcPr>
            <w:tcW w:w="200" w:type="dxa"/>
            <w:vAlign w:val="bottom"/>
            <w:tcBorders>
              <w:top w:val="single" w:sz="8" w:color="CFEDF9"/>
            </w:tcBorders>
          </w:tcPr>
          <w:p>
            <w:pPr>
              <w:spacing w:after="0"/>
              <w:rPr>
                <w:sz w:val="9"/>
                <w:szCs w:val="9"/>
                <w:color w:val="auto"/>
              </w:rPr>
            </w:pPr>
          </w:p>
        </w:tc>
        <w:tc>
          <w:tcPr>
            <w:tcW w:w="880" w:type="dxa"/>
            <w:vAlign w:val="bottom"/>
            <w:tcBorders>
              <w:top w:val="single" w:sz="8" w:color="231F20"/>
            </w:tcBorders>
          </w:tcPr>
          <w:p>
            <w:pPr>
              <w:spacing w:after="0"/>
              <w:rPr>
                <w:sz w:val="9"/>
                <w:szCs w:val="9"/>
                <w:color w:val="auto"/>
              </w:rPr>
            </w:pPr>
          </w:p>
        </w:tc>
        <w:tc>
          <w:tcPr>
            <w:tcW w:w="200" w:type="dxa"/>
            <w:vAlign w:val="bottom"/>
            <w:tcBorders>
              <w:top w:val="single" w:sz="8" w:color="CFEDF9"/>
            </w:tcBorders>
          </w:tcPr>
          <w:p>
            <w:pPr>
              <w:spacing w:after="0"/>
              <w:rPr>
                <w:sz w:val="9"/>
                <w:szCs w:val="9"/>
                <w:color w:val="auto"/>
              </w:rPr>
            </w:pPr>
          </w:p>
        </w:tc>
        <w:tc>
          <w:tcPr>
            <w:tcW w:w="840" w:type="dxa"/>
            <w:vAlign w:val="bottom"/>
            <w:tcBorders>
              <w:top w:val="single" w:sz="8" w:color="231F2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Validity, Inc. </w:t>
            </w:r>
            <w:r>
              <w:rPr>
                <w:rFonts w:ascii="Times New Roman" w:cs="Times New Roman" w:eastAsia="Times New Roman" w:hAnsi="Times New Roman"/>
                <w:sz w:val="15"/>
                <w:szCs w:val="15"/>
                <w:color w:val="231F20"/>
                <w:vertAlign w:val="superscript"/>
              </w:rPr>
              <w:t>(12)</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Series A Preferred Shares (3,840,000 shares)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5/31/2018</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3,840</w:t>
            </w:r>
          </w:p>
        </w:tc>
        <w:tc>
          <w:tcPr>
            <w:tcW w:w="108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11,520</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0.9%</w:t>
            </w:r>
          </w:p>
        </w:tc>
        <w:tc>
          <w:tcPr>
            <w:tcW w:w="0" w:type="dxa"/>
            <w:vAlign w:val="bottom"/>
          </w:tcPr>
          <w:p>
            <w:pPr>
              <w:spacing w:after="0"/>
              <w:rPr>
                <w:sz w:val="1"/>
                <w:szCs w:val="1"/>
                <w:color w:val="auto"/>
              </w:rPr>
            </w:pPr>
          </w:p>
        </w:tc>
      </w:tr>
      <w:tr>
        <w:trPr>
          <w:trHeight w:val="125"/>
        </w:trPr>
        <w:tc>
          <w:tcPr>
            <w:tcW w:w="1540" w:type="dxa"/>
            <w:vAlign w:val="bottom"/>
          </w:tcPr>
          <w:p>
            <w:pPr>
              <w:spacing w:after="0" w:line="125" w:lineRule="exact"/>
              <w:rPr>
                <w:sz w:val="20"/>
                <w:szCs w:val="20"/>
                <w:color w:val="auto"/>
              </w:rPr>
            </w:pPr>
            <w:r>
              <w:rPr>
                <w:rFonts w:ascii="Times New Roman" w:cs="Times New Roman" w:eastAsia="Times New Roman" w:hAnsi="Times New Roman"/>
                <w:sz w:val="12"/>
                <w:szCs w:val="12"/>
                <w:b w:val="1"/>
                <w:bCs w:val="1"/>
                <w:color w:val="231F20"/>
              </w:rPr>
              <w:t>Oil, Gas and Consumable</w:t>
            </w:r>
          </w:p>
        </w:tc>
        <w:tc>
          <w:tcPr>
            <w:tcW w:w="1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Fuels</w:t>
            </w:r>
          </w:p>
        </w:tc>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Murchison Oil and Gas, LLC</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13,355 Preferred Units</w:t>
            </w:r>
          </w:p>
        </w:tc>
        <w:tc>
          <w:tcPr>
            <w:tcW w:w="9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6/30/2022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13,355</w:t>
            </w:r>
          </w:p>
        </w:tc>
        <w:tc>
          <w:tcPr>
            <w:tcW w:w="108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13,088</w:t>
            </w:r>
          </w:p>
        </w:tc>
        <w:tc>
          <w:tcPr>
            <w:tcW w:w="960" w:type="dxa"/>
            <w:vAlign w:val="bottom"/>
            <w:tcBorders>
              <w:left w:val="single" w:sz="8" w:color="CFEDF9"/>
            </w:tcBorders>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1.0%</w:t>
            </w:r>
          </w:p>
        </w:tc>
        <w:tc>
          <w:tcPr>
            <w:tcW w:w="0" w:type="dxa"/>
            <w:vAlign w:val="bottom"/>
          </w:tcPr>
          <w:p>
            <w:pPr>
              <w:spacing w:after="0"/>
              <w:rPr>
                <w:sz w:val="1"/>
                <w:szCs w:val="1"/>
                <w:color w:val="auto"/>
              </w:rPr>
            </w:pPr>
          </w:p>
        </w:tc>
      </w:tr>
      <w:tr>
        <w:trPr>
          <w:trHeight w:val="124"/>
        </w:trPr>
        <w:tc>
          <w:tcPr>
            <w:tcW w:w="15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(13)(14)</w:t>
            </w:r>
          </w:p>
        </w:tc>
        <w:tc>
          <w:tcPr>
            <w:tcW w:w="100" w:type="dxa"/>
            <w:vAlign w:val="bottom"/>
            <w:tcBorders>
              <w:bottom w:val="single" w:sz="8" w:color="CFEDF9"/>
            </w:tcBorders>
            <w:shd w:val="clear" w:color="auto" w:fill="CFEDF9"/>
          </w:tcPr>
          <w:p>
            <w:pPr>
              <w:spacing w:after="0"/>
              <w:rPr>
                <w:sz w:val="10"/>
                <w:szCs w:val="10"/>
                <w:color w:val="auto"/>
              </w:rPr>
            </w:pPr>
          </w:p>
        </w:tc>
        <w:tc>
          <w:tcPr>
            <w:tcW w:w="254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tcBorders>
            <w:shd w:val="clear" w:color="auto" w:fill="CFEDF9"/>
          </w:tcPr>
          <w:p>
            <w:pPr>
              <w:spacing w:after="0"/>
              <w:rPr>
                <w:sz w:val="10"/>
                <w:szCs w:val="10"/>
                <w:color w:val="auto"/>
              </w:rPr>
            </w:pPr>
          </w:p>
        </w:tc>
        <w:tc>
          <w:tcPr>
            <w:tcW w:w="80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112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40" w:type="dxa"/>
            <w:vAlign w:val="bottom"/>
            <w:tcBorders>
              <w:left w:val="single" w:sz="8" w:color="CFEDF9"/>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TRP Assets, LLC </w:t>
            </w:r>
            <w:r>
              <w:rPr>
                <w:rFonts w:ascii="Times New Roman" w:cs="Times New Roman" w:eastAsia="Times New Roman" w:hAnsi="Times New Roman"/>
                <w:sz w:val="15"/>
                <w:szCs w:val="15"/>
                <w:color w:val="231F20"/>
                <w:vertAlign w:val="superscript"/>
              </w:rPr>
              <w:t>(12)(13)(14)</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Partnership Interest (1.89% ownership)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8/25/2022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8,067</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10,205</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0.8%</w:t>
            </w:r>
          </w:p>
        </w:tc>
        <w:tc>
          <w:tcPr>
            <w:tcW w:w="0" w:type="dxa"/>
            <w:vAlign w:val="bottom"/>
          </w:tcPr>
          <w:p>
            <w:pPr>
              <w:spacing w:after="0"/>
              <w:rPr>
                <w:sz w:val="1"/>
                <w:szCs w:val="1"/>
                <w:color w:val="auto"/>
              </w:rPr>
            </w:pPr>
          </w:p>
        </w:tc>
      </w:tr>
      <w:tr>
        <w:trPr>
          <w:trHeight w:val="20"/>
        </w:trPr>
        <w:tc>
          <w:tcPr>
            <w:tcW w:w="154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254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20" w:type="dxa"/>
            <w:vAlign w:val="bottom"/>
            <w:shd w:val="clear" w:color="auto" w:fill="CFEDF9"/>
          </w:tcPr>
          <w:p>
            <w:pPr>
              <w:spacing w:after="0" w:line="20" w:lineRule="exact"/>
              <w:rPr>
                <w:sz w:val="1"/>
                <w:szCs w:val="1"/>
                <w:color w:val="auto"/>
              </w:rPr>
            </w:pPr>
          </w:p>
        </w:tc>
        <w:tc>
          <w:tcPr>
            <w:tcW w:w="800" w:type="dxa"/>
            <w:vAlign w:val="bottom"/>
            <w:shd w:val="clear" w:color="auto" w:fill="CFEDF9"/>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21,422</w:t>
            </w: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23,293</w:t>
            </w:r>
          </w:p>
        </w:tc>
        <w:tc>
          <w:tcPr>
            <w:tcW w:w="200" w:type="dxa"/>
            <w:vAlign w:val="bottom"/>
            <w:shd w:val="clear" w:color="auto" w:fill="CFEDF9"/>
          </w:tcPr>
          <w:p>
            <w:pPr>
              <w:spacing w:after="0"/>
              <w:rPr>
                <w:sz w:val="12"/>
                <w:szCs w:val="12"/>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1.8%</w:t>
            </w:r>
          </w:p>
        </w:tc>
        <w:tc>
          <w:tcPr>
            <w:tcW w:w="0" w:type="dxa"/>
            <w:vAlign w:val="bottom"/>
          </w:tcPr>
          <w:p>
            <w:pPr>
              <w:spacing w:after="0"/>
              <w:rPr>
                <w:sz w:val="1"/>
                <w:szCs w:val="1"/>
                <w:color w:val="auto"/>
              </w:rPr>
            </w:pPr>
          </w:p>
        </w:tc>
      </w:tr>
      <w:tr>
        <w:trPr>
          <w:trHeight w:val="108"/>
        </w:trPr>
        <w:tc>
          <w:tcPr>
            <w:tcW w:w="1540" w:type="dxa"/>
            <w:vAlign w:val="bottom"/>
            <w:tcBorders>
              <w:top w:val="single" w:sz="8" w:color="CFEDF9"/>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231F20"/>
              </w:rPr>
              <w:t>Pharmaceuticals</w:t>
            </w:r>
          </w:p>
        </w:tc>
        <w:tc>
          <w:tcPr>
            <w:tcW w:w="100" w:type="dxa"/>
            <w:vAlign w:val="bottom"/>
            <w:tcBorders>
              <w:top w:val="single" w:sz="8" w:color="CFEDF9"/>
            </w:tcBorders>
          </w:tcPr>
          <w:p>
            <w:pPr>
              <w:spacing w:after="0"/>
              <w:rPr>
                <w:sz w:val="9"/>
                <w:szCs w:val="9"/>
                <w:color w:val="auto"/>
              </w:rPr>
            </w:pPr>
          </w:p>
        </w:tc>
        <w:tc>
          <w:tcPr>
            <w:tcW w:w="2540" w:type="dxa"/>
            <w:vAlign w:val="bottom"/>
            <w:tcBorders>
              <w:top w:val="single" w:sz="8" w:color="CFEDF9"/>
            </w:tcBorders>
          </w:tcPr>
          <w:p>
            <w:pPr>
              <w:spacing w:after="0"/>
              <w:rPr>
                <w:sz w:val="9"/>
                <w:szCs w:val="9"/>
                <w:color w:val="auto"/>
              </w:rPr>
            </w:pPr>
          </w:p>
        </w:tc>
        <w:tc>
          <w:tcPr>
            <w:tcW w:w="12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0" w:type="dxa"/>
            <w:vAlign w:val="bottom"/>
            <w:tcBorders>
              <w:top w:val="single" w:sz="8" w:color="CFEDF9"/>
            </w:tcBorders>
          </w:tcPr>
          <w:p>
            <w:pPr>
              <w:spacing w:after="0"/>
              <w:rPr>
                <w:sz w:val="9"/>
                <w:szCs w:val="9"/>
                <w:color w:val="auto"/>
              </w:rPr>
            </w:pPr>
          </w:p>
        </w:tc>
        <w:tc>
          <w:tcPr>
            <w:tcW w:w="100" w:type="dxa"/>
            <w:vAlign w:val="bottom"/>
            <w:tcBorders>
              <w:top w:val="single" w:sz="8" w:color="CFEDF9"/>
            </w:tcBorders>
          </w:tcPr>
          <w:p>
            <w:pPr>
              <w:spacing w:after="0"/>
              <w:rPr>
                <w:sz w:val="9"/>
                <w:szCs w:val="9"/>
                <w:color w:val="auto"/>
              </w:rPr>
            </w:pPr>
          </w:p>
        </w:tc>
        <w:tc>
          <w:tcPr>
            <w:tcW w:w="780" w:type="dxa"/>
            <w:vAlign w:val="bottom"/>
            <w:tcBorders>
              <w:top w:val="single" w:sz="8" w:color="CFEDF9"/>
            </w:tcBorders>
          </w:tcPr>
          <w:p>
            <w:pPr>
              <w:spacing w:after="0"/>
              <w:rPr>
                <w:sz w:val="9"/>
                <w:szCs w:val="9"/>
                <w:color w:val="auto"/>
              </w:rPr>
            </w:pPr>
          </w:p>
        </w:tc>
        <w:tc>
          <w:tcPr>
            <w:tcW w:w="220" w:type="dxa"/>
            <w:vAlign w:val="bottom"/>
            <w:tcBorders>
              <w:top w:val="single" w:sz="8" w:color="CFEDF9"/>
            </w:tcBorders>
          </w:tcPr>
          <w:p>
            <w:pPr>
              <w:spacing w:after="0"/>
              <w:rPr>
                <w:sz w:val="9"/>
                <w:szCs w:val="9"/>
                <w:color w:val="auto"/>
              </w:rPr>
            </w:pPr>
          </w:p>
        </w:tc>
        <w:tc>
          <w:tcPr>
            <w:tcW w:w="800" w:type="dxa"/>
            <w:vAlign w:val="bottom"/>
            <w:tcBorders>
              <w:top w:val="single" w:sz="8" w:color="CFEDF9"/>
            </w:tcBorders>
          </w:tcPr>
          <w:p>
            <w:pPr>
              <w:spacing w:after="0"/>
              <w:rPr>
                <w:sz w:val="9"/>
                <w:szCs w:val="9"/>
                <w:color w:val="auto"/>
              </w:rPr>
            </w:pPr>
          </w:p>
        </w:tc>
        <w:tc>
          <w:tcPr>
            <w:tcW w:w="200" w:type="dxa"/>
            <w:vAlign w:val="bottom"/>
            <w:tcBorders>
              <w:top w:val="single" w:sz="8" w:color="CFEDF9"/>
            </w:tcBorders>
          </w:tcPr>
          <w:p>
            <w:pPr>
              <w:spacing w:after="0"/>
              <w:rPr>
                <w:sz w:val="9"/>
                <w:szCs w:val="9"/>
                <w:color w:val="auto"/>
              </w:rPr>
            </w:pPr>
          </w:p>
        </w:tc>
        <w:tc>
          <w:tcPr>
            <w:tcW w:w="1120" w:type="dxa"/>
            <w:vAlign w:val="bottom"/>
            <w:tcBorders>
              <w:top w:val="single" w:sz="8" w:color="231F20"/>
            </w:tcBorders>
          </w:tcPr>
          <w:p>
            <w:pPr>
              <w:spacing w:after="0"/>
              <w:rPr>
                <w:sz w:val="9"/>
                <w:szCs w:val="9"/>
                <w:color w:val="auto"/>
              </w:rPr>
            </w:pPr>
          </w:p>
        </w:tc>
        <w:tc>
          <w:tcPr>
            <w:tcW w:w="200" w:type="dxa"/>
            <w:vAlign w:val="bottom"/>
            <w:tcBorders>
              <w:top w:val="single" w:sz="8" w:color="CFEDF9"/>
            </w:tcBorders>
          </w:tcPr>
          <w:p>
            <w:pPr>
              <w:spacing w:after="0"/>
              <w:rPr>
                <w:sz w:val="9"/>
                <w:szCs w:val="9"/>
                <w:color w:val="auto"/>
              </w:rPr>
            </w:pPr>
          </w:p>
        </w:tc>
        <w:tc>
          <w:tcPr>
            <w:tcW w:w="880" w:type="dxa"/>
            <w:vAlign w:val="bottom"/>
            <w:tcBorders>
              <w:top w:val="single" w:sz="8" w:color="231F20"/>
            </w:tcBorders>
          </w:tcPr>
          <w:p>
            <w:pPr>
              <w:spacing w:after="0"/>
              <w:rPr>
                <w:sz w:val="9"/>
                <w:szCs w:val="9"/>
                <w:color w:val="auto"/>
              </w:rPr>
            </w:pPr>
          </w:p>
        </w:tc>
        <w:tc>
          <w:tcPr>
            <w:tcW w:w="200" w:type="dxa"/>
            <w:vAlign w:val="bottom"/>
            <w:tcBorders>
              <w:top w:val="single" w:sz="8" w:color="CFEDF9"/>
            </w:tcBorders>
          </w:tcPr>
          <w:p>
            <w:pPr>
              <w:spacing w:after="0"/>
              <w:rPr>
                <w:sz w:val="9"/>
                <w:szCs w:val="9"/>
                <w:color w:val="auto"/>
              </w:rPr>
            </w:pPr>
          </w:p>
        </w:tc>
        <w:tc>
          <w:tcPr>
            <w:tcW w:w="840" w:type="dxa"/>
            <w:vAlign w:val="bottom"/>
            <w:tcBorders>
              <w:top w:val="single" w:sz="8" w:color="231F2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TherapeuticsMD, Inc. </w:t>
            </w:r>
            <w:r>
              <w:rPr>
                <w:rFonts w:ascii="Times New Roman" w:cs="Times New Roman" w:eastAsia="Times New Roman" w:hAnsi="Times New Roman"/>
                <w:sz w:val="15"/>
                <w:szCs w:val="15"/>
                <w:color w:val="231F20"/>
                <w:vertAlign w:val="superscript"/>
              </w:rPr>
              <w:t>(4)(12)</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14,256 Warrants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8/5/2020</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1,028</w:t>
            </w:r>
          </w:p>
        </w:tc>
        <w:tc>
          <w:tcPr>
            <w:tcW w:w="108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65,250 Warrants </w:t>
            </w:r>
            <w:r>
              <w:rPr>
                <w:rFonts w:ascii="Times New Roman" w:cs="Times New Roman" w:eastAsia="Times New Roman" w:hAnsi="Times New Roman"/>
                <w:sz w:val="15"/>
                <w:szCs w:val="15"/>
                <w:color w:val="231F20"/>
                <w:vertAlign w:val="superscript"/>
              </w:rPr>
              <w:t>(13)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7/29/2022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409</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365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48"/>
        </w:trPr>
        <w:tc>
          <w:tcPr>
            <w:tcW w:w="154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2540" w:type="dxa"/>
            <w:vAlign w:val="bottom"/>
            <w:tcBorders>
              <w:top w:val="single" w:sz="8" w:color="CFEDF9"/>
              <w:bottom w:val="single" w:sz="8" w:color="CFEDF9"/>
            </w:tcBorders>
            <w:shd w:val="clear" w:color="auto" w:fill="CFEDF9"/>
          </w:tcPr>
          <w:p>
            <w:pPr>
              <w:spacing w:after="0"/>
              <w:rPr>
                <w:sz w:val="12"/>
                <w:szCs w:val="12"/>
                <w:color w:val="auto"/>
              </w:rPr>
            </w:pPr>
          </w:p>
        </w:tc>
        <w:tc>
          <w:tcPr>
            <w:tcW w:w="120" w:type="dxa"/>
            <w:vAlign w:val="bottom"/>
            <w:tcBorders>
              <w:top w:val="single" w:sz="8" w:color="CFEDF9"/>
              <w:bottom w:val="single" w:sz="8" w:color="CFEDF9"/>
            </w:tcBorders>
            <w:shd w:val="clear" w:color="auto" w:fill="CFEDF9"/>
          </w:tcPr>
          <w:p>
            <w:pPr>
              <w:spacing w:after="0"/>
              <w:rPr>
                <w:sz w:val="12"/>
                <w:szCs w:val="12"/>
                <w:color w:val="auto"/>
              </w:rPr>
            </w:pPr>
          </w:p>
        </w:tc>
        <w:tc>
          <w:tcPr>
            <w:tcW w:w="780" w:type="dxa"/>
            <w:vAlign w:val="bottom"/>
            <w:tcBorders>
              <w:top w:val="single" w:sz="8" w:color="CFEDF9"/>
              <w:bottom w:val="single" w:sz="8" w:color="CFEDF9"/>
            </w:tcBorders>
            <w:shd w:val="clear" w:color="auto" w:fill="CFEDF9"/>
          </w:tcPr>
          <w:p>
            <w:pPr>
              <w:spacing w:after="0"/>
              <w:rPr>
                <w:sz w:val="12"/>
                <w:szCs w:val="12"/>
                <w:color w:val="auto"/>
              </w:rPr>
            </w:pPr>
          </w:p>
        </w:tc>
        <w:tc>
          <w:tcPr>
            <w:tcW w:w="20" w:type="dxa"/>
            <w:vAlign w:val="bottom"/>
            <w:tcBorders>
              <w:top w:val="single" w:sz="8" w:color="CFEDF9"/>
              <w:bottom w:val="single" w:sz="8" w:color="CFEDF9"/>
            </w:tcBorders>
            <w:shd w:val="clear" w:color="auto" w:fill="CFEDF9"/>
          </w:tcPr>
          <w:p>
            <w:pPr>
              <w:spacing w:after="0"/>
              <w:rPr>
                <w:sz w:val="12"/>
                <w:szCs w:val="12"/>
                <w:color w:val="auto"/>
              </w:rPr>
            </w:pPr>
          </w:p>
        </w:tc>
        <w:tc>
          <w:tcPr>
            <w:tcW w:w="100" w:type="dxa"/>
            <w:vAlign w:val="bottom"/>
            <w:tcBorders>
              <w:top w:val="single" w:sz="8" w:color="CFEDF9"/>
              <w:bottom w:val="single" w:sz="8" w:color="CFEDF9"/>
            </w:tcBorders>
            <w:shd w:val="clear" w:color="auto" w:fill="CFEDF9"/>
          </w:tcPr>
          <w:p>
            <w:pPr>
              <w:spacing w:after="0"/>
              <w:rPr>
                <w:sz w:val="12"/>
                <w:szCs w:val="12"/>
                <w:color w:val="auto"/>
              </w:rPr>
            </w:pPr>
          </w:p>
        </w:tc>
        <w:tc>
          <w:tcPr>
            <w:tcW w:w="780" w:type="dxa"/>
            <w:vAlign w:val="bottom"/>
            <w:tcBorders>
              <w:top w:val="single" w:sz="8" w:color="CFEDF9"/>
              <w:bottom w:val="single" w:sz="8" w:color="CFEDF9"/>
            </w:tcBorders>
            <w:shd w:val="clear" w:color="auto" w:fill="CFEDF9"/>
          </w:tcPr>
          <w:p>
            <w:pPr>
              <w:spacing w:after="0"/>
              <w:rPr>
                <w:sz w:val="12"/>
                <w:szCs w:val="12"/>
                <w:color w:val="auto"/>
              </w:rPr>
            </w:pPr>
          </w:p>
        </w:tc>
        <w:tc>
          <w:tcPr>
            <w:tcW w:w="220" w:type="dxa"/>
            <w:vAlign w:val="bottom"/>
            <w:tcBorders>
              <w:top w:val="single" w:sz="8" w:color="CFEDF9"/>
              <w:bottom w:val="single" w:sz="8" w:color="CFEDF9"/>
            </w:tcBorders>
            <w:shd w:val="clear" w:color="auto" w:fill="CFEDF9"/>
          </w:tcPr>
          <w:p>
            <w:pPr>
              <w:spacing w:after="0"/>
              <w:rPr>
                <w:sz w:val="12"/>
                <w:szCs w:val="12"/>
                <w:color w:val="auto"/>
              </w:rPr>
            </w:pPr>
          </w:p>
        </w:tc>
        <w:tc>
          <w:tcPr>
            <w:tcW w:w="800" w:type="dxa"/>
            <w:vAlign w:val="bottom"/>
            <w:tcBorders>
              <w:top w:val="single" w:sz="8" w:color="CFEDF9"/>
              <w:bottom w:val="single" w:sz="8" w:color="CFEDF9"/>
            </w:tcBorders>
            <w:shd w:val="clear" w:color="auto" w:fill="CFEDF9"/>
          </w:tcPr>
          <w:p>
            <w:pPr>
              <w:spacing w:after="0"/>
              <w:rPr>
                <w:sz w:val="12"/>
                <w:szCs w:val="12"/>
                <w:color w:val="auto"/>
              </w:rPr>
            </w:pPr>
          </w:p>
        </w:tc>
        <w:tc>
          <w:tcPr>
            <w:tcW w:w="200" w:type="dxa"/>
            <w:vAlign w:val="bottom"/>
            <w:tcBorders>
              <w:top w:val="single" w:sz="8" w:color="CFEDF9"/>
              <w:bottom w:val="single" w:sz="8" w:color="CFEDF9"/>
            </w:tcBorders>
            <w:shd w:val="clear" w:color="auto" w:fill="CFEDF9"/>
          </w:tcPr>
          <w:p>
            <w:pPr>
              <w:spacing w:after="0"/>
              <w:rPr>
                <w:sz w:val="12"/>
                <w:szCs w:val="12"/>
                <w:color w:val="auto"/>
              </w:rPr>
            </w:pPr>
          </w:p>
        </w:tc>
        <w:tc>
          <w:tcPr>
            <w:tcW w:w="1120" w:type="dxa"/>
            <w:vAlign w:val="bottom"/>
            <w:tcBorders>
              <w:top w:val="single" w:sz="8" w:color="231F20"/>
              <w:bottom w:val="single" w:sz="8" w:color="231F20"/>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1,437</w:t>
            </w:r>
          </w:p>
        </w:tc>
        <w:tc>
          <w:tcPr>
            <w:tcW w:w="200" w:type="dxa"/>
            <w:vAlign w:val="bottom"/>
            <w:tcBorders>
              <w:top w:val="single" w:sz="8" w:color="CFEDF9"/>
              <w:bottom w:val="single" w:sz="8" w:color="CFEDF9"/>
            </w:tcBorders>
            <w:shd w:val="clear" w:color="auto" w:fill="CFEDF9"/>
          </w:tcPr>
          <w:p>
            <w:pPr>
              <w:spacing w:after="0"/>
              <w:rPr>
                <w:sz w:val="12"/>
                <w:szCs w:val="12"/>
                <w:color w:val="auto"/>
              </w:rPr>
            </w:pPr>
          </w:p>
        </w:tc>
        <w:tc>
          <w:tcPr>
            <w:tcW w:w="880" w:type="dxa"/>
            <w:vAlign w:val="bottom"/>
            <w:tcBorders>
              <w:top w:val="single" w:sz="8" w:color="231F20"/>
              <w:bottom w:val="single" w:sz="8" w:color="231F20"/>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365</w:t>
            </w:r>
          </w:p>
        </w:tc>
        <w:tc>
          <w:tcPr>
            <w:tcW w:w="200" w:type="dxa"/>
            <w:vAlign w:val="bottom"/>
            <w:tcBorders>
              <w:top w:val="single" w:sz="8" w:color="CFEDF9"/>
              <w:bottom w:val="single" w:sz="8" w:color="CFEDF9"/>
            </w:tcBorders>
            <w:shd w:val="clear" w:color="auto" w:fill="CFEDF9"/>
          </w:tcPr>
          <w:p>
            <w:pPr>
              <w:spacing w:after="0"/>
              <w:rPr>
                <w:sz w:val="12"/>
                <w:szCs w:val="12"/>
                <w:color w:val="auto"/>
              </w:rPr>
            </w:pPr>
          </w:p>
        </w:tc>
        <w:tc>
          <w:tcPr>
            <w:tcW w:w="840" w:type="dxa"/>
            <w:vAlign w:val="bottom"/>
            <w:tcBorders>
              <w:top w:val="single" w:sz="8" w:color="231F20"/>
              <w:left w:val="single" w:sz="8" w:color="CFEDF9"/>
              <w:bottom w:val="single" w:sz="8" w:color="231F20"/>
            </w:tcBorders>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w:t>
            </w:r>
          </w:p>
        </w:tc>
        <w:tc>
          <w:tcPr>
            <w:tcW w:w="120" w:type="dxa"/>
            <w:vAlign w:val="bottom"/>
            <w:tcBorders>
              <w:top w:val="single" w:sz="8" w:color="CFEDF9"/>
              <w:bottom w:val="single" w:sz="8" w:color="CFEDF9"/>
            </w:tcBorders>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54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231F20"/>
              </w:rPr>
              <w:t>Retail and Consumer</w:t>
            </w:r>
          </w:p>
        </w:tc>
        <w:tc>
          <w:tcPr>
            <w:tcW w:w="1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54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Products</w:t>
            </w:r>
          </w:p>
        </w:tc>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American Achievement, Corp.</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33" w:lineRule="exact"/>
              <w:rPr>
                <w:sz w:val="20"/>
                <w:szCs w:val="20"/>
                <w:color w:val="auto"/>
              </w:rPr>
            </w:pPr>
            <w:r>
              <w:rPr>
                <w:rFonts w:ascii="Times New Roman" w:cs="Times New Roman" w:eastAsia="Times New Roman" w:hAnsi="Times New Roman"/>
                <w:sz w:val="12"/>
                <w:szCs w:val="12"/>
                <w:color w:val="231F20"/>
              </w:rPr>
              <w:t>Class A Units (687 units)</w:t>
            </w:r>
          </w:p>
        </w:tc>
        <w:tc>
          <w:tcPr>
            <w:tcW w:w="900" w:type="dxa"/>
            <w:vAlign w:val="bottom"/>
            <w:gridSpan w:val="2"/>
            <w:shd w:val="clear" w:color="auto" w:fill="CFEDF9"/>
          </w:tcPr>
          <w:p>
            <w:pPr>
              <w:jc w:val="right"/>
              <w:spacing w:after="0" w:line="133" w:lineRule="exact"/>
              <w:rPr>
                <w:sz w:val="20"/>
                <w:szCs w:val="20"/>
                <w:color w:val="auto"/>
              </w:rPr>
            </w:pPr>
            <w:r>
              <w:rPr>
                <w:rFonts w:ascii="Times New Roman" w:cs="Times New Roman" w:eastAsia="Times New Roman" w:hAnsi="Times New Roman"/>
                <w:sz w:val="12"/>
                <w:szCs w:val="12"/>
                <w:color w:val="231F20"/>
              </w:rPr>
              <w:t>3/16/2021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w:t>
            </w:r>
          </w:p>
        </w:tc>
        <w:tc>
          <w:tcPr>
            <w:tcW w:w="1080" w:type="dxa"/>
            <w:vAlign w:val="bottom"/>
            <w:gridSpan w:val="2"/>
            <w:shd w:val="clear" w:color="auto" w:fill="CFEDF9"/>
          </w:tcPr>
          <w:p>
            <w:pPr>
              <w:jc w:val="right"/>
              <w:ind w:right="200"/>
              <w:spacing w:after="0" w:line="133" w:lineRule="exact"/>
              <w:rPr>
                <w:sz w:val="20"/>
                <w:szCs w:val="20"/>
                <w:color w:val="auto"/>
              </w:rPr>
            </w:pPr>
            <w:r>
              <w:rPr>
                <w:rFonts w:ascii="Times New Roman" w:cs="Times New Roman" w:eastAsia="Times New Roman" w:hAnsi="Times New Roman"/>
                <w:sz w:val="12"/>
                <w:szCs w:val="12"/>
                <w:color w:val="231F20"/>
              </w:rPr>
              <w:t>50</w:t>
            </w:r>
          </w:p>
        </w:tc>
        <w:tc>
          <w:tcPr>
            <w:tcW w:w="960" w:type="dxa"/>
            <w:vAlign w:val="bottom"/>
            <w:tcBorders>
              <w:left w:val="single" w:sz="8" w:color="CFEDF9"/>
            </w:tcBorders>
            <w:gridSpan w:val="2"/>
            <w:shd w:val="clear" w:color="auto" w:fill="CFEDF9"/>
          </w:tcPr>
          <w:p>
            <w:pPr>
              <w:jc w:val="right"/>
              <w:ind w:right="20"/>
              <w:spacing w:after="0" w:line="133" w:lineRule="exact"/>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24"/>
        </w:trPr>
        <w:tc>
          <w:tcPr>
            <w:tcW w:w="15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(12)</w:t>
            </w:r>
          </w:p>
        </w:tc>
        <w:tc>
          <w:tcPr>
            <w:tcW w:w="100" w:type="dxa"/>
            <w:vAlign w:val="bottom"/>
            <w:tcBorders>
              <w:bottom w:val="single" w:sz="8" w:color="CFEDF9"/>
            </w:tcBorders>
            <w:shd w:val="clear" w:color="auto" w:fill="CFEDF9"/>
          </w:tcPr>
          <w:p>
            <w:pPr>
              <w:spacing w:after="0"/>
              <w:rPr>
                <w:sz w:val="10"/>
                <w:szCs w:val="10"/>
                <w:color w:val="auto"/>
              </w:rPr>
            </w:pPr>
          </w:p>
        </w:tc>
        <w:tc>
          <w:tcPr>
            <w:tcW w:w="254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tcBorders>
            <w:shd w:val="clear" w:color="auto" w:fill="CFEDF9"/>
          </w:tcPr>
          <w:p>
            <w:pPr>
              <w:spacing w:after="0"/>
              <w:rPr>
                <w:sz w:val="10"/>
                <w:szCs w:val="10"/>
                <w:color w:val="auto"/>
              </w:rPr>
            </w:pPr>
          </w:p>
        </w:tc>
        <w:tc>
          <w:tcPr>
            <w:tcW w:w="80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112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40" w:type="dxa"/>
            <w:vAlign w:val="bottom"/>
            <w:tcBorders>
              <w:left w:val="single" w:sz="8" w:color="CFEDF9"/>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Copper Bidco, LLC </w:t>
            </w:r>
            <w:r>
              <w:rPr>
                <w:rFonts w:ascii="Times New Roman" w:cs="Times New Roman" w:eastAsia="Times New Roman" w:hAnsi="Times New Roman"/>
                <w:sz w:val="15"/>
                <w:szCs w:val="15"/>
                <w:color w:val="231F20"/>
                <w:vertAlign w:val="superscript"/>
              </w:rPr>
              <w:t>(10)</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Trust Certificates (132,928 Certificates)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12/7/2020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231F20"/>
              </w:rPr>
              <w:t>665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Trust Certificates (996,958 Certificates)</w:t>
            </w:r>
          </w:p>
        </w:tc>
        <w:tc>
          <w:tcPr>
            <w:tcW w:w="9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1/30/2021</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32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3,041</w:t>
            </w:r>
          </w:p>
        </w:tc>
        <w:tc>
          <w:tcPr>
            <w:tcW w:w="108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12"/>
                <w:szCs w:val="12"/>
                <w:color w:val="231F20"/>
              </w:rPr>
              <w:t>12,462</w:t>
            </w:r>
          </w:p>
        </w:tc>
        <w:tc>
          <w:tcPr>
            <w:tcW w:w="960" w:type="dxa"/>
            <w:vAlign w:val="bottom"/>
            <w:tcBorders>
              <w:left w:val="single" w:sz="8" w:color="CFEDF9"/>
            </w:tcBorders>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0.9%</w:t>
            </w:r>
          </w:p>
        </w:tc>
        <w:tc>
          <w:tcPr>
            <w:tcW w:w="0" w:type="dxa"/>
            <w:vAlign w:val="bottom"/>
          </w:tcPr>
          <w:p>
            <w:pPr>
              <w:spacing w:after="0"/>
              <w:rPr>
                <w:sz w:val="1"/>
                <w:szCs w:val="1"/>
                <w:color w:val="auto"/>
              </w:rPr>
            </w:pPr>
          </w:p>
        </w:tc>
      </w:tr>
      <w:tr>
        <w:trPr>
          <w:trHeight w:val="138"/>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Neuintel, LLC </w:t>
            </w:r>
            <w:r>
              <w:rPr>
                <w:rFonts w:ascii="Times New Roman" w:cs="Times New Roman" w:eastAsia="Times New Roman" w:hAnsi="Times New Roman"/>
                <w:sz w:val="15"/>
                <w:szCs w:val="15"/>
                <w:color w:val="231F20"/>
                <w:vertAlign w:val="superscript"/>
              </w:rPr>
              <w:t>(12)(14)</w:t>
            </w:r>
          </w:p>
        </w:tc>
        <w:tc>
          <w:tcPr>
            <w:tcW w:w="10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231F20"/>
              </w:rPr>
              <w:t>Class A Units (1,176,494 units)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12/21/2021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3,000</w:t>
            </w: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2,618</w:t>
            </w:r>
          </w:p>
        </w:tc>
        <w:tc>
          <w:tcPr>
            <w:tcW w:w="20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20"/>
        </w:trPr>
        <w:tc>
          <w:tcPr>
            <w:tcW w:w="154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2540" w:type="dxa"/>
            <w:vAlign w:val="bottom"/>
            <w:shd w:val="clear" w:color="auto" w:fill="CFEDF9"/>
          </w:tcPr>
          <w:p>
            <w:pPr>
              <w:spacing w:after="0" w:line="20" w:lineRule="exact"/>
              <w:rPr>
                <w:sz w:val="1"/>
                <w:szCs w:val="1"/>
                <w:color w:val="auto"/>
              </w:rPr>
            </w:pPr>
          </w:p>
        </w:tc>
        <w:tc>
          <w:tcPr>
            <w:tcW w:w="12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0" w:type="dxa"/>
            <w:vAlign w:val="bottom"/>
            <w:shd w:val="clear" w:color="auto" w:fill="CFEDF9"/>
          </w:tcPr>
          <w:p>
            <w:pPr>
              <w:spacing w:after="0" w:line="20" w:lineRule="exact"/>
              <w:rPr>
                <w:sz w:val="1"/>
                <w:szCs w:val="1"/>
                <w:color w:val="auto"/>
              </w:rPr>
            </w:pPr>
          </w:p>
        </w:tc>
        <w:tc>
          <w:tcPr>
            <w:tcW w:w="100" w:type="dxa"/>
            <w:vAlign w:val="bottom"/>
            <w:shd w:val="clear" w:color="auto" w:fill="CFEDF9"/>
          </w:tcPr>
          <w:p>
            <w:pPr>
              <w:spacing w:after="0" w:line="20" w:lineRule="exact"/>
              <w:rPr>
                <w:sz w:val="1"/>
                <w:szCs w:val="1"/>
                <w:color w:val="auto"/>
              </w:rPr>
            </w:pPr>
          </w:p>
        </w:tc>
        <w:tc>
          <w:tcPr>
            <w:tcW w:w="780" w:type="dxa"/>
            <w:vAlign w:val="bottom"/>
            <w:shd w:val="clear" w:color="auto" w:fill="CFEDF9"/>
          </w:tcPr>
          <w:p>
            <w:pPr>
              <w:spacing w:after="0" w:line="20" w:lineRule="exact"/>
              <w:rPr>
                <w:sz w:val="1"/>
                <w:szCs w:val="1"/>
                <w:color w:val="auto"/>
              </w:rPr>
            </w:pPr>
          </w:p>
        </w:tc>
        <w:tc>
          <w:tcPr>
            <w:tcW w:w="220" w:type="dxa"/>
            <w:vAlign w:val="bottom"/>
            <w:shd w:val="clear" w:color="auto" w:fill="CFEDF9"/>
          </w:tcPr>
          <w:p>
            <w:pPr>
              <w:spacing w:after="0" w:line="20" w:lineRule="exact"/>
              <w:rPr>
                <w:sz w:val="1"/>
                <w:szCs w:val="1"/>
                <w:color w:val="auto"/>
              </w:rPr>
            </w:pPr>
          </w:p>
        </w:tc>
        <w:tc>
          <w:tcPr>
            <w:tcW w:w="800" w:type="dxa"/>
            <w:vAlign w:val="bottom"/>
            <w:shd w:val="clear" w:color="auto" w:fill="CFEDF9"/>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shd w:val="clear" w:color="auto" w:fill="CFEDF9"/>
          </w:tcPr>
          <w:p>
            <w:pPr>
              <w:spacing w:after="0" w:line="20" w:lineRule="exact"/>
              <w:rPr>
                <w:sz w:val="1"/>
                <w:szCs w:val="1"/>
                <w:color w:val="auto"/>
              </w:rPr>
            </w:pPr>
          </w:p>
        </w:tc>
        <w:tc>
          <w:tcPr>
            <w:tcW w:w="840" w:type="dxa"/>
            <w:vAlign w:val="bottom"/>
            <w:tcBorders>
              <w:left w:val="single" w:sz="8" w:color="231F20"/>
            </w:tcBorders>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12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6,041</w:t>
            </w:r>
          </w:p>
        </w:tc>
        <w:tc>
          <w:tcPr>
            <w:tcW w:w="200" w:type="dxa"/>
            <w:vAlign w:val="bottom"/>
            <w:shd w:val="clear" w:color="auto" w:fill="CFEDF9"/>
          </w:tcPr>
          <w:p>
            <w:pPr>
              <w:spacing w:after="0"/>
              <w:rPr>
                <w:sz w:val="11"/>
                <w:szCs w:val="11"/>
                <w:color w:val="auto"/>
              </w:rPr>
            </w:pPr>
          </w:p>
        </w:tc>
        <w:tc>
          <w:tcPr>
            <w:tcW w:w="88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15,795</w:t>
            </w:r>
          </w:p>
        </w:tc>
        <w:tc>
          <w:tcPr>
            <w:tcW w:w="200" w:type="dxa"/>
            <w:vAlign w:val="bottom"/>
            <w:shd w:val="clear" w:color="auto" w:fill="CFEDF9"/>
          </w:tcPr>
          <w:p>
            <w:pPr>
              <w:spacing w:after="0"/>
              <w:rPr>
                <w:sz w:val="11"/>
                <w:szCs w:val="11"/>
                <w:color w:val="auto"/>
              </w:rPr>
            </w:pPr>
          </w:p>
        </w:tc>
        <w:tc>
          <w:tcPr>
            <w:tcW w:w="960" w:type="dxa"/>
            <w:vAlign w:val="bottom"/>
            <w:tcBorders>
              <w:left w:val="single" w:sz="8" w:color="CFEDF9"/>
            </w:tcBorders>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1.1%</w:t>
            </w:r>
          </w:p>
        </w:tc>
        <w:tc>
          <w:tcPr>
            <w:tcW w:w="0" w:type="dxa"/>
            <w:vAlign w:val="bottom"/>
          </w:tcPr>
          <w:p>
            <w:pPr>
              <w:spacing w:after="0"/>
              <w:rPr>
                <w:sz w:val="1"/>
                <w:szCs w:val="1"/>
                <w:color w:val="auto"/>
              </w:rPr>
            </w:pPr>
          </w:p>
        </w:tc>
      </w:tr>
      <w:tr>
        <w:trPr>
          <w:trHeight w:val="128"/>
        </w:trPr>
        <w:tc>
          <w:tcPr>
            <w:tcW w:w="1540" w:type="dxa"/>
            <w:vAlign w:val="bottom"/>
            <w:tcBorders>
              <w:top w:val="single" w:sz="8" w:color="CFEDF9"/>
            </w:tcBorders>
          </w:tcPr>
          <w:p>
            <w:pPr>
              <w:spacing w:after="0"/>
              <w:rPr>
                <w:sz w:val="11"/>
                <w:szCs w:val="11"/>
                <w:color w:val="auto"/>
              </w:rPr>
            </w:pPr>
          </w:p>
        </w:tc>
        <w:tc>
          <w:tcPr>
            <w:tcW w:w="100" w:type="dxa"/>
            <w:vAlign w:val="bottom"/>
            <w:tcBorders>
              <w:top w:val="single" w:sz="8" w:color="CFEDF9"/>
            </w:tcBorders>
          </w:tcPr>
          <w:p>
            <w:pPr>
              <w:spacing w:after="0"/>
              <w:rPr>
                <w:sz w:val="11"/>
                <w:szCs w:val="11"/>
                <w:color w:val="auto"/>
              </w:rPr>
            </w:pPr>
          </w:p>
        </w:tc>
        <w:tc>
          <w:tcPr>
            <w:tcW w:w="2540" w:type="dxa"/>
            <w:vAlign w:val="bottom"/>
            <w:tcBorders>
              <w:top w:val="single" w:sz="8" w:color="CFEDF9"/>
            </w:tcBorders>
          </w:tcPr>
          <w:p>
            <w:pPr>
              <w:spacing w:after="0"/>
              <w:rPr>
                <w:sz w:val="11"/>
                <w:szCs w:val="11"/>
                <w:color w:val="auto"/>
              </w:rPr>
            </w:pPr>
          </w:p>
        </w:tc>
        <w:tc>
          <w:tcPr>
            <w:tcW w:w="120" w:type="dxa"/>
            <w:vAlign w:val="bottom"/>
            <w:tcBorders>
              <w:top w:val="single" w:sz="8" w:color="CFEDF9"/>
            </w:tcBorders>
          </w:tcPr>
          <w:p>
            <w:pPr>
              <w:spacing w:after="0"/>
              <w:rPr>
                <w:sz w:val="11"/>
                <w:szCs w:val="11"/>
                <w:color w:val="auto"/>
              </w:rPr>
            </w:pPr>
          </w:p>
        </w:tc>
        <w:tc>
          <w:tcPr>
            <w:tcW w:w="780" w:type="dxa"/>
            <w:vAlign w:val="bottom"/>
            <w:tcBorders>
              <w:top w:val="single" w:sz="8" w:color="CFEDF9"/>
            </w:tcBorders>
          </w:tcPr>
          <w:p>
            <w:pPr>
              <w:spacing w:after="0"/>
              <w:rPr>
                <w:sz w:val="11"/>
                <w:szCs w:val="11"/>
                <w:color w:val="auto"/>
              </w:rPr>
            </w:pPr>
          </w:p>
        </w:tc>
        <w:tc>
          <w:tcPr>
            <w:tcW w:w="20" w:type="dxa"/>
            <w:vAlign w:val="bottom"/>
            <w:tcBorders>
              <w:top w:val="single" w:sz="8" w:color="CFEDF9"/>
            </w:tcBorders>
          </w:tcPr>
          <w:p>
            <w:pPr>
              <w:spacing w:after="0"/>
              <w:rPr>
                <w:sz w:val="11"/>
                <w:szCs w:val="11"/>
                <w:color w:val="auto"/>
              </w:rPr>
            </w:pPr>
          </w:p>
        </w:tc>
        <w:tc>
          <w:tcPr>
            <w:tcW w:w="100" w:type="dxa"/>
            <w:vAlign w:val="bottom"/>
            <w:tcBorders>
              <w:top w:val="single" w:sz="8" w:color="CFEDF9"/>
            </w:tcBorders>
          </w:tcPr>
          <w:p>
            <w:pPr>
              <w:spacing w:after="0"/>
              <w:rPr>
                <w:sz w:val="11"/>
                <w:szCs w:val="11"/>
                <w:color w:val="auto"/>
              </w:rPr>
            </w:pPr>
          </w:p>
        </w:tc>
        <w:tc>
          <w:tcPr>
            <w:tcW w:w="780" w:type="dxa"/>
            <w:vAlign w:val="bottom"/>
            <w:tcBorders>
              <w:top w:val="single" w:sz="8" w:color="CFEDF9"/>
            </w:tcBorders>
          </w:tcPr>
          <w:p>
            <w:pPr>
              <w:spacing w:after="0"/>
              <w:rPr>
                <w:sz w:val="11"/>
                <w:szCs w:val="11"/>
                <w:color w:val="auto"/>
              </w:rPr>
            </w:pPr>
          </w:p>
        </w:tc>
        <w:tc>
          <w:tcPr>
            <w:tcW w:w="220" w:type="dxa"/>
            <w:vAlign w:val="bottom"/>
            <w:tcBorders>
              <w:top w:val="single" w:sz="8" w:color="CFEDF9"/>
            </w:tcBorders>
          </w:tcPr>
          <w:p>
            <w:pPr>
              <w:spacing w:after="0"/>
              <w:rPr>
                <w:sz w:val="11"/>
                <w:szCs w:val="11"/>
                <w:color w:val="auto"/>
              </w:rPr>
            </w:pPr>
          </w:p>
        </w:tc>
        <w:tc>
          <w:tcPr>
            <w:tcW w:w="800" w:type="dxa"/>
            <w:vAlign w:val="bottom"/>
            <w:tcBorders>
              <w:top w:val="single" w:sz="8" w:color="CFEDF9"/>
            </w:tcBorders>
          </w:tcPr>
          <w:p>
            <w:pPr>
              <w:spacing w:after="0"/>
              <w:rPr>
                <w:sz w:val="11"/>
                <w:szCs w:val="11"/>
                <w:color w:val="auto"/>
              </w:rPr>
            </w:pPr>
          </w:p>
        </w:tc>
        <w:tc>
          <w:tcPr>
            <w:tcW w:w="200" w:type="dxa"/>
            <w:vAlign w:val="bottom"/>
            <w:tcBorders>
              <w:top w:val="single" w:sz="8" w:color="CFEDF9"/>
            </w:tcBorders>
          </w:tcPr>
          <w:p>
            <w:pPr>
              <w:spacing w:after="0"/>
              <w:rPr>
                <w:sz w:val="11"/>
                <w:szCs w:val="11"/>
                <w:color w:val="auto"/>
              </w:rPr>
            </w:pPr>
          </w:p>
        </w:tc>
        <w:tc>
          <w:tcPr>
            <w:tcW w:w="1120" w:type="dxa"/>
            <w:vAlign w:val="bottom"/>
            <w:tcBorders>
              <w:top w:val="single" w:sz="8" w:color="231F20"/>
            </w:tcBorders>
          </w:tcPr>
          <w:p>
            <w:pPr>
              <w:spacing w:after="0"/>
              <w:rPr>
                <w:sz w:val="11"/>
                <w:szCs w:val="11"/>
                <w:color w:val="auto"/>
              </w:rPr>
            </w:pPr>
          </w:p>
        </w:tc>
        <w:tc>
          <w:tcPr>
            <w:tcW w:w="200" w:type="dxa"/>
            <w:vAlign w:val="bottom"/>
            <w:tcBorders>
              <w:top w:val="single" w:sz="8" w:color="CFEDF9"/>
            </w:tcBorders>
          </w:tcPr>
          <w:p>
            <w:pPr>
              <w:spacing w:after="0"/>
              <w:rPr>
                <w:sz w:val="11"/>
                <w:szCs w:val="11"/>
                <w:color w:val="auto"/>
              </w:rPr>
            </w:pPr>
          </w:p>
        </w:tc>
        <w:tc>
          <w:tcPr>
            <w:tcW w:w="880" w:type="dxa"/>
            <w:vAlign w:val="bottom"/>
            <w:tcBorders>
              <w:top w:val="single" w:sz="8" w:color="231F20"/>
            </w:tcBorders>
          </w:tcPr>
          <w:p>
            <w:pPr>
              <w:spacing w:after="0"/>
              <w:rPr>
                <w:sz w:val="11"/>
                <w:szCs w:val="11"/>
                <w:color w:val="auto"/>
              </w:rPr>
            </w:pPr>
          </w:p>
        </w:tc>
        <w:tc>
          <w:tcPr>
            <w:tcW w:w="200" w:type="dxa"/>
            <w:vAlign w:val="bottom"/>
            <w:tcBorders>
              <w:top w:val="single" w:sz="8" w:color="CFEDF9"/>
            </w:tcBorders>
          </w:tcPr>
          <w:p>
            <w:pPr>
              <w:spacing w:after="0"/>
              <w:rPr>
                <w:sz w:val="11"/>
                <w:szCs w:val="11"/>
                <w:color w:val="auto"/>
              </w:rPr>
            </w:pPr>
          </w:p>
        </w:tc>
        <w:tc>
          <w:tcPr>
            <w:tcW w:w="840" w:type="dxa"/>
            <w:vAlign w:val="bottom"/>
            <w:tcBorders>
              <w:top w:val="single" w:sz="8" w:color="231F2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b w:val="1"/>
                <w:bCs w:val="1"/>
                <w:color w:val="231F20"/>
              </w:rPr>
              <w:t>Structured Credit</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1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40" w:type="dxa"/>
            <w:vAlign w:val="bottom"/>
            <w:tcBorders>
              <w:left w:val="single" w:sz="8" w:color="CFEDF9"/>
            </w:tcBorders>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Allegro CLO Ltd, Series 2018-</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6/2031)</w:t>
            </w:r>
          </w:p>
        </w:tc>
        <w:tc>
          <w:tcPr>
            <w:tcW w:w="1020" w:type="dxa"/>
            <w:vAlign w:val="bottom"/>
            <w:gridSpan w:val="4"/>
          </w:tcPr>
          <w:p>
            <w:pPr>
              <w:jc w:val="right"/>
              <w:ind w:right="120"/>
              <w:spacing w:after="0" w:line="128" w:lineRule="exact"/>
              <w:rPr>
                <w:sz w:val="20"/>
                <w:szCs w:val="20"/>
                <w:color w:val="auto"/>
              </w:rPr>
            </w:pPr>
            <w:r>
              <w:rPr>
                <w:rFonts w:ascii="Times New Roman" w:cs="Times New Roman" w:eastAsia="Times New Roman" w:hAnsi="Times New Roman"/>
                <w:sz w:val="12"/>
                <w:szCs w:val="12"/>
                <w:color w:val="231F20"/>
              </w:rPr>
              <w:t>5/26/2022</w:t>
            </w:r>
          </w:p>
        </w:tc>
        <w:tc>
          <w:tcPr>
            <w:tcW w:w="100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+ 2.85%</w:t>
            </w:r>
          </w:p>
        </w:tc>
        <w:tc>
          <w:tcPr>
            <w:tcW w:w="10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5.36%</w:t>
            </w:r>
          </w:p>
        </w:tc>
        <w:tc>
          <w:tcPr>
            <w:tcW w:w="13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924</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848</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1A,</w:t>
            </w:r>
            <w:r>
              <w:rPr>
                <w:rFonts w:ascii="Times New Roman" w:cs="Times New Roman" w:eastAsia="Times New Roman" w:hAnsi="Times New Roman"/>
                <w:sz w:val="7"/>
                <w:szCs w:val="7"/>
                <w:color w:val="231F20"/>
              </w:rPr>
              <w:t xml:space="preserve"> (3)(4)(10)</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American Money Management</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($1,500 par, due 5/2031)</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6/22/2022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+ 3.05%</w:t>
            </w:r>
          </w:p>
        </w:tc>
        <w:tc>
          <w:tcPr>
            <w:tcW w:w="100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6.06%</w:t>
            </w:r>
          </w:p>
        </w:tc>
        <w:tc>
          <w:tcPr>
            <w:tcW w:w="132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1,347</w:t>
            </w:r>
          </w:p>
        </w:tc>
        <w:tc>
          <w:tcPr>
            <w:tcW w:w="108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1,309</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Corp CLO Ltd, Series 2016-</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1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40" w:type="dxa"/>
            <w:vAlign w:val="bottom"/>
            <w:tcBorders>
              <w:left w:val="single" w:sz="8" w:color="CFEDF9"/>
            </w:tcBorders>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18A</w:t>
            </w:r>
            <w:r>
              <w:rPr>
                <w:rFonts w:ascii="Times New Roman" w:cs="Times New Roman" w:eastAsia="Times New Roman" w:hAnsi="Times New Roman"/>
                <w:sz w:val="7"/>
                <w:szCs w:val="7"/>
                <w:color w:val="231F20"/>
              </w:rPr>
              <w:t xml:space="preserve"> (3)(4)(10)</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Ares CLO Ltd, Series 2021-</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4/2034)</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6/23/2022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+ 6.25%</w:t>
            </w:r>
          </w:p>
        </w:tc>
        <w:tc>
          <w:tcPr>
            <w:tcW w:w="10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9.03%</w:t>
            </w:r>
          </w:p>
        </w:tc>
        <w:tc>
          <w:tcPr>
            <w:tcW w:w="13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894</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875</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59A</w:t>
            </w:r>
            <w:r>
              <w:rPr>
                <w:rFonts w:ascii="Times New Roman" w:cs="Times New Roman" w:eastAsia="Times New Roman" w:hAnsi="Times New Roman"/>
                <w:sz w:val="7"/>
                <w:szCs w:val="7"/>
                <w:color w:val="231F20"/>
              </w:rPr>
              <w:t xml:space="preserve"> (3)(4)(10)</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Ares Loan Funding I Ltd,</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10/2034)</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6/24/2022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+ 6.70%</w:t>
            </w:r>
          </w:p>
        </w:tc>
        <w:tc>
          <w:tcPr>
            <w:tcW w:w="100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9.21%</w:t>
            </w:r>
          </w:p>
        </w:tc>
        <w:tc>
          <w:tcPr>
            <w:tcW w:w="132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918</w:t>
            </w:r>
          </w:p>
        </w:tc>
        <w:tc>
          <w:tcPr>
            <w:tcW w:w="108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881</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3"/>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Series 2021-ALFA, Class E</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5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8"/>
                <w:szCs w:val="8"/>
                <w:color w:val="231F20"/>
              </w:rPr>
              <w:t>(3)(4)(10)</w:t>
            </w:r>
          </w:p>
        </w:tc>
        <w:tc>
          <w:tcPr>
            <w:tcW w:w="100" w:type="dxa"/>
            <w:vAlign w:val="bottom"/>
            <w:tcBorders>
              <w:bottom w:val="single" w:sz="8" w:color="CFEDF9"/>
            </w:tcBorders>
            <w:shd w:val="clear" w:color="auto" w:fill="CFEDF9"/>
          </w:tcPr>
          <w:p>
            <w:pPr>
              <w:spacing w:after="0"/>
              <w:rPr>
                <w:sz w:val="10"/>
                <w:szCs w:val="10"/>
                <w:color w:val="auto"/>
              </w:rPr>
            </w:pPr>
          </w:p>
        </w:tc>
        <w:tc>
          <w:tcPr>
            <w:tcW w:w="2540" w:type="dxa"/>
            <w:vAlign w:val="bottom"/>
            <w:tcBorders>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CFEDF9"/>
            </w:tcBorders>
            <w:shd w:val="clear" w:color="auto" w:fill="CFEDF9"/>
          </w:tcPr>
          <w:p>
            <w:pPr>
              <w:spacing w:after="0"/>
              <w:rPr>
                <w:sz w:val="10"/>
                <w:szCs w:val="10"/>
                <w:color w:val="auto"/>
              </w:rPr>
            </w:pPr>
          </w:p>
        </w:tc>
        <w:tc>
          <w:tcPr>
            <w:tcW w:w="780" w:type="dxa"/>
            <w:vAlign w:val="bottom"/>
            <w:tcBorders>
              <w:bottom w:val="single" w:sz="8" w:color="CFEDF9"/>
            </w:tcBorders>
            <w:shd w:val="clear" w:color="auto" w:fill="CFEDF9"/>
          </w:tcPr>
          <w:p>
            <w:pPr>
              <w:spacing w:after="0"/>
              <w:rPr>
                <w:sz w:val="10"/>
                <w:szCs w:val="10"/>
                <w:color w:val="auto"/>
              </w:rPr>
            </w:pPr>
          </w:p>
        </w:tc>
        <w:tc>
          <w:tcPr>
            <w:tcW w:w="220" w:type="dxa"/>
            <w:vAlign w:val="bottom"/>
            <w:tcBorders>
              <w:bottom w:val="single" w:sz="8" w:color="CFEDF9"/>
            </w:tcBorders>
            <w:shd w:val="clear" w:color="auto" w:fill="CFEDF9"/>
          </w:tcPr>
          <w:p>
            <w:pPr>
              <w:spacing w:after="0"/>
              <w:rPr>
                <w:sz w:val="10"/>
                <w:szCs w:val="10"/>
                <w:color w:val="auto"/>
              </w:rPr>
            </w:pPr>
          </w:p>
        </w:tc>
        <w:tc>
          <w:tcPr>
            <w:tcW w:w="80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112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80" w:type="dxa"/>
            <w:vAlign w:val="bottom"/>
            <w:tcBorders>
              <w:bottom w:val="single" w:sz="8" w:color="CFEDF9"/>
            </w:tcBorders>
            <w:shd w:val="clear" w:color="auto" w:fill="CFEDF9"/>
          </w:tcPr>
          <w:p>
            <w:pPr>
              <w:spacing w:after="0"/>
              <w:rPr>
                <w:sz w:val="10"/>
                <w:szCs w:val="10"/>
                <w:color w:val="auto"/>
              </w:rPr>
            </w:pPr>
          </w:p>
        </w:tc>
        <w:tc>
          <w:tcPr>
            <w:tcW w:w="200" w:type="dxa"/>
            <w:vAlign w:val="bottom"/>
            <w:tcBorders>
              <w:bottom w:val="single" w:sz="8" w:color="CFEDF9"/>
            </w:tcBorders>
            <w:shd w:val="clear" w:color="auto" w:fill="CFEDF9"/>
          </w:tcPr>
          <w:p>
            <w:pPr>
              <w:spacing w:after="0"/>
              <w:rPr>
                <w:sz w:val="10"/>
                <w:szCs w:val="10"/>
                <w:color w:val="auto"/>
              </w:rPr>
            </w:pPr>
          </w:p>
        </w:tc>
        <w:tc>
          <w:tcPr>
            <w:tcW w:w="840" w:type="dxa"/>
            <w:vAlign w:val="bottom"/>
            <w:tcBorders>
              <w:left w:val="single" w:sz="8" w:color="CFEDF9"/>
              <w:bottom w:val="single" w:sz="8" w:color="CFEDF9"/>
            </w:tcBorders>
            <w:shd w:val="clear" w:color="auto" w:fill="CFEDF9"/>
          </w:tcPr>
          <w:p>
            <w:pPr>
              <w:spacing w:after="0"/>
              <w:rPr>
                <w:sz w:val="10"/>
                <w:szCs w:val="10"/>
                <w:color w:val="auto"/>
              </w:rPr>
            </w:pPr>
          </w:p>
        </w:tc>
        <w:tc>
          <w:tcPr>
            <w:tcW w:w="120" w:type="dxa"/>
            <w:vAlign w:val="bottom"/>
            <w:tcBorders>
              <w:bottom w:val="single" w:sz="8" w:color="CFEDF9"/>
            </w:tcBorders>
            <w:shd w:val="clear" w:color="auto" w:fill="CFEDF9"/>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Bain Capital Credit CLO Ltd,</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($500 par, due 4/2031)</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10/15/2020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+ 5.35%</w:t>
            </w:r>
          </w:p>
        </w:tc>
        <w:tc>
          <w:tcPr>
            <w:tcW w:w="10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8.13%</w:t>
            </w:r>
          </w:p>
        </w:tc>
        <w:tc>
          <w:tcPr>
            <w:tcW w:w="13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424</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383</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2018-1A </w:t>
            </w:r>
            <w:r>
              <w:rPr>
                <w:rFonts w:ascii="Times New Roman" w:cs="Times New Roman" w:eastAsia="Times New Roman" w:hAnsi="Times New Roman"/>
                <w:sz w:val="16"/>
                <w:szCs w:val="16"/>
                <w:color w:val="231F20"/>
                <w:vertAlign w:val="superscript"/>
              </w:rPr>
              <w:t>(3)(4)(10)</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Battalion CLO Ltd, Series</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($1,300 par, due 7/2034)</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7/13/2022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+ 3.30%</w:t>
            </w:r>
          </w:p>
        </w:tc>
        <w:tc>
          <w:tcPr>
            <w:tcW w:w="100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5.81%</w:t>
            </w:r>
          </w:p>
        </w:tc>
        <w:tc>
          <w:tcPr>
            <w:tcW w:w="132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1,158</w:t>
            </w:r>
          </w:p>
        </w:tc>
        <w:tc>
          <w:tcPr>
            <w:tcW w:w="108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1,158</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2021-21A</w:t>
            </w:r>
            <w:r>
              <w:rPr>
                <w:rFonts w:ascii="Times New Roman" w:cs="Times New Roman" w:eastAsia="Times New Roman" w:hAnsi="Times New Roman"/>
                <w:sz w:val="7"/>
                <w:szCs w:val="7"/>
                <w:color w:val="231F20"/>
              </w:rPr>
              <w:t xml:space="preserve"> (3)(4)(10)</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Benefit Street Partners CLO</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($2,500 par, due 7/2034)</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7/13/2022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+ 3.85%</w:t>
            </w:r>
          </w:p>
        </w:tc>
        <w:tc>
          <w:tcPr>
            <w:tcW w:w="10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6.56%</w:t>
            </w:r>
          </w:p>
        </w:tc>
        <w:tc>
          <w:tcPr>
            <w:tcW w:w="13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2,179</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2,285</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Ltd, Series 2015-BR </w:t>
            </w:r>
            <w:r>
              <w:rPr>
                <w:rFonts w:ascii="Times New Roman" w:cs="Times New Roman" w:eastAsia="Times New Roman" w:hAnsi="Times New Roman"/>
                <w:sz w:val="16"/>
                <w:szCs w:val="16"/>
                <w:color w:val="231F20"/>
                <w:vertAlign w:val="superscript"/>
              </w:rPr>
              <w:t>(3)(4)(10)</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Benefit Street Partners CLO</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($1,425 par, due 1/2031)</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9/13/2022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+ 2.75%</w:t>
            </w:r>
          </w:p>
        </w:tc>
        <w:tc>
          <w:tcPr>
            <w:tcW w:w="100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5.46%</w:t>
            </w:r>
          </w:p>
        </w:tc>
        <w:tc>
          <w:tcPr>
            <w:tcW w:w="132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1,265</w:t>
            </w:r>
          </w:p>
        </w:tc>
        <w:tc>
          <w:tcPr>
            <w:tcW w:w="108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1,214</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Ltd, Series 2015-8A </w:t>
            </w:r>
            <w:r>
              <w:rPr>
                <w:rFonts w:ascii="Times New Roman" w:cs="Times New Roman" w:eastAsia="Times New Roman" w:hAnsi="Times New Roman"/>
                <w:sz w:val="16"/>
                <w:szCs w:val="16"/>
                <w:color w:val="231F20"/>
                <w:vertAlign w:val="superscript"/>
              </w:rPr>
              <w:t>(3)(4)(10)</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Carlyle Global Market</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7/2030)</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5/26/2022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+ 2.90%</w:t>
            </w:r>
          </w:p>
        </w:tc>
        <w:tc>
          <w:tcPr>
            <w:tcW w:w="10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5.41%</w:t>
            </w:r>
          </w:p>
        </w:tc>
        <w:tc>
          <w:tcPr>
            <w:tcW w:w="13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892</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844</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tcPr>
          <w:p>
            <w:pPr>
              <w:spacing w:after="0"/>
              <w:rPr>
                <w:sz w:val="20"/>
                <w:szCs w:val="20"/>
                <w:color w:val="auto"/>
              </w:rPr>
            </w:pPr>
            <w:r>
              <w:rPr>
                <w:rFonts w:ascii="Times New Roman" w:cs="Times New Roman" w:eastAsia="Times New Roman" w:hAnsi="Times New Roman"/>
                <w:sz w:val="12"/>
                <w:szCs w:val="12"/>
                <w:color w:val="231F20"/>
              </w:rPr>
              <w:t>Strategies CLO Ltd, Series</w:t>
            </w: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2014-4RA</w:t>
            </w:r>
            <w:r>
              <w:rPr>
                <w:rFonts w:ascii="Times New Roman" w:cs="Times New Roman" w:eastAsia="Times New Roman" w:hAnsi="Times New Roman"/>
                <w:sz w:val="7"/>
                <w:szCs w:val="7"/>
                <w:color w:val="231F20"/>
              </w:rPr>
              <w:t xml:space="preserve"> (3)(4)(10)</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Carlyle Global Market</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($1,550 par, due 4/2031)</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8/11/2020</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+ 5.75%</w:t>
            </w:r>
          </w:p>
        </w:tc>
        <w:tc>
          <w:tcPr>
            <w:tcW w:w="100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8.46%</w:t>
            </w:r>
          </w:p>
        </w:tc>
        <w:tc>
          <w:tcPr>
            <w:tcW w:w="132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1,246</w:t>
            </w:r>
          </w:p>
        </w:tc>
        <w:tc>
          <w:tcPr>
            <w:tcW w:w="108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1,241</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540" w:type="dxa"/>
            <w:vAlign w:val="bottom"/>
            <w:shd w:val="clear" w:color="auto" w:fill="CFEDF9"/>
          </w:tcPr>
          <w:p>
            <w:pPr>
              <w:spacing w:after="0"/>
              <w:rPr>
                <w:sz w:val="20"/>
                <w:szCs w:val="20"/>
                <w:color w:val="auto"/>
              </w:rPr>
            </w:pPr>
            <w:r>
              <w:rPr>
                <w:rFonts w:ascii="Times New Roman" w:cs="Times New Roman" w:eastAsia="Times New Roman" w:hAnsi="Times New Roman"/>
                <w:sz w:val="12"/>
                <w:szCs w:val="12"/>
                <w:color w:val="231F20"/>
              </w:rPr>
              <w:t>Strategies CLO Ltd, Series</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78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8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1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8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840" w:type="dxa"/>
            <w:vAlign w:val="bottom"/>
            <w:tcBorders>
              <w:left w:val="single" w:sz="8" w:color="CFEDF9"/>
            </w:tcBorders>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2018-1A</w:t>
            </w:r>
            <w:r>
              <w:rPr>
                <w:rFonts w:ascii="Times New Roman" w:cs="Times New Roman" w:eastAsia="Times New Roman" w:hAnsi="Times New Roman"/>
                <w:sz w:val="7"/>
                <w:szCs w:val="7"/>
                <w:color w:val="231F20"/>
              </w:rPr>
              <w:t xml:space="preserve"> (3)(4)(10)</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CarVal CLO III Ltd, Series</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7/2032)</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6/30/2022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+ 6.44%</w:t>
            </w:r>
          </w:p>
        </w:tc>
        <w:tc>
          <w:tcPr>
            <w:tcW w:w="10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9.15%</w:t>
            </w:r>
          </w:p>
        </w:tc>
        <w:tc>
          <w:tcPr>
            <w:tcW w:w="13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897</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887</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2019-2A</w:t>
            </w:r>
            <w:r>
              <w:rPr>
                <w:rFonts w:ascii="Times New Roman" w:cs="Times New Roman" w:eastAsia="Times New Roman" w:hAnsi="Times New Roman"/>
                <w:sz w:val="7"/>
                <w:szCs w:val="7"/>
                <w:color w:val="231F20"/>
              </w:rPr>
              <w:t xml:space="preserve"> (3)(4)(10)</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Cedar Funding CLO Ltd,</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1/2031)</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7/21/2022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+ 4.55%</w:t>
            </w:r>
          </w:p>
        </w:tc>
        <w:tc>
          <w:tcPr>
            <w:tcW w:w="100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7.26%</w:t>
            </w:r>
          </w:p>
        </w:tc>
        <w:tc>
          <w:tcPr>
            <w:tcW w:w="132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861</w:t>
            </w:r>
          </w:p>
        </w:tc>
        <w:tc>
          <w:tcPr>
            <w:tcW w:w="108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847</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2018-7A </w:t>
            </w:r>
            <w:r>
              <w:rPr>
                <w:rFonts w:ascii="Times New Roman" w:cs="Times New Roman" w:eastAsia="Times New Roman" w:hAnsi="Times New Roman"/>
                <w:sz w:val="16"/>
                <w:szCs w:val="16"/>
                <w:color w:val="231F20"/>
                <w:vertAlign w:val="superscript"/>
              </w:rPr>
              <w:t>(3)(4)(10)</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CIFC CLO Ltd, Series 2018-</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7/2031)</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6/16/2022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+ 5.50%</w:t>
            </w:r>
          </w:p>
        </w:tc>
        <w:tc>
          <w:tcPr>
            <w:tcW w:w="10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8.24%</w:t>
            </w:r>
          </w:p>
        </w:tc>
        <w:tc>
          <w:tcPr>
            <w:tcW w:w="13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897</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850</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3A</w:t>
            </w:r>
            <w:r>
              <w:rPr>
                <w:rFonts w:ascii="Times New Roman" w:cs="Times New Roman" w:eastAsia="Times New Roman" w:hAnsi="Times New Roman"/>
                <w:sz w:val="7"/>
                <w:szCs w:val="7"/>
                <w:color w:val="231F20"/>
              </w:rPr>
              <w:t xml:space="preserve"> (3)(4)(10)</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CIFC CLO Ltd, Series 2021-</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7/2033)</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7/14/2022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+ 6.00%</w:t>
            </w:r>
          </w:p>
        </w:tc>
        <w:tc>
          <w:tcPr>
            <w:tcW w:w="100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8.51%</w:t>
            </w:r>
          </w:p>
        </w:tc>
        <w:tc>
          <w:tcPr>
            <w:tcW w:w="132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879</w:t>
            </w:r>
          </w:p>
        </w:tc>
        <w:tc>
          <w:tcPr>
            <w:tcW w:w="108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909</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4A</w:t>
            </w:r>
            <w:r>
              <w:rPr>
                <w:rFonts w:ascii="Times New Roman" w:cs="Times New Roman" w:eastAsia="Times New Roman" w:hAnsi="Times New Roman"/>
                <w:sz w:val="7"/>
                <w:szCs w:val="7"/>
                <w:color w:val="231F20"/>
              </w:rPr>
              <w:t xml:space="preserve"> (3)(4)(10)</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Crown Point CLO Ltd, Series</w:t>
            </w:r>
          </w:p>
        </w:tc>
        <w:tc>
          <w:tcPr>
            <w:tcW w:w="100" w:type="dxa"/>
            <w:vAlign w:val="bottom"/>
          </w:tcPr>
          <w:p>
            <w:pPr>
              <w:spacing w:after="0"/>
              <w:rPr>
                <w:sz w:val="11"/>
                <w:szCs w:val="11"/>
                <w:color w:val="auto"/>
              </w:rPr>
            </w:pPr>
          </w:p>
        </w:tc>
        <w:tc>
          <w:tcPr>
            <w:tcW w:w="2540" w:type="dxa"/>
            <w:vAlign w:val="bottom"/>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7/2034)</w:t>
            </w:r>
          </w:p>
        </w:tc>
        <w:tc>
          <w:tcPr>
            <w:tcW w:w="9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6/14/2022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+ 6.85%</w:t>
            </w:r>
          </w:p>
        </w:tc>
        <w:tc>
          <w:tcPr>
            <w:tcW w:w="10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9.56%</w:t>
            </w:r>
          </w:p>
        </w:tc>
        <w:tc>
          <w:tcPr>
            <w:tcW w:w="132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900</w:t>
            </w:r>
          </w:p>
        </w:tc>
        <w:tc>
          <w:tcPr>
            <w:tcW w:w="108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871</w:t>
            </w:r>
          </w:p>
        </w:tc>
        <w:tc>
          <w:tcPr>
            <w:tcW w:w="9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2021-10A</w:t>
            </w:r>
            <w:r>
              <w:rPr>
                <w:rFonts w:ascii="Times New Roman" w:cs="Times New Roman" w:eastAsia="Times New Roman" w:hAnsi="Times New Roman"/>
                <w:sz w:val="7"/>
                <w:szCs w:val="7"/>
                <w:color w:val="231F20"/>
              </w:rPr>
              <w:t xml:space="preserve"> (3)(4)(10)</w:t>
            </w: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Dryden Senior Loan Fund,</w:t>
            </w:r>
          </w:p>
        </w:tc>
        <w:tc>
          <w:tcPr>
            <w:tcW w:w="100" w:type="dxa"/>
            <w:vAlign w:val="bottom"/>
            <w:shd w:val="clear" w:color="auto" w:fill="CFEDF9"/>
          </w:tcPr>
          <w:p>
            <w:pPr>
              <w:spacing w:after="0"/>
              <w:rPr>
                <w:sz w:val="11"/>
                <w:szCs w:val="11"/>
                <w:color w:val="auto"/>
              </w:rPr>
            </w:pPr>
          </w:p>
        </w:tc>
        <w:tc>
          <w:tcPr>
            <w:tcW w:w="2540" w:type="dxa"/>
            <w:vAlign w:val="bottom"/>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4/2031)</w:t>
            </w:r>
          </w:p>
        </w:tc>
        <w:tc>
          <w:tcPr>
            <w:tcW w:w="9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7/25/2022</w:t>
            </w:r>
          </w:p>
        </w:tc>
        <w:tc>
          <w:tcPr>
            <w:tcW w:w="20" w:type="dxa"/>
            <w:vAlign w:val="bottom"/>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000" w:type="dxa"/>
            <w:vAlign w:val="bottom"/>
            <w:gridSpan w:val="2"/>
            <w:shd w:val="clear" w:color="auto" w:fill="CFEDF9"/>
          </w:tcPr>
          <w:p>
            <w:pPr>
              <w:ind w:left="280"/>
              <w:spacing w:after="0" w:line="128" w:lineRule="exact"/>
              <w:rPr>
                <w:sz w:val="20"/>
                <w:szCs w:val="20"/>
                <w:color w:val="auto"/>
              </w:rPr>
            </w:pPr>
            <w:r>
              <w:rPr>
                <w:rFonts w:ascii="Times New Roman" w:cs="Times New Roman" w:eastAsia="Times New Roman" w:hAnsi="Times New Roman"/>
                <w:sz w:val="12"/>
                <w:szCs w:val="12"/>
                <w:color w:val="231F20"/>
              </w:rPr>
              <w:t>L + 2.85%</w:t>
            </w:r>
          </w:p>
        </w:tc>
        <w:tc>
          <w:tcPr>
            <w:tcW w:w="1000" w:type="dxa"/>
            <w:vAlign w:val="bottom"/>
            <w:gridSpan w:val="2"/>
            <w:shd w:val="clear" w:color="auto" w:fill="CFEDF9"/>
          </w:tcPr>
          <w:p>
            <w:pPr>
              <w:jc w:val="right"/>
              <w:ind w:right="100"/>
              <w:spacing w:after="0" w:line="128" w:lineRule="exact"/>
              <w:rPr>
                <w:sz w:val="20"/>
                <w:szCs w:val="20"/>
                <w:color w:val="auto"/>
              </w:rPr>
            </w:pPr>
            <w:r>
              <w:rPr>
                <w:rFonts w:ascii="Times New Roman" w:cs="Times New Roman" w:eastAsia="Times New Roman" w:hAnsi="Times New Roman"/>
                <w:sz w:val="12"/>
                <w:szCs w:val="12"/>
                <w:color w:val="231F20"/>
              </w:rPr>
              <w:t>5.36%</w:t>
            </w:r>
          </w:p>
        </w:tc>
        <w:tc>
          <w:tcPr>
            <w:tcW w:w="132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900</w:t>
            </w:r>
          </w:p>
        </w:tc>
        <w:tc>
          <w:tcPr>
            <w:tcW w:w="1080" w:type="dxa"/>
            <w:vAlign w:val="bottom"/>
            <w:gridSpan w:val="2"/>
            <w:shd w:val="clear" w:color="auto" w:fill="CFEDF9"/>
          </w:tcPr>
          <w:p>
            <w:pPr>
              <w:jc w:val="right"/>
              <w:ind w:right="200"/>
              <w:spacing w:after="0" w:line="128" w:lineRule="exact"/>
              <w:rPr>
                <w:sz w:val="20"/>
                <w:szCs w:val="20"/>
                <w:color w:val="auto"/>
              </w:rPr>
            </w:pPr>
            <w:r>
              <w:rPr>
                <w:rFonts w:ascii="Times New Roman" w:cs="Times New Roman" w:eastAsia="Times New Roman" w:hAnsi="Times New Roman"/>
                <w:sz w:val="12"/>
                <w:szCs w:val="12"/>
                <w:color w:val="231F20"/>
              </w:rPr>
              <w:t>883</w:t>
            </w:r>
          </w:p>
        </w:tc>
        <w:tc>
          <w:tcPr>
            <w:tcW w:w="960" w:type="dxa"/>
            <w:vAlign w:val="bottom"/>
            <w:tcBorders>
              <w:left w:val="single" w:sz="8" w:color="CFEDF9"/>
            </w:tcBorders>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540" w:type="dxa"/>
            <w:vAlign w:val="bottom"/>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2018-55A </w:t>
            </w:r>
            <w:r>
              <w:rPr>
                <w:rFonts w:ascii="Times New Roman" w:cs="Times New Roman" w:eastAsia="Times New Roman" w:hAnsi="Times New Roman"/>
                <w:sz w:val="16"/>
                <w:szCs w:val="16"/>
                <w:color w:val="231F20"/>
                <w:vertAlign w:val="superscript"/>
              </w:rPr>
              <w:t>(3)(4)(10)</w:t>
            </w:r>
          </w:p>
        </w:tc>
        <w:tc>
          <w:tcPr>
            <w:tcW w:w="100" w:type="dxa"/>
            <w:vAlign w:val="bottom"/>
            <w:shd w:val="clear" w:color="auto" w:fill="CFEDF9"/>
          </w:tcPr>
          <w:p>
            <w:pPr>
              <w:spacing w:after="0"/>
              <w:rPr>
                <w:sz w:val="12"/>
                <w:szCs w:val="12"/>
                <w:color w:val="auto"/>
              </w:rPr>
            </w:pPr>
          </w:p>
        </w:tc>
        <w:tc>
          <w:tcPr>
            <w:tcW w:w="254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8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1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8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840" w:type="dxa"/>
            <w:vAlign w:val="bottom"/>
            <w:tcBorders>
              <w:left w:val="single" w:sz="8" w:color="CFEDF9"/>
            </w:tcBorders>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6101715</wp:posOffset>
                </wp:positionH>
                <wp:positionV relativeFrom="paragraph">
                  <wp:posOffset>-7980680</wp:posOffset>
                </wp:positionV>
                <wp:extent cx="527050" cy="8763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41" o:spid="_x0000_s1066" style="position:absolute;margin-left:480.45pt;margin-top:-628.39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-6102350</wp:posOffset>
                </wp:positionV>
                <wp:extent cx="527050" cy="8763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42" o:spid="_x0000_s1067" style="position:absolute;margin-left:480.45pt;margin-top:-480.49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-5213350</wp:posOffset>
                </wp:positionV>
                <wp:extent cx="527050" cy="8763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43" o:spid="_x0000_s1068" style="position:absolute;margin-left:480.45pt;margin-top:-410.49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-4499610</wp:posOffset>
                </wp:positionV>
                <wp:extent cx="527050" cy="8699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6995"/>
                        </a:xfrm>
                        <a:prstGeom prst="rect">
                          <a:avLst/>
                        </a:prstGeom>
                        <a:solidFill>
                          <a:srgbClr val="CFEDF9"/>
                        </a:solidFill>
                      </wps:spPr>
                      <wps:bodyPr/>
                    </wps:wsp>
                  </a:graphicData>
                </a:graphic>
              </wp:anchor>
            </w:drawing>
          </mc:Choice>
          <mc:Fallback>
            <w:pict>
              <v:rect id="Shape 44" o:spid="_x0000_s1069" style="position:absolute;margin-left:480.45pt;margin-top:-354.2999pt;width:41.5pt;height:6.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-3423285</wp:posOffset>
                </wp:positionV>
                <wp:extent cx="527050" cy="8763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45" o:spid="_x0000_s1070" style="position:absolute;margin-left:480.45pt;margin-top:-269.54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ectPr>
          <w:pgSz w:w="12240" w:h="15840" w:orient="portrait"/>
          <w:cols w:equalWidth="0" w:num="1">
            <w:col w:w="10560"/>
          </w:cols>
          <w:pgMar w:left="840" w:top="937" w:right="840" w:bottom="186"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F-14</w:t>
      </w:r>
    </w:p>
    <w:p>
      <w:pPr>
        <w:sectPr>
          <w:pgSz w:w="12240" w:h="15840" w:orient="portrait"/>
          <w:cols w:equalWidth="0" w:num="1">
            <w:col w:w="10560"/>
          </w:cols>
          <w:pgMar w:left="840" w:top="937" w:right="840" w:bottom="186"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231F20"/>
                <w:w w:val="95"/>
              </w:rPr>
              <w:t>Initial</w:t>
            </w:r>
          </w:p>
        </w:tc>
        <w:tc>
          <w:tcPr>
            <w:tcW w:w="6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231F20"/>
                <w:w w:val="97"/>
              </w:rPr>
              <w:t>Reference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231F20"/>
                <w:w w:val="98"/>
              </w:rPr>
              <w:t>Acquisition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231F20"/>
                <w:w w:val="99"/>
              </w:rPr>
              <w:t>Rate and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6"/>
          </w:tcPr>
          <w:p>
            <w:pPr>
              <w:ind w:left="320"/>
              <w:spacing w:after="0"/>
              <w:rPr>
                <w:sz w:val="20"/>
                <w:szCs w:val="20"/>
                <w:color w:val="auto"/>
              </w:rPr>
            </w:pPr>
            <w:r>
              <w:rPr>
                <w:rFonts w:ascii="Times New Roman" w:cs="Times New Roman" w:eastAsia="Times New Roman" w:hAnsi="Times New Roman"/>
                <w:sz w:val="12"/>
                <w:szCs w:val="12"/>
                <w:b w:val="1"/>
                <w:bCs w:val="1"/>
                <w:color w:val="231F20"/>
              </w:rPr>
              <w:t>Amortized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rPr>
              <w:t>Percentage</w:t>
            </w:r>
          </w:p>
        </w:tc>
        <w:tc>
          <w:tcPr>
            <w:tcW w:w="0" w:type="dxa"/>
            <w:vAlign w:val="bottom"/>
          </w:tcPr>
          <w:p>
            <w:pPr>
              <w:spacing w:after="0"/>
              <w:rPr>
                <w:sz w:val="1"/>
                <w:szCs w:val="1"/>
                <w:color w:val="auto"/>
              </w:rPr>
            </w:pPr>
          </w:p>
        </w:tc>
      </w:tr>
      <w:tr>
        <w:trPr>
          <w:trHeight w:val="151"/>
        </w:trPr>
        <w:tc>
          <w:tcPr>
            <w:tcW w:w="1540" w:type="dxa"/>
            <w:vAlign w:val="bottom"/>
            <w:tcBorders>
              <w:bottom w:val="single" w:sz="8" w:color="231F20"/>
            </w:tcBorders>
          </w:tcPr>
          <w:p>
            <w:pPr>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Company </w:t>
            </w:r>
            <w:r>
              <w:rPr>
                <w:rFonts w:ascii="Times New Roman" w:cs="Times New Roman" w:eastAsia="Times New Roman" w:hAnsi="Times New Roman"/>
                <w:sz w:val="16"/>
                <w:szCs w:val="16"/>
                <w:b w:val="1"/>
                <w:bCs w:val="1"/>
                <w:color w:val="231F20"/>
                <w:vertAlign w:val="superscript"/>
              </w:rPr>
              <w:t>(1)</w:t>
            </w:r>
          </w:p>
        </w:tc>
        <w:tc>
          <w:tcPr>
            <w:tcW w:w="100" w:type="dxa"/>
            <w:vAlign w:val="bottom"/>
          </w:tcPr>
          <w:p>
            <w:pPr>
              <w:spacing w:after="0"/>
              <w:rPr>
                <w:sz w:val="13"/>
                <w:szCs w:val="13"/>
                <w:color w:val="auto"/>
              </w:rPr>
            </w:pPr>
          </w:p>
        </w:tc>
        <w:tc>
          <w:tcPr>
            <w:tcW w:w="540" w:type="dxa"/>
            <w:vAlign w:val="bottom"/>
            <w:tcBorders>
              <w:bottom w:val="single" w:sz="8" w:color="231F20"/>
            </w:tcBorders>
          </w:tcPr>
          <w:p>
            <w:pPr>
              <w:spacing w:after="0"/>
              <w:rPr>
                <w:sz w:val="13"/>
                <w:szCs w:val="13"/>
                <w:color w:val="auto"/>
              </w:rPr>
            </w:pPr>
          </w:p>
        </w:tc>
        <w:tc>
          <w:tcPr>
            <w:tcW w:w="1100" w:type="dxa"/>
            <w:vAlign w:val="bottom"/>
            <w:tcBorders>
              <w:bottom w:val="single" w:sz="8" w:color="231F20"/>
            </w:tcBorders>
            <w:gridSpan w:val="2"/>
          </w:tcPr>
          <w:p>
            <w:pPr>
              <w:ind w:left="440"/>
              <w:spacing w:after="0"/>
              <w:rPr>
                <w:sz w:val="20"/>
                <w:szCs w:val="20"/>
                <w:color w:val="auto"/>
              </w:rPr>
            </w:pPr>
            <w:r>
              <w:rPr>
                <w:rFonts w:ascii="Times New Roman" w:cs="Times New Roman" w:eastAsia="Times New Roman" w:hAnsi="Times New Roman"/>
                <w:sz w:val="12"/>
                <w:szCs w:val="12"/>
                <w:b w:val="1"/>
                <w:bCs w:val="1"/>
                <w:color w:val="231F20"/>
              </w:rPr>
              <w:t>Investment</w:t>
            </w:r>
          </w:p>
        </w:tc>
        <w:tc>
          <w:tcPr>
            <w:tcW w:w="900" w:type="dxa"/>
            <w:vAlign w:val="bottom"/>
            <w:tcBorders>
              <w:bottom w:val="single" w:sz="8" w:color="231F20"/>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231F20"/>
            </w:tcBorders>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600" w:type="dxa"/>
            <w:vAlign w:val="bottom"/>
            <w:tcBorders>
              <w:bottom w:val="single" w:sz="8" w:color="231F20"/>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231F20"/>
                <w:w w:val="99"/>
              </w:rPr>
              <w:t>Date</w:t>
            </w:r>
          </w:p>
        </w:tc>
        <w:tc>
          <w:tcPr>
            <w:tcW w:w="120" w:type="dxa"/>
            <w:vAlign w:val="bottom"/>
          </w:tcPr>
          <w:p>
            <w:pPr>
              <w:spacing w:after="0"/>
              <w:rPr>
                <w:sz w:val="13"/>
                <w:szCs w:val="13"/>
                <w:color w:val="auto"/>
              </w:rPr>
            </w:pPr>
          </w:p>
        </w:tc>
        <w:tc>
          <w:tcPr>
            <w:tcW w:w="80" w:type="dxa"/>
            <w:vAlign w:val="bottom"/>
            <w:tcBorders>
              <w:bottom w:val="single" w:sz="8" w:color="231F20"/>
            </w:tcBorders>
          </w:tcPr>
          <w:p>
            <w:pPr>
              <w:spacing w:after="0"/>
              <w:rPr>
                <w:sz w:val="13"/>
                <w:szCs w:val="13"/>
                <w:color w:val="auto"/>
              </w:rPr>
            </w:pPr>
          </w:p>
        </w:tc>
        <w:tc>
          <w:tcPr>
            <w:tcW w:w="6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52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231F20"/>
              </w:rPr>
              <w:t>Spread</w:t>
            </w:r>
          </w:p>
        </w:tc>
        <w:tc>
          <w:tcPr>
            <w:tcW w:w="100" w:type="dxa"/>
            <w:vAlign w:val="bottom"/>
            <w:tcBorders>
              <w:bottom w:val="single" w:sz="8" w:color="231F20"/>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231F20"/>
            </w:tcBorders>
            <w:gridSpan w:val="5"/>
          </w:tcPr>
          <w:p>
            <w:pPr>
              <w:ind w:left="60"/>
              <w:spacing w:after="0"/>
              <w:rPr>
                <w:sz w:val="20"/>
                <w:szCs w:val="20"/>
                <w:color w:val="auto"/>
              </w:rPr>
            </w:pPr>
            <w:r>
              <w:rPr>
                <w:rFonts w:ascii="Times New Roman" w:cs="Times New Roman" w:eastAsia="Times New Roman" w:hAnsi="Times New Roman"/>
                <w:sz w:val="12"/>
                <w:szCs w:val="12"/>
                <w:b w:val="1"/>
                <w:bCs w:val="1"/>
                <w:color w:val="231F20"/>
              </w:rPr>
              <w:t>Interest Rate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740" w:type="dxa"/>
            <w:vAlign w:val="bottom"/>
            <w:tcBorders>
              <w:bottom w:val="single" w:sz="8" w:color="231F20"/>
            </w:tcBorders>
            <w:gridSpan w:val="3"/>
          </w:tcPr>
          <w:p>
            <w:pPr>
              <w:jc w:val="right"/>
              <w:ind w:right="215"/>
              <w:spacing w:after="0" w:line="151" w:lineRule="exact"/>
              <w:rPr>
                <w:sz w:val="20"/>
                <w:szCs w:val="20"/>
                <w:color w:val="auto"/>
              </w:rPr>
            </w:pPr>
            <w:r>
              <w:rPr>
                <w:rFonts w:ascii="Times New Roman" w:cs="Times New Roman" w:eastAsia="Times New Roman" w:hAnsi="Times New Roman"/>
                <w:sz w:val="17"/>
                <w:szCs w:val="17"/>
                <w:b w:val="1"/>
                <w:bCs w:val="1"/>
                <w:color w:val="231F20"/>
                <w:vertAlign w:val="subscript"/>
              </w:rPr>
              <w:t>Cost</w:t>
            </w:r>
            <w:r>
              <w:rPr>
                <w:rFonts w:ascii="Times New Roman" w:cs="Times New Roman" w:eastAsia="Times New Roman" w:hAnsi="Times New Roman"/>
                <w:sz w:val="7"/>
                <w:szCs w:val="7"/>
                <w:b w:val="1"/>
                <w:bCs w:val="1"/>
                <w:color w:val="231F20"/>
              </w:rPr>
              <w:t xml:space="preserve"> (2)(8)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bottom w:val="single" w:sz="8" w:color="231F20"/>
            </w:tcBorders>
            <w:gridSpan w:val="5"/>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231F20"/>
              </w:rPr>
              <w:t xml:space="preserve">Fair Value </w:t>
            </w:r>
            <w:r>
              <w:rPr>
                <w:rFonts w:ascii="Times New Roman" w:cs="Times New Roman" w:eastAsia="Times New Roman" w:hAnsi="Times New Roman"/>
                <w:sz w:val="16"/>
                <w:szCs w:val="16"/>
                <w:b w:val="1"/>
                <w:bCs w:val="1"/>
                <w:color w:val="231F20"/>
                <w:vertAlign w:val="superscript"/>
              </w:rPr>
              <w:t>(9)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2"/>
                <w:szCs w:val="12"/>
                <w:b w:val="1"/>
                <w:bCs w:val="1"/>
                <w:color w:val="231F20"/>
              </w:rPr>
              <w:t>of Net Assets</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2"/>
                <w:szCs w:val="12"/>
                <w:color w:val="231F20"/>
              </w:rPr>
              <w:t>Dryden Senior Loan Fund,</w:t>
            </w:r>
          </w:p>
        </w:tc>
        <w:tc>
          <w:tcPr>
            <w:tcW w:w="100" w:type="dxa"/>
            <w:vAlign w:val="bottom"/>
          </w:tcPr>
          <w:p>
            <w:pPr>
              <w:spacing w:after="0"/>
              <w:rPr>
                <w:sz w:val="10"/>
                <w:szCs w:val="10"/>
                <w:color w:val="auto"/>
              </w:rPr>
            </w:pPr>
          </w:p>
        </w:tc>
        <w:tc>
          <w:tcPr>
            <w:tcW w:w="2540" w:type="dxa"/>
            <w:vAlign w:val="bottom"/>
            <w:gridSpan w:val="4"/>
          </w:tcPr>
          <w:p>
            <w:pPr>
              <w:spacing w:after="0" w:line="117" w:lineRule="exact"/>
              <w:rPr>
                <w:sz w:val="20"/>
                <w:szCs w:val="20"/>
                <w:color w:val="auto"/>
              </w:rPr>
            </w:pPr>
            <w:r>
              <w:rPr>
                <w:rFonts w:ascii="Times New Roman" w:cs="Times New Roman" w:eastAsia="Times New Roman" w:hAnsi="Times New Roman"/>
                <w:sz w:val="12"/>
                <w:szCs w:val="12"/>
                <w:color w:val="231F20"/>
              </w:rPr>
              <w:t>Structured Product ($1,500 par, due 7/2034)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231F20"/>
              </w:rPr>
              <w:t>8/17/2022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2"/>
                <w:szCs w:val="12"/>
                <w:color w:val="231F20"/>
                <w:w w:val="93"/>
              </w:rPr>
              <w:t>L + 6.50%</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3"/>
          </w:tcPr>
          <w:p>
            <w:pPr>
              <w:ind w:left="140"/>
              <w:spacing w:after="0" w:line="117" w:lineRule="exact"/>
              <w:rPr>
                <w:sz w:val="20"/>
                <w:szCs w:val="20"/>
                <w:color w:val="auto"/>
              </w:rPr>
            </w:pPr>
            <w:r>
              <w:rPr>
                <w:rFonts w:ascii="Times New Roman" w:cs="Times New Roman" w:eastAsia="Times New Roman" w:hAnsi="Times New Roman"/>
                <w:sz w:val="12"/>
                <w:szCs w:val="12"/>
                <w:color w:val="231F20"/>
                <w:w w:val="96"/>
              </w:rPr>
              <w:t>9.24%</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231F20"/>
              </w:rPr>
              <w:t>1,417</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231F20"/>
              </w:rPr>
              <w:t>1,307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2020-86A </w:t>
            </w:r>
            <w:r>
              <w:rPr>
                <w:rFonts w:ascii="Times New Roman" w:cs="Times New Roman" w:eastAsia="Times New Roman" w:hAnsi="Times New Roman"/>
                <w:sz w:val="16"/>
                <w:szCs w:val="16"/>
                <w:color w:val="231F20"/>
                <w:vertAlign w:val="superscript"/>
              </w:rPr>
              <w:t>(3)(4)(10)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Eaton CLO Ltd, Series 2015-</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($2,500 par, due 1/2030)</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6/23/2022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+ 2.50%</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5.21%</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2,227</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2,183</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1A</w:t>
            </w:r>
            <w:r>
              <w:rPr>
                <w:rFonts w:ascii="Times New Roman" w:cs="Times New Roman" w:eastAsia="Times New Roman" w:hAnsi="Times New Roman"/>
                <w:sz w:val="7"/>
                <w:szCs w:val="7"/>
                <w:color w:val="231F20"/>
              </w:rPr>
              <w:t xml:space="preserve"> (3)(4)(10)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Eaton CLO Ltd, Series 2020-</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10/2034)</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8/11/2022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+ 6.25%</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8.76%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931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888</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1A</w:t>
            </w:r>
            <w:r>
              <w:rPr>
                <w:rFonts w:ascii="Times New Roman" w:cs="Times New Roman" w:eastAsia="Times New Roman" w:hAnsi="Times New Roman"/>
                <w:sz w:val="7"/>
                <w:szCs w:val="7"/>
                <w:color w:val="231F20"/>
              </w:rPr>
              <w:t xml:space="preserve"> (3)(4)(10)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GoldenTree CLO Ltd, Series</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4/2034)</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6/17/2022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+ 6.50%</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9.21%</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918</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914</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2020-7A</w:t>
            </w:r>
            <w:r>
              <w:rPr>
                <w:rFonts w:ascii="Times New Roman" w:cs="Times New Roman" w:eastAsia="Times New Roman" w:hAnsi="Times New Roman"/>
                <w:sz w:val="7"/>
                <w:szCs w:val="7"/>
                <w:color w:val="231F20"/>
              </w:rPr>
              <w:t xml:space="preserve"> (3)(4)(10)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Gulf Stream Meridian, Series</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($1,015 par, due 7/2034)</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6/3/2022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+ 6.35%</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8.86%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932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872</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2021-4A</w:t>
            </w:r>
            <w:r>
              <w:rPr>
                <w:rFonts w:ascii="Times New Roman" w:cs="Times New Roman" w:eastAsia="Times New Roman" w:hAnsi="Times New Roman"/>
                <w:sz w:val="7"/>
                <w:szCs w:val="7"/>
                <w:color w:val="231F20"/>
              </w:rPr>
              <w:t xml:space="preserve"> (3)(4)(10)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Gulf Stream Meridian, Series</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($2,000 par, due 1/2037)</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9/12/2022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+ 6.36%</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8.87%</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1,799</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1,718</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2021-6A</w:t>
            </w:r>
            <w:r>
              <w:rPr>
                <w:rFonts w:ascii="Times New Roman" w:cs="Times New Roman" w:eastAsia="Times New Roman" w:hAnsi="Times New Roman"/>
                <w:sz w:val="7"/>
                <w:szCs w:val="7"/>
                <w:color w:val="231F20"/>
              </w:rPr>
              <w:t xml:space="preserve"> (3)(4)(10)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Jefferson Mill CLO Ltd, Series</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10/2031)</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5/23/2022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+ 3.55%</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6.26%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901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870</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2015-1A</w:t>
            </w:r>
            <w:r>
              <w:rPr>
                <w:rFonts w:ascii="Times New Roman" w:cs="Times New Roman" w:eastAsia="Times New Roman" w:hAnsi="Times New Roman"/>
                <w:sz w:val="7"/>
                <w:szCs w:val="7"/>
                <w:color w:val="231F20"/>
              </w:rPr>
              <w:t xml:space="preserve"> (3)(4)(10)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40" w:type="dxa"/>
            <w:vAlign w:val="bottom"/>
            <w:gridSpan w:val="2"/>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KKR CLO Ltd, 49A </w:t>
            </w:r>
            <w:r>
              <w:rPr>
                <w:rFonts w:ascii="Times New Roman" w:cs="Times New Roman" w:eastAsia="Times New Roman" w:hAnsi="Times New Roman"/>
                <w:sz w:val="15"/>
                <w:szCs w:val="15"/>
                <w:color w:val="231F20"/>
                <w:vertAlign w:val="superscript"/>
              </w:rPr>
              <w:t>(3)(4)(10)</w:t>
            </w:r>
          </w:p>
        </w:tc>
        <w:tc>
          <w:tcPr>
            <w:tcW w:w="272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2"/>
                <w:szCs w:val="12"/>
                <w:color w:val="231F20"/>
              </w:rPr>
              <w:t>Structured Product ($1,000 par, due 7/2035)</w:t>
            </w:r>
          </w:p>
        </w:tc>
        <w:tc>
          <w:tcPr>
            <w:tcW w:w="7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6/2/2022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rPr>
                <w:sz w:val="20"/>
                <w:szCs w:val="20"/>
                <w:color w:val="auto"/>
              </w:rPr>
            </w:pPr>
            <w:r>
              <w:rPr>
                <w:rFonts w:ascii="Times New Roman" w:cs="Times New Roman" w:eastAsia="Times New Roman" w:hAnsi="Times New Roman"/>
                <w:sz w:val="12"/>
                <w:szCs w:val="12"/>
                <w:color w:val="231F20"/>
              </w:rPr>
              <w:t>L + 8.00%</w:t>
            </w:r>
          </w:p>
        </w:tc>
        <w:tc>
          <w:tcPr>
            <w:tcW w:w="46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10.17%</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966</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909</w:t>
            </w:r>
          </w:p>
        </w:tc>
        <w:tc>
          <w:tcPr>
            <w:tcW w:w="1140" w:type="dxa"/>
            <w:vAlign w:val="bottom"/>
            <w:gridSpan w:val="4"/>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Madison Park CLO, Series</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7/2030)</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6/28/2022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+ 5.25%</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7.76%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881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877</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2018-28A</w:t>
            </w:r>
            <w:r>
              <w:rPr>
                <w:rFonts w:ascii="Times New Roman" w:cs="Times New Roman" w:eastAsia="Times New Roman" w:hAnsi="Times New Roman"/>
                <w:sz w:val="7"/>
                <w:szCs w:val="7"/>
                <w:color w:val="231F20"/>
              </w:rPr>
              <w:t xml:space="preserve"> (3)(4)(10)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Magnetite CLO Ltd, Series</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10/2034)</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6/13/2022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+ 6.20%</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8.98%</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917</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909</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2021-30A</w:t>
            </w:r>
            <w:r>
              <w:rPr>
                <w:rFonts w:ascii="Times New Roman" w:cs="Times New Roman" w:eastAsia="Times New Roman" w:hAnsi="Times New Roman"/>
                <w:sz w:val="7"/>
                <w:szCs w:val="7"/>
                <w:color w:val="231F20"/>
              </w:rPr>
              <w:t xml:space="preserve"> (3)(4)(10)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MidOcean Credit CLO Ltd,</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($3,500 par, due 4/2033)</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5/23/2022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+ 3.52%</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6.23%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3,151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2,971</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2016-6A </w:t>
            </w:r>
            <w:r>
              <w:rPr>
                <w:rFonts w:ascii="Times New Roman" w:cs="Times New Roman" w:eastAsia="Times New Roman" w:hAnsi="Times New Roman"/>
                <w:sz w:val="16"/>
                <w:szCs w:val="16"/>
                <w:color w:val="231F20"/>
                <w:vertAlign w:val="superscript"/>
              </w:rPr>
              <w:t>(3)(4)(10)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MidOcean Credit CLO Ltd,</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($1,100 par, due 7/2031)</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6/1/2022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+ 6.05%</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8.76%</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959</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828</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2018-9A </w:t>
            </w:r>
            <w:r>
              <w:rPr>
                <w:rFonts w:ascii="Times New Roman" w:cs="Times New Roman" w:eastAsia="Times New Roman" w:hAnsi="Times New Roman"/>
                <w:sz w:val="16"/>
                <w:szCs w:val="16"/>
                <w:color w:val="231F20"/>
                <w:vertAlign w:val="superscript"/>
              </w:rPr>
              <w:t>(3)(4)(10)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Octagon 57 LLC, Series 2021-</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10/2034)</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5/24/2022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+ 6.60%</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9.11%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924</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872</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1A</w:t>
            </w:r>
            <w:r>
              <w:rPr>
                <w:rFonts w:ascii="Times New Roman" w:cs="Times New Roman" w:eastAsia="Times New Roman" w:hAnsi="Times New Roman"/>
                <w:sz w:val="7"/>
                <w:szCs w:val="7"/>
                <w:color w:val="231F20"/>
              </w:rPr>
              <w:t xml:space="preserve"> (3)(4)(10)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Octagon Investment Partners</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4/2031)</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7/26/2022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+ 2.70%</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5.44%</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890</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855</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2"/>
                <w:szCs w:val="12"/>
                <w:color w:val="231F20"/>
                <w:w w:val="98"/>
              </w:rPr>
              <w:t xml:space="preserve">18 Ltd, Series 2018-18A </w:t>
            </w:r>
            <w:r>
              <w:rPr>
                <w:rFonts w:ascii="Times New Roman" w:cs="Times New Roman" w:eastAsia="Times New Roman" w:hAnsi="Times New Roman"/>
                <w:sz w:val="16"/>
                <w:szCs w:val="16"/>
                <w:color w:val="231F20"/>
                <w:w w:val="98"/>
                <w:vertAlign w:val="superscript"/>
              </w:rPr>
              <w:t>(3)(4)(10)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Octagon Investment Partners</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($2,800 par, due 7/2030)</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9/20/2022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+ 2.95%</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5.66%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2,456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2,436</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0.2%</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38 Ltd, Series 2018-1A </w:t>
            </w:r>
            <w:r>
              <w:rPr>
                <w:rFonts w:ascii="Times New Roman" w:cs="Times New Roman" w:eastAsia="Times New Roman" w:hAnsi="Times New Roman"/>
                <w:sz w:val="16"/>
                <w:szCs w:val="16"/>
                <w:color w:val="231F20"/>
                <w:vertAlign w:val="superscript"/>
              </w:rPr>
              <w:t>(3)(4)(10)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Park Avenue Institutional</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10/2031)</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9/23/2022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+ 3.33%</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6.04%</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863</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870</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38"/>
        </w:trPr>
        <w:tc>
          <w:tcPr>
            <w:tcW w:w="164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12"/>
                <w:szCs w:val="12"/>
                <w:color w:val="231F20"/>
              </w:rPr>
              <w:t>Advisers CLO Ltd, Series</w:t>
            </w:r>
          </w:p>
        </w:tc>
        <w:tc>
          <w:tcPr>
            <w:tcW w:w="540" w:type="dxa"/>
            <w:vAlign w:val="bottom"/>
            <w:shd w:val="clear" w:color="auto" w:fill="CFEDF9"/>
          </w:tcPr>
          <w:p>
            <w:pPr>
              <w:spacing w:after="0"/>
              <w:rPr>
                <w:sz w:val="11"/>
                <w:szCs w:val="11"/>
                <w:color w:val="auto"/>
              </w:rPr>
            </w:pPr>
          </w:p>
        </w:tc>
        <w:tc>
          <w:tcPr>
            <w:tcW w:w="98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3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3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2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40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tcBorders>
              <w:right w:val="single" w:sz="8" w:color="CFEDF9"/>
            </w:tcBorders>
            <w:shd w:val="clear" w:color="auto" w:fill="CFEDF9"/>
          </w:tcPr>
          <w:p>
            <w:pPr>
              <w:spacing w:after="0"/>
              <w:rPr>
                <w:sz w:val="11"/>
                <w:szCs w:val="11"/>
                <w:color w:val="auto"/>
              </w:rPr>
            </w:pPr>
          </w:p>
        </w:tc>
        <w:tc>
          <w:tcPr>
            <w:tcW w:w="82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2018-1A</w:t>
            </w:r>
            <w:r>
              <w:rPr>
                <w:rFonts w:ascii="Times New Roman" w:cs="Times New Roman" w:eastAsia="Times New Roman" w:hAnsi="Times New Roman"/>
                <w:sz w:val="7"/>
                <w:szCs w:val="7"/>
                <w:color w:val="231F20"/>
              </w:rPr>
              <w:t xml:space="preserve"> (3)(4)(10)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Pikes Peak CLO, Series 2021-</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($2,000 par, due 10/2034)</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8/31/2022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+ 6.58%</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9.35%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1,782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1,721</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9A</w:t>
            </w:r>
            <w:r>
              <w:rPr>
                <w:rFonts w:ascii="Times New Roman" w:cs="Times New Roman" w:eastAsia="Times New Roman" w:hAnsi="Times New Roman"/>
                <w:sz w:val="7"/>
                <w:szCs w:val="7"/>
                <w:color w:val="231F20"/>
              </w:rPr>
              <w:t xml:space="preserve"> (3)(4)(10)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40" w:type="dxa"/>
            <w:vAlign w:val="bottom"/>
            <w:gridSpan w:val="2"/>
            <w:shd w:val="clear" w:color="auto" w:fill="CFEDF9"/>
          </w:tcPr>
          <w:p>
            <w:pPr>
              <w:spacing w:after="0" w:line="138" w:lineRule="exact"/>
              <w:rPr>
                <w:sz w:val="20"/>
                <w:szCs w:val="20"/>
                <w:color w:val="auto"/>
              </w:rPr>
            </w:pPr>
            <w:r>
              <w:rPr>
                <w:rFonts w:ascii="Times New Roman" w:cs="Times New Roman" w:eastAsia="Times New Roman" w:hAnsi="Times New Roman"/>
                <w:sz w:val="11"/>
                <w:szCs w:val="11"/>
                <w:color w:val="231F20"/>
              </w:rPr>
              <w:t xml:space="preserve">RR Ltd, Series 2020-8A </w:t>
            </w:r>
            <w:r>
              <w:rPr>
                <w:rFonts w:ascii="Times New Roman" w:cs="Times New Roman" w:eastAsia="Times New Roman" w:hAnsi="Times New Roman"/>
                <w:sz w:val="15"/>
                <w:szCs w:val="15"/>
                <w:color w:val="231F20"/>
                <w:vertAlign w:val="superscript"/>
              </w:rPr>
              <w:t>(3)(4)(10)</w:t>
            </w:r>
          </w:p>
        </w:tc>
        <w:tc>
          <w:tcPr>
            <w:tcW w:w="272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2"/>
                <w:szCs w:val="12"/>
                <w:color w:val="231F20"/>
              </w:rPr>
              <w:t>Structured Product ($1,000 par, due 4/2033)</w:t>
            </w:r>
          </w:p>
        </w:tc>
        <w:tc>
          <w:tcPr>
            <w:tcW w:w="7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12"/>
                <w:szCs w:val="12"/>
                <w:color w:val="231F20"/>
              </w:rPr>
              <w:t>8/22/2022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rPr>
                <w:sz w:val="20"/>
                <w:szCs w:val="20"/>
                <w:color w:val="auto"/>
              </w:rPr>
            </w:pPr>
            <w:r>
              <w:rPr>
                <w:rFonts w:ascii="Times New Roman" w:cs="Times New Roman" w:eastAsia="Times New Roman" w:hAnsi="Times New Roman"/>
                <w:sz w:val="12"/>
                <w:szCs w:val="12"/>
                <w:color w:val="231F20"/>
              </w:rPr>
              <w:t>L + 6.40%</w:t>
            </w:r>
          </w:p>
        </w:tc>
        <w:tc>
          <w:tcPr>
            <w:tcW w:w="460" w:type="dxa"/>
            <w:vAlign w:val="bottom"/>
            <w:gridSpan w:val="3"/>
            <w:shd w:val="clear" w:color="auto" w:fill="CFEDF9"/>
          </w:tcPr>
          <w:p>
            <w:pPr>
              <w:ind w:left="140"/>
              <w:spacing w:after="0"/>
              <w:rPr>
                <w:sz w:val="20"/>
                <w:szCs w:val="20"/>
                <w:color w:val="auto"/>
              </w:rPr>
            </w:pPr>
            <w:r>
              <w:rPr>
                <w:rFonts w:ascii="Times New Roman" w:cs="Times New Roman" w:eastAsia="Times New Roman" w:hAnsi="Times New Roman"/>
                <w:sz w:val="12"/>
                <w:szCs w:val="12"/>
                <w:color w:val="231F20"/>
                <w:w w:val="96"/>
              </w:rPr>
              <w:t>8.91%</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929</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909</w:t>
            </w:r>
          </w:p>
        </w:tc>
        <w:tc>
          <w:tcPr>
            <w:tcW w:w="1140" w:type="dxa"/>
            <w:vAlign w:val="bottom"/>
            <w:gridSpan w:val="4"/>
            <w:shd w:val="clear" w:color="auto" w:fill="CFEDF9"/>
          </w:tcPr>
          <w:p>
            <w:pPr>
              <w:jc w:val="right"/>
              <w:ind w:right="20"/>
              <w:spacing w:after="0"/>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Shackelton CLO Ltd, Series</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7/2031)</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5/23/2022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+ 3.33%</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5.84%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890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855</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2015-7RA (3)(4)(10)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Signal Peak CLO LLC, Series</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4/2031)</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8/9/2022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+ 5.65%</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8.43%</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896</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824</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2018-5A</w:t>
            </w:r>
            <w:r>
              <w:rPr>
                <w:rFonts w:ascii="Times New Roman" w:cs="Times New Roman" w:eastAsia="Times New Roman" w:hAnsi="Times New Roman"/>
                <w:sz w:val="7"/>
                <w:szCs w:val="7"/>
                <w:color w:val="231F20"/>
              </w:rPr>
              <w:t xml:space="preserve"> (3)(4)(10)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Southwick Park CLO Ltd,</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7/2032)</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5/25/2022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+ 6.25%</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8.96%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928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867</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231F20"/>
              </w:rPr>
              <w:t xml:space="preserve">Series 2019-4A </w:t>
            </w:r>
            <w:r>
              <w:rPr>
                <w:rFonts w:ascii="Times New Roman" w:cs="Times New Roman" w:eastAsia="Times New Roman" w:hAnsi="Times New Roman"/>
                <w:sz w:val="16"/>
                <w:szCs w:val="16"/>
                <w:color w:val="231F20"/>
                <w:vertAlign w:val="superscript"/>
              </w:rPr>
              <w:t>(3)(4)(10)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Stewart Park CLO Ltd, Series</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($1,000 par, due 1/2030)</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7/25/2022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+ 2.60%</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5.11%</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897</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888</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2015-1A</w:t>
            </w:r>
            <w:r>
              <w:rPr>
                <w:rFonts w:ascii="Times New Roman" w:cs="Times New Roman" w:eastAsia="Times New Roman" w:hAnsi="Times New Roman"/>
                <w:sz w:val="7"/>
                <w:szCs w:val="7"/>
                <w:color w:val="231F20"/>
              </w:rPr>
              <w:t xml:space="preserve"> (3)(4)(10)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Voya CLO Ltd, Series 2018-</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($2,750 par, due 10/2031)</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6/22/2022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+ 5.75%</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8.26%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2,382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2,166</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3A</w:t>
            </w:r>
            <w:r>
              <w:rPr>
                <w:rFonts w:ascii="Times New Roman" w:cs="Times New Roman" w:eastAsia="Times New Roman" w:hAnsi="Times New Roman"/>
                <w:sz w:val="7"/>
                <w:szCs w:val="7"/>
                <w:color w:val="231F20"/>
              </w:rPr>
              <w:t xml:space="preserve"> (3)(4)(10)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Whitebox CLO I Ltd, Series</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($1,125 par, due 10/2034)</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7/12/2022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+ 3.35%</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6.13%</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1,005</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1,056</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2020-2A</w:t>
            </w:r>
            <w:r>
              <w:rPr>
                <w:rFonts w:ascii="Times New Roman" w:cs="Times New Roman" w:eastAsia="Times New Roman" w:hAnsi="Times New Roman"/>
                <w:sz w:val="7"/>
                <w:szCs w:val="7"/>
                <w:color w:val="231F20"/>
              </w:rPr>
              <w:t xml:space="preserve"> (3)(4)(10)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Wind River CLO Ltd, Series</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($1,500 par, due 1/2031)</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6/23/2022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+ 2.90%</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5.41%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1,347</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1,293</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0.0%</w:t>
            </w:r>
          </w:p>
        </w:tc>
        <w:tc>
          <w:tcPr>
            <w:tcW w:w="0" w:type="dxa"/>
            <w:vAlign w:val="bottom"/>
          </w:tcPr>
          <w:p>
            <w:pPr>
              <w:spacing w:after="0"/>
              <w:rPr>
                <w:sz w:val="1"/>
                <w:szCs w:val="1"/>
                <w:color w:val="auto"/>
              </w:rPr>
            </w:pPr>
          </w:p>
        </w:tc>
      </w:tr>
      <w:tr>
        <w:trPr>
          <w:trHeight w:val="149"/>
        </w:trPr>
        <w:tc>
          <w:tcPr>
            <w:tcW w:w="16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2014-2A</w:t>
            </w:r>
            <w:r>
              <w:rPr>
                <w:rFonts w:ascii="Times New Roman" w:cs="Times New Roman" w:eastAsia="Times New Roman" w:hAnsi="Times New Roman"/>
                <w:sz w:val="7"/>
                <w:szCs w:val="7"/>
                <w:color w:val="231F20"/>
              </w:rPr>
              <w:t xml:space="preserve"> (3)(4)(10)</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Wind River CLO Ltd, Series</w:t>
            </w:r>
          </w:p>
        </w:tc>
        <w:tc>
          <w:tcPr>
            <w:tcW w:w="2720" w:type="dxa"/>
            <w:vAlign w:val="bottom"/>
            <w:gridSpan w:val="6"/>
            <w:shd w:val="clear" w:color="auto" w:fill="CFEDF9"/>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($3,000 par, due 4/2036)</w:t>
            </w:r>
          </w:p>
        </w:tc>
        <w:tc>
          <w:tcPr>
            <w:tcW w:w="72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7/14/2022</w:t>
            </w: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280" w:type="dxa"/>
            <w:vAlign w:val="bottom"/>
            <w:gridSpan w:val="7"/>
            <w:shd w:val="clear" w:color="auto" w:fill="CFEDF9"/>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+ 3.72%</w:t>
            </w:r>
          </w:p>
        </w:tc>
        <w:tc>
          <w:tcPr>
            <w:tcW w:w="460" w:type="dxa"/>
            <w:vAlign w:val="bottom"/>
            <w:gridSpan w:val="3"/>
            <w:shd w:val="clear" w:color="auto" w:fill="CFEDF9"/>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6.46%</w:t>
            </w: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40" w:type="dxa"/>
            <w:vAlign w:val="bottom"/>
            <w:gridSpan w:val="2"/>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2,617</w:t>
            </w: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20" w:type="dxa"/>
            <w:vAlign w:val="bottom"/>
            <w:gridSpan w:val="3"/>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2,624</w:t>
            </w:r>
          </w:p>
        </w:tc>
        <w:tc>
          <w:tcPr>
            <w:tcW w:w="1140" w:type="dxa"/>
            <w:vAlign w:val="bottom"/>
            <w:gridSpan w:val="4"/>
            <w:shd w:val="clear" w:color="auto" w:fill="CFEDF9"/>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FEDF9"/>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2017-1A</w:t>
            </w:r>
            <w:r>
              <w:rPr>
                <w:rFonts w:ascii="Times New Roman" w:cs="Times New Roman" w:eastAsia="Times New Roman" w:hAnsi="Times New Roman"/>
                <w:sz w:val="7"/>
                <w:szCs w:val="7"/>
                <w:color w:val="231F20"/>
              </w:rPr>
              <w:t xml:space="preserve"> (3)(4)(10)</w:t>
            </w:r>
          </w:p>
        </w:tc>
        <w:tc>
          <w:tcPr>
            <w:tcW w:w="540" w:type="dxa"/>
            <w:vAlign w:val="bottom"/>
            <w:shd w:val="clear" w:color="auto" w:fill="CFEDF9"/>
          </w:tcPr>
          <w:p>
            <w:pPr>
              <w:spacing w:after="0"/>
              <w:rPr>
                <w:sz w:val="12"/>
                <w:szCs w:val="12"/>
                <w:color w:val="auto"/>
              </w:rPr>
            </w:pPr>
          </w:p>
        </w:tc>
        <w:tc>
          <w:tcPr>
            <w:tcW w:w="98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9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6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3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3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140" w:type="dxa"/>
            <w:vAlign w:val="bottom"/>
            <w:shd w:val="clear" w:color="auto" w:fill="CFEDF9"/>
          </w:tcPr>
          <w:p>
            <w:pPr>
              <w:spacing w:after="0"/>
              <w:rPr>
                <w:sz w:val="12"/>
                <w:szCs w:val="12"/>
                <w:color w:val="auto"/>
              </w:rPr>
            </w:pPr>
          </w:p>
        </w:tc>
        <w:tc>
          <w:tcPr>
            <w:tcW w:w="2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120" w:type="dxa"/>
            <w:vAlign w:val="bottom"/>
            <w:tcBorders>
              <w:right w:val="single" w:sz="8" w:color="CFEDF9"/>
            </w:tcBorders>
            <w:shd w:val="clear" w:color="auto" w:fill="CFEDF9"/>
          </w:tcPr>
          <w:p>
            <w:pPr>
              <w:spacing w:after="0"/>
              <w:rPr>
                <w:sz w:val="12"/>
                <w:szCs w:val="12"/>
                <w:color w:val="auto"/>
              </w:rPr>
            </w:pPr>
          </w:p>
        </w:tc>
        <w:tc>
          <w:tcPr>
            <w:tcW w:w="34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120" w:type="dxa"/>
            <w:vAlign w:val="bottom"/>
            <w:shd w:val="clear" w:color="auto" w:fill="CFEDF9"/>
          </w:tcPr>
          <w:p>
            <w:pPr>
              <w:spacing w:after="0"/>
              <w:rPr>
                <w:sz w:val="12"/>
                <w:szCs w:val="12"/>
                <w:color w:val="auto"/>
              </w:rPr>
            </w:pPr>
          </w:p>
        </w:tc>
        <w:tc>
          <w:tcPr>
            <w:tcW w:w="4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80" w:type="dxa"/>
            <w:vAlign w:val="bottom"/>
            <w:shd w:val="clear" w:color="auto" w:fill="CFEDF9"/>
          </w:tcPr>
          <w:p>
            <w:pPr>
              <w:spacing w:after="0"/>
              <w:rPr>
                <w:sz w:val="12"/>
                <w:szCs w:val="12"/>
                <w:color w:val="auto"/>
              </w:rPr>
            </w:pPr>
          </w:p>
        </w:tc>
        <w:tc>
          <w:tcPr>
            <w:tcW w:w="16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200" w:type="dxa"/>
            <w:vAlign w:val="bottom"/>
            <w:shd w:val="clear" w:color="auto" w:fill="CFEDF9"/>
          </w:tcPr>
          <w:p>
            <w:pPr>
              <w:spacing w:after="0"/>
              <w:rPr>
                <w:sz w:val="12"/>
                <w:szCs w:val="12"/>
                <w:color w:val="auto"/>
              </w:rPr>
            </w:pPr>
          </w:p>
        </w:tc>
        <w:tc>
          <w:tcPr>
            <w:tcW w:w="40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200" w:type="dxa"/>
            <w:vAlign w:val="bottom"/>
            <w:tcBorders>
              <w:right w:val="single" w:sz="8" w:color="CFEDF9"/>
            </w:tcBorders>
            <w:shd w:val="clear" w:color="auto" w:fill="CFEDF9"/>
          </w:tcPr>
          <w:p>
            <w:pPr>
              <w:spacing w:after="0"/>
              <w:rPr>
                <w:sz w:val="12"/>
                <w:szCs w:val="12"/>
                <w:color w:val="auto"/>
              </w:rPr>
            </w:pPr>
          </w:p>
        </w:tc>
        <w:tc>
          <w:tcPr>
            <w:tcW w:w="820" w:type="dxa"/>
            <w:vAlign w:val="bottom"/>
            <w:shd w:val="clear" w:color="auto" w:fill="CFEDF9"/>
          </w:tcPr>
          <w:p>
            <w:pPr>
              <w:spacing w:after="0"/>
              <w:rPr>
                <w:sz w:val="12"/>
                <w:szCs w:val="12"/>
                <w:color w:val="auto"/>
              </w:rPr>
            </w:pPr>
          </w:p>
        </w:tc>
        <w:tc>
          <w:tcPr>
            <w:tcW w:w="2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231F20"/>
              </w:rPr>
              <w:t>Wind River CLO Ltd, Series</w:t>
            </w:r>
          </w:p>
        </w:tc>
        <w:tc>
          <w:tcPr>
            <w:tcW w:w="272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231F20"/>
              </w:rPr>
              <w:t>Structured Product ($2,000 par, due 1/2031)</w:t>
            </w:r>
          </w:p>
        </w:tc>
        <w:tc>
          <w:tcPr>
            <w:tcW w:w="7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231F20"/>
              </w:rPr>
              <w:t>12/12/2022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7"/>
          </w:tcPr>
          <w:p>
            <w:pPr>
              <w:ind w:left="120"/>
              <w:spacing w:after="0" w:line="128" w:lineRule="exact"/>
              <w:rPr>
                <w:sz w:val="20"/>
                <w:szCs w:val="20"/>
                <w:color w:val="auto"/>
              </w:rPr>
            </w:pPr>
            <w:r>
              <w:rPr>
                <w:rFonts w:ascii="Times New Roman" w:cs="Times New Roman" w:eastAsia="Times New Roman" w:hAnsi="Times New Roman"/>
                <w:sz w:val="12"/>
                <w:szCs w:val="12"/>
                <w:color w:val="231F20"/>
              </w:rPr>
              <w:t>L + 5.65%</w:t>
            </w:r>
          </w:p>
        </w:tc>
        <w:tc>
          <w:tcPr>
            <w:tcW w:w="46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2"/>
                <w:szCs w:val="12"/>
                <w:color w:val="231F20"/>
                <w:w w:val="96"/>
              </w:rPr>
              <w:t>6.46%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1,680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1,659</w:t>
            </w:r>
          </w:p>
        </w:tc>
        <w:tc>
          <w:tcPr>
            <w:tcW w:w="1140" w:type="dxa"/>
            <w:vAlign w:val="bottom"/>
            <w:gridSpan w:val="4"/>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0.1%</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CFEDF9"/>
            </w:tcBorders>
            <w:gridSpan w:val="2"/>
          </w:tcPr>
          <w:p>
            <w:pPr>
              <w:spacing w:after="0" w:line="149" w:lineRule="exact"/>
              <w:rPr>
                <w:sz w:val="20"/>
                <w:szCs w:val="20"/>
                <w:color w:val="auto"/>
              </w:rPr>
            </w:pPr>
            <w:r>
              <w:rPr>
                <w:rFonts w:ascii="Times New Roman" w:cs="Times New Roman" w:eastAsia="Times New Roman" w:hAnsi="Times New Roman"/>
                <w:sz w:val="17"/>
                <w:szCs w:val="17"/>
                <w:color w:val="231F20"/>
                <w:vertAlign w:val="subscript"/>
              </w:rPr>
              <w:t>2018-3A</w:t>
            </w:r>
            <w:r>
              <w:rPr>
                <w:rFonts w:ascii="Times New Roman" w:cs="Times New Roman" w:eastAsia="Times New Roman" w:hAnsi="Times New Roman"/>
                <w:sz w:val="7"/>
                <w:szCs w:val="7"/>
                <w:color w:val="231F20"/>
              </w:rPr>
              <w:t xml:space="preserve"> (3)(4)(10)</w:t>
            </w:r>
          </w:p>
        </w:tc>
        <w:tc>
          <w:tcPr>
            <w:tcW w:w="540" w:type="dxa"/>
            <w:vAlign w:val="bottom"/>
            <w:tcBorders>
              <w:bottom w:val="single" w:sz="8" w:color="CFEDF9"/>
            </w:tcBorders>
          </w:tcPr>
          <w:p>
            <w:pPr>
              <w:spacing w:after="0"/>
              <w:rPr>
                <w:sz w:val="12"/>
                <w:szCs w:val="12"/>
                <w:color w:val="auto"/>
              </w:rPr>
            </w:pPr>
          </w:p>
        </w:tc>
        <w:tc>
          <w:tcPr>
            <w:tcW w:w="98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90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6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60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80" w:type="dxa"/>
            <w:vAlign w:val="bottom"/>
            <w:tcBorders>
              <w:bottom w:val="single" w:sz="8" w:color="CFEDF9"/>
            </w:tcBorders>
          </w:tcPr>
          <w:p>
            <w:pPr>
              <w:spacing w:after="0"/>
              <w:rPr>
                <w:sz w:val="12"/>
                <w:szCs w:val="12"/>
                <w:color w:val="auto"/>
              </w:rPr>
            </w:pPr>
          </w:p>
        </w:tc>
        <w:tc>
          <w:tcPr>
            <w:tcW w:w="60" w:type="dxa"/>
            <w:vAlign w:val="bottom"/>
            <w:tcBorders>
              <w:bottom w:val="single" w:sz="8" w:color="CFEDF9"/>
            </w:tcBorders>
          </w:tcPr>
          <w:p>
            <w:pPr>
              <w:spacing w:after="0"/>
              <w:rPr>
                <w:sz w:val="12"/>
                <w:szCs w:val="12"/>
                <w:color w:val="auto"/>
              </w:rPr>
            </w:pPr>
          </w:p>
        </w:tc>
        <w:tc>
          <w:tcPr>
            <w:tcW w:w="20" w:type="dxa"/>
            <w:vAlign w:val="bottom"/>
            <w:tcBorders>
              <w:bottom w:val="single" w:sz="8" w:color="CFEDF9"/>
            </w:tcBorders>
          </w:tcPr>
          <w:p>
            <w:pPr>
              <w:spacing w:after="0"/>
              <w:rPr>
                <w:sz w:val="12"/>
                <w:szCs w:val="12"/>
                <w:color w:val="auto"/>
              </w:rPr>
            </w:pPr>
          </w:p>
        </w:tc>
        <w:tc>
          <w:tcPr>
            <w:tcW w:w="200" w:type="dxa"/>
            <w:vAlign w:val="bottom"/>
            <w:tcBorders>
              <w:bottom w:val="single" w:sz="8" w:color="CFEDF9"/>
            </w:tcBorders>
          </w:tcPr>
          <w:p>
            <w:pPr>
              <w:spacing w:after="0"/>
              <w:rPr>
                <w:sz w:val="12"/>
                <w:szCs w:val="12"/>
                <w:color w:val="auto"/>
              </w:rPr>
            </w:pPr>
          </w:p>
        </w:tc>
        <w:tc>
          <w:tcPr>
            <w:tcW w:w="320" w:type="dxa"/>
            <w:vAlign w:val="bottom"/>
            <w:tcBorders>
              <w:bottom w:val="single" w:sz="8" w:color="CFEDF9"/>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220" w:type="dxa"/>
            <w:vAlign w:val="bottom"/>
            <w:tcBorders>
              <w:bottom w:val="single" w:sz="8" w:color="CFEDF9"/>
            </w:tcBorders>
          </w:tcPr>
          <w:p>
            <w:pPr>
              <w:spacing w:after="0"/>
              <w:rPr>
                <w:sz w:val="12"/>
                <w:szCs w:val="12"/>
                <w:color w:val="auto"/>
              </w:rPr>
            </w:pPr>
          </w:p>
        </w:tc>
        <w:tc>
          <w:tcPr>
            <w:tcW w:w="360" w:type="dxa"/>
            <w:vAlign w:val="bottom"/>
            <w:tcBorders>
              <w:bottom w:val="single" w:sz="8" w:color="CFEDF9"/>
            </w:tcBorders>
          </w:tcPr>
          <w:p>
            <w:pPr>
              <w:spacing w:after="0"/>
              <w:rPr>
                <w:sz w:val="12"/>
                <w:szCs w:val="12"/>
                <w:color w:val="auto"/>
              </w:rPr>
            </w:pPr>
          </w:p>
        </w:tc>
        <w:tc>
          <w:tcPr>
            <w:tcW w:w="20" w:type="dxa"/>
            <w:vAlign w:val="bottom"/>
            <w:tcBorders>
              <w:bottom w:val="single" w:sz="8" w:color="CFEDF9"/>
            </w:tcBorders>
          </w:tcPr>
          <w:p>
            <w:pPr>
              <w:spacing w:after="0"/>
              <w:rPr>
                <w:sz w:val="12"/>
                <w:szCs w:val="12"/>
                <w:color w:val="auto"/>
              </w:rPr>
            </w:pPr>
          </w:p>
        </w:tc>
        <w:tc>
          <w:tcPr>
            <w:tcW w:w="60" w:type="dxa"/>
            <w:vAlign w:val="bottom"/>
            <w:tcBorders>
              <w:bottom w:val="single" w:sz="8" w:color="CFEDF9"/>
            </w:tcBorders>
          </w:tcPr>
          <w:p>
            <w:pPr>
              <w:spacing w:after="0"/>
              <w:rPr>
                <w:sz w:val="12"/>
                <w:szCs w:val="12"/>
                <w:color w:val="auto"/>
              </w:rPr>
            </w:pPr>
          </w:p>
        </w:tc>
        <w:tc>
          <w:tcPr>
            <w:tcW w:w="140" w:type="dxa"/>
            <w:vAlign w:val="bottom"/>
            <w:tcBorders>
              <w:bottom w:val="single" w:sz="8" w:color="CFEDF9"/>
            </w:tcBorders>
          </w:tcPr>
          <w:p>
            <w:pPr>
              <w:spacing w:after="0"/>
              <w:rPr>
                <w:sz w:val="12"/>
                <w:szCs w:val="12"/>
                <w:color w:val="auto"/>
              </w:rPr>
            </w:pPr>
          </w:p>
        </w:tc>
        <w:tc>
          <w:tcPr>
            <w:tcW w:w="220" w:type="dxa"/>
            <w:vAlign w:val="bottom"/>
            <w:tcBorders>
              <w:bottom w:val="single" w:sz="8" w:color="CFEDF9"/>
            </w:tcBorders>
          </w:tcPr>
          <w:p>
            <w:pPr>
              <w:spacing w:after="0"/>
              <w:rPr>
                <w:sz w:val="12"/>
                <w:szCs w:val="12"/>
                <w:color w:val="auto"/>
              </w:rPr>
            </w:pPr>
          </w:p>
        </w:tc>
        <w:tc>
          <w:tcPr>
            <w:tcW w:w="100" w:type="dxa"/>
            <w:vAlign w:val="bottom"/>
            <w:tcBorders>
              <w:bottom w:val="single" w:sz="8" w:color="CFEDF9"/>
            </w:tcBorders>
          </w:tcPr>
          <w:p>
            <w:pPr>
              <w:spacing w:after="0"/>
              <w:rPr>
                <w:sz w:val="12"/>
                <w:szCs w:val="12"/>
                <w:color w:val="auto"/>
              </w:rPr>
            </w:pPr>
          </w:p>
        </w:tc>
        <w:tc>
          <w:tcPr>
            <w:tcW w:w="120" w:type="dxa"/>
            <w:vAlign w:val="bottom"/>
            <w:tcBorders>
              <w:bottom w:val="single" w:sz="8" w:color="CFEDF9"/>
            </w:tcBorders>
          </w:tcPr>
          <w:p>
            <w:pPr>
              <w:spacing w:after="0"/>
              <w:rPr>
                <w:sz w:val="12"/>
                <w:szCs w:val="12"/>
                <w:color w:val="auto"/>
              </w:rPr>
            </w:pPr>
          </w:p>
        </w:tc>
        <w:tc>
          <w:tcPr>
            <w:tcW w:w="340" w:type="dxa"/>
            <w:vAlign w:val="bottom"/>
            <w:tcBorders>
              <w:bottom w:val="single" w:sz="8" w:color="231F20"/>
            </w:tcBorders>
          </w:tcPr>
          <w:p>
            <w:pPr>
              <w:spacing w:after="0"/>
              <w:rPr>
                <w:sz w:val="12"/>
                <w:szCs w:val="12"/>
                <w:color w:val="auto"/>
              </w:rPr>
            </w:pPr>
          </w:p>
        </w:tc>
        <w:tc>
          <w:tcPr>
            <w:tcW w:w="20" w:type="dxa"/>
            <w:vAlign w:val="bottom"/>
            <w:tcBorders>
              <w:bottom w:val="single" w:sz="8" w:color="231F20"/>
            </w:tcBorders>
          </w:tcPr>
          <w:p>
            <w:pPr>
              <w:spacing w:after="0"/>
              <w:rPr>
                <w:sz w:val="12"/>
                <w:szCs w:val="12"/>
                <w:color w:val="auto"/>
              </w:rPr>
            </w:pPr>
          </w:p>
        </w:tc>
        <w:tc>
          <w:tcPr>
            <w:tcW w:w="200" w:type="dxa"/>
            <w:vAlign w:val="bottom"/>
            <w:tcBorders>
              <w:bottom w:val="single" w:sz="8" w:color="231F20"/>
            </w:tcBorders>
          </w:tcPr>
          <w:p>
            <w:pPr>
              <w:spacing w:after="0"/>
              <w:rPr>
                <w:sz w:val="12"/>
                <w:szCs w:val="12"/>
                <w:color w:val="auto"/>
              </w:rPr>
            </w:pPr>
          </w:p>
        </w:tc>
        <w:tc>
          <w:tcPr>
            <w:tcW w:w="120" w:type="dxa"/>
            <w:vAlign w:val="bottom"/>
            <w:tcBorders>
              <w:bottom w:val="single" w:sz="8" w:color="231F20"/>
            </w:tcBorders>
          </w:tcPr>
          <w:p>
            <w:pPr>
              <w:spacing w:after="0"/>
              <w:rPr>
                <w:sz w:val="12"/>
                <w:szCs w:val="12"/>
                <w:color w:val="auto"/>
              </w:rPr>
            </w:pPr>
          </w:p>
        </w:tc>
        <w:tc>
          <w:tcPr>
            <w:tcW w:w="420" w:type="dxa"/>
            <w:vAlign w:val="bottom"/>
            <w:tcBorders>
              <w:bottom w:val="single" w:sz="8" w:color="231F20"/>
            </w:tcBorders>
          </w:tcPr>
          <w:p>
            <w:pPr>
              <w:spacing w:after="0"/>
              <w:rPr>
                <w:sz w:val="12"/>
                <w:szCs w:val="12"/>
                <w:color w:val="auto"/>
              </w:rPr>
            </w:pPr>
          </w:p>
        </w:tc>
        <w:tc>
          <w:tcPr>
            <w:tcW w:w="20" w:type="dxa"/>
            <w:vAlign w:val="bottom"/>
            <w:tcBorders>
              <w:bottom w:val="single" w:sz="8" w:color="CFEDF9"/>
            </w:tcBorders>
          </w:tcPr>
          <w:p>
            <w:pPr>
              <w:spacing w:after="0"/>
              <w:rPr>
                <w:sz w:val="12"/>
                <w:szCs w:val="12"/>
                <w:color w:val="auto"/>
              </w:rPr>
            </w:pPr>
          </w:p>
        </w:tc>
        <w:tc>
          <w:tcPr>
            <w:tcW w:w="180" w:type="dxa"/>
            <w:vAlign w:val="bottom"/>
            <w:tcBorders>
              <w:bottom w:val="single" w:sz="8" w:color="CFEDF9"/>
            </w:tcBorders>
          </w:tcPr>
          <w:p>
            <w:pPr>
              <w:spacing w:after="0"/>
              <w:rPr>
                <w:sz w:val="12"/>
                <w:szCs w:val="12"/>
                <w:color w:val="auto"/>
              </w:rPr>
            </w:pPr>
          </w:p>
        </w:tc>
        <w:tc>
          <w:tcPr>
            <w:tcW w:w="160" w:type="dxa"/>
            <w:vAlign w:val="bottom"/>
            <w:tcBorders>
              <w:bottom w:val="single" w:sz="8" w:color="231F20"/>
            </w:tcBorders>
          </w:tcPr>
          <w:p>
            <w:pPr>
              <w:spacing w:after="0"/>
              <w:rPr>
                <w:sz w:val="12"/>
                <w:szCs w:val="12"/>
                <w:color w:val="auto"/>
              </w:rPr>
            </w:pPr>
          </w:p>
        </w:tc>
        <w:tc>
          <w:tcPr>
            <w:tcW w:w="20" w:type="dxa"/>
            <w:vAlign w:val="bottom"/>
            <w:tcBorders>
              <w:bottom w:val="single" w:sz="8" w:color="231F20"/>
            </w:tcBorders>
          </w:tcPr>
          <w:p>
            <w:pPr>
              <w:spacing w:after="0"/>
              <w:rPr>
                <w:sz w:val="12"/>
                <w:szCs w:val="12"/>
                <w:color w:val="auto"/>
              </w:rPr>
            </w:pPr>
          </w:p>
        </w:tc>
        <w:tc>
          <w:tcPr>
            <w:tcW w:w="100" w:type="dxa"/>
            <w:vAlign w:val="bottom"/>
            <w:tcBorders>
              <w:bottom w:val="single" w:sz="8" w:color="231F20"/>
            </w:tcBorders>
          </w:tcPr>
          <w:p>
            <w:pPr>
              <w:spacing w:after="0"/>
              <w:rPr>
                <w:sz w:val="12"/>
                <w:szCs w:val="12"/>
                <w:color w:val="auto"/>
              </w:rPr>
            </w:pPr>
          </w:p>
        </w:tc>
        <w:tc>
          <w:tcPr>
            <w:tcW w:w="200" w:type="dxa"/>
            <w:vAlign w:val="bottom"/>
            <w:tcBorders>
              <w:bottom w:val="single" w:sz="8" w:color="231F20"/>
            </w:tcBorders>
          </w:tcPr>
          <w:p>
            <w:pPr>
              <w:spacing w:after="0"/>
              <w:rPr>
                <w:sz w:val="12"/>
                <w:szCs w:val="12"/>
                <w:color w:val="auto"/>
              </w:rPr>
            </w:pPr>
          </w:p>
        </w:tc>
        <w:tc>
          <w:tcPr>
            <w:tcW w:w="400" w:type="dxa"/>
            <w:vAlign w:val="bottom"/>
            <w:tcBorders>
              <w:bottom w:val="single" w:sz="8" w:color="231F20"/>
            </w:tcBorders>
          </w:tcPr>
          <w:p>
            <w:pPr>
              <w:spacing w:after="0"/>
              <w:rPr>
                <w:sz w:val="12"/>
                <w:szCs w:val="12"/>
                <w:color w:val="auto"/>
              </w:rPr>
            </w:pPr>
          </w:p>
        </w:tc>
        <w:tc>
          <w:tcPr>
            <w:tcW w:w="20" w:type="dxa"/>
            <w:vAlign w:val="bottom"/>
            <w:tcBorders>
              <w:bottom w:val="single" w:sz="8" w:color="CFEDF9"/>
            </w:tcBorders>
          </w:tcPr>
          <w:p>
            <w:pPr>
              <w:spacing w:after="0"/>
              <w:rPr>
                <w:sz w:val="12"/>
                <w:szCs w:val="12"/>
                <w:color w:val="auto"/>
              </w:rPr>
            </w:pPr>
          </w:p>
        </w:tc>
        <w:tc>
          <w:tcPr>
            <w:tcW w:w="200" w:type="dxa"/>
            <w:vAlign w:val="bottom"/>
            <w:tcBorders>
              <w:bottom w:val="single" w:sz="8" w:color="CFEDF9"/>
            </w:tcBorders>
          </w:tcPr>
          <w:p>
            <w:pPr>
              <w:spacing w:after="0"/>
              <w:rPr>
                <w:sz w:val="12"/>
                <w:szCs w:val="12"/>
                <w:color w:val="auto"/>
              </w:rPr>
            </w:pPr>
          </w:p>
        </w:tc>
        <w:tc>
          <w:tcPr>
            <w:tcW w:w="820" w:type="dxa"/>
            <w:vAlign w:val="bottom"/>
            <w:tcBorders>
              <w:bottom w:val="single" w:sz="8" w:color="231F20"/>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4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540" w:type="dxa"/>
            <w:vAlign w:val="bottom"/>
            <w:shd w:val="clear" w:color="auto" w:fill="CFEDF9"/>
          </w:tcPr>
          <w:p>
            <w:pPr>
              <w:spacing w:after="0"/>
              <w:rPr>
                <w:sz w:val="11"/>
                <w:szCs w:val="11"/>
                <w:color w:val="auto"/>
              </w:rPr>
            </w:pPr>
          </w:p>
        </w:tc>
        <w:tc>
          <w:tcPr>
            <w:tcW w:w="98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3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3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420" w:type="dxa"/>
            <w:vAlign w:val="bottom"/>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53,066</w:t>
            </w:r>
          </w:p>
        </w:tc>
        <w:tc>
          <w:tcPr>
            <w:tcW w:w="20" w:type="dxa"/>
            <w:vAlign w:val="bottom"/>
            <w:shd w:val="clear" w:color="auto" w:fill="CFEDF9"/>
          </w:tcPr>
          <w:p>
            <w:pPr>
              <w:spacing w:after="0"/>
              <w:rPr>
                <w:sz w:val="11"/>
                <w:szCs w:val="11"/>
                <w:color w:val="auto"/>
              </w:rPr>
            </w:pP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color w:val="231F20"/>
              </w:rPr>
              <w:t>51,426</w:t>
            </w:r>
          </w:p>
        </w:tc>
        <w:tc>
          <w:tcPr>
            <w:tcW w:w="20" w:type="dxa"/>
            <w:vAlign w:val="bottom"/>
            <w:shd w:val="clear" w:color="auto" w:fill="CFEDF9"/>
          </w:tcPr>
          <w:p>
            <w:pPr>
              <w:spacing w:after="0"/>
              <w:rPr>
                <w:sz w:val="11"/>
                <w:szCs w:val="11"/>
                <w:color w:val="auto"/>
              </w:rPr>
            </w:pPr>
          </w:p>
        </w:tc>
        <w:tc>
          <w:tcPr>
            <w:tcW w:w="200" w:type="dxa"/>
            <w:vAlign w:val="bottom"/>
            <w:tcBorders>
              <w:right w:val="single" w:sz="8" w:color="CFEDF9"/>
            </w:tcBorders>
            <w:shd w:val="clear" w:color="auto" w:fill="CFEDF9"/>
          </w:tcPr>
          <w:p>
            <w:pPr>
              <w:spacing w:after="0"/>
              <w:rPr>
                <w:sz w:val="11"/>
                <w:szCs w:val="11"/>
                <w:color w:val="auto"/>
              </w:rPr>
            </w:pPr>
          </w:p>
        </w:tc>
        <w:tc>
          <w:tcPr>
            <w:tcW w:w="940" w:type="dxa"/>
            <w:vAlign w:val="bottom"/>
            <w:gridSpan w:val="3"/>
          </w:tcPr>
          <w:p>
            <w:pPr>
              <w:jc w:val="right"/>
              <w:ind w:right="20"/>
              <w:spacing w:after="0" w:line="128" w:lineRule="exact"/>
              <w:rPr>
                <w:sz w:val="20"/>
                <w:szCs w:val="20"/>
                <w:color w:val="auto"/>
              </w:rPr>
            </w:pPr>
            <w:r>
              <w:rPr>
                <w:rFonts w:ascii="Times New Roman" w:cs="Times New Roman" w:eastAsia="Times New Roman" w:hAnsi="Times New Roman"/>
                <w:sz w:val="12"/>
                <w:szCs w:val="12"/>
                <w:color w:val="231F20"/>
              </w:rPr>
              <w:t>4.4%</w:t>
            </w: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spacing w:after="0" w:line="135" w:lineRule="exact"/>
              <w:rPr>
                <w:sz w:val="20"/>
                <w:szCs w:val="20"/>
                <w:color w:val="auto"/>
              </w:rPr>
            </w:pPr>
            <w:r>
              <w:rPr>
                <w:rFonts w:ascii="Times New Roman" w:cs="Times New Roman" w:eastAsia="Times New Roman" w:hAnsi="Times New Roman"/>
                <w:sz w:val="12"/>
                <w:szCs w:val="12"/>
                <w:b w:val="1"/>
                <w:bCs w:val="1"/>
                <w:color w:val="231F20"/>
              </w:rPr>
              <w:t>Total Equity and Other</w:t>
            </w: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231F20"/>
            </w:tcBorders>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42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231F20"/>
            </w:tcBorders>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231F20"/>
              </w:rPr>
              <w:t>195,169</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2"/>
                <w:szCs w:val="12"/>
                <w:color w:val="231F20"/>
              </w:rPr>
              <w:t>219,111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2"/>
                <w:szCs w:val="12"/>
                <w:color w:val="231F20"/>
              </w:rPr>
              <w:t>16.8%</w:t>
            </w:r>
          </w:p>
        </w:tc>
        <w:tc>
          <w:tcPr>
            <w:tcW w:w="0" w:type="dxa"/>
            <w:vAlign w:val="bottom"/>
          </w:tcPr>
          <w:p>
            <w:pPr>
              <w:spacing w:after="0"/>
              <w:rPr>
                <w:sz w:val="1"/>
                <w:szCs w:val="1"/>
                <w:color w:val="auto"/>
              </w:rPr>
            </w:pPr>
          </w:p>
        </w:tc>
      </w:tr>
      <w:tr>
        <w:trPr>
          <w:trHeight w:val="151"/>
        </w:trPr>
        <w:tc>
          <w:tcPr>
            <w:tcW w:w="1640" w:type="dxa"/>
            <w:vAlign w:val="bottom"/>
            <w:tcBorders>
              <w:bottom w:val="single" w:sz="8" w:color="CFEDF9"/>
            </w:tcBorders>
            <w:gridSpan w:val="2"/>
          </w:tcPr>
          <w:p>
            <w:pPr>
              <w:spacing w:after="0"/>
              <w:rPr>
                <w:sz w:val="20"/>
                <w:szCs w:val="20"/>
                <w:color w:val="auto"/>
              </w:rPr>
            </w:pPr>
            <w:r>
              <w:rPr>
                <w:rFonts w:ascii="Times New Roman" w:cs="Times New Roman" w:eastAsia="Times New Roman" w:hAnsi="Times New Roman"/>
                <w:sz w:val="12"/>
                <w:szCs w:val="12"/>
                <w:b w:val="1"/>
                <w:bCs w:val="1"/>
                <w:color w:val="231F20"/>
              </w:rPr>
              <w:t>Investments</w:t>
            </w:r>
          </w:p>
        </w:tc>
        <w:tc>
          <w:tcPr>
            <w:tcW w:w="540" w:type="dxa"/>
            <w:vAlign w:val="bottom"/>
            <w:tcBorders>
              <w:bottom w:val="single" w:sz="8" w:color="CFEDF9"/>
            </w:tcBorders>
          </w:tcPr>
          <w:p>
            <w:pPr>
              <w:spacing w:after="0"/>
              <w:rPr>
                <w:sz w:val="13"/>
                <w:szCs w:val="13"/>
                <w:color w:val="auto"/>
              </w:rPr>
            </w:pPr>
          </w:p>
        </w:tc>
        <w:tc>
          <w:tcPr>
            <w:tcW w:w="980" w:type="dxa"/>
            <w:vAlign w:val="bottom"/>
            <w:tcBorders>
              <w:bottom w:val="single" w:sz="8" w:color="CFEDF9"/>
            </w:tcBorders>
          </w:tcPr>
          <w:p>
            <w:pPr>
              <w:spacing w:after="0"/>
              <w:rPr>
                <w:sz w:val="13"/>
                <w:szCs w:val="13"/>
                <w:color w:val="auto"/>
              </w:rPr>
            </w:pPr>
          </w:p>
        </w:tc>
        <w:tc>
          <w:tcPr>
            <w:tcW w:w="120" w:type="dxa"/>
            <w:vAlign w:val="bottom"/>
            <w:tcBorders>
              <w:bottom w:val="single" w:sz="8" w:color="CFEDF9"/>
            </w:tcBorders>
          </w:tcPr>
          <w:p>
            <w:pPr>
              <w:spacing w:after="0"/>
              <w:rPr>
                <w:sz w:val="13"/>
                <w:szCs w:val="13"/>
                <w:color w:val="auto"/>
              </w:rPr>
            </w:pPr>
          </w:p>
        </w:tc>
        <w:tc>
          <w:tcPr>
            <w:tcW w:w="900" w:type="dxa"/>
            <w:vAlign w:val="bottom"/>
            <w:tcBorders>
              <w:bottom w:val="single" w:sz="8" w:color="CFEDF9"/>
            </w:tcBorders>
          </w:tcPr>
          <w:p>
            <w:pPr>
              <w:spacing w:after="0"/>
              <w:rPr>
                <w:sz w:val="13"/>
                <w:szCs w:val="13"/>
                <w:color w:val="auto"/>
              </w:rPr>
            </w:pPr>
          </w:p>
        </w:tc>
        <w:tc>
          <w:tcPr>
            <w:tcW w:w="120" w:type="dxa"/>
            <w:vAlign w:val="bottom"/>
            <w:tcBorders>
              <w:bottom w:val="single" w:sz="8" w:color="CFEDF9"/>
            </w:tcBorders>
          </w:tcPr>
          <w:p>
            <w:pPr>
              <w:spacing w:after="0"/>
              <w:rPr>
                <w:sz w:val="13"/>
                <w:szCs w:val="13"/>
                <w:color w:val="auto"/>
              </w:rPr>
            </w:pPr>
          </w:p>
        </w:tc>
        <w:tc>
          <w:tcPr>
            <w:tcW w:w="60" w:type="dxa"/>
            <w:vAlign w:val="bottom"/>
            <w:tcBorders>
              <w:bottom w:val="single" w:sz="8" w:color="CFEDF9"/>
            </w:tcBorders>
          </w:tcPr>
          <w:p>
            <w:pPr>
              <w:spacing w:after="0"/>
              <w:rPr>
                <w:sz w:val="13"/>
                <w:szCs w:val="13"/>
                <w:color w:val="auto"/>
              </w:rPr>
            </w:pPr>
          </w:p>
        </w:tc>
        <w:tc>
          <w:tcPr>
            <w:tcW w:w="120" w:type="dxa"/>
            <w:vAlign w:val="bottom"/>
            <w:tcBorders>
              <w:bottom w:val="single" w:sz="8" w:color="CFEDF9"/>
            </w:tcBorders>
          </w:tcPr>
          <w:p>
            <w:pPr>
              <w:spacing w:after="0"/>
              <w:rPr>
                <w:sz w:val="13"/>
                <w:szCs w:val="13"/>
                <w:color w:val="auto"/>
              </w:rPr>
            </w:pPr>
          </w:p>
        </w:tc>
        <w:tc>
          <w:tcPr>
            <w:tcW w:w="600" w:type="dxa"/>
            <w:vAlign w:val="bottom"/>
            <w:tcBorders>
              <w:bottom w:val="single" w:sz="8" w:color="CFEDF9"/>
            </w:tcBorders>
          </w:tcPr>
          <w:p>
            <w:pPr>
              <w:spacing w:after="0"/>
              <w:rPr>
                <w:sz w:val="13"/>
                <w:szCs w:val="13"/>
                <w:color w:val="auto"/>
              </w:rPr>
            </w:pPr>
          </w:p>
        </w:tc>
        <w:tc>
          <w:tcPr>
            <w:tcW w:w="120" w:type="dxa"/>
            <w:vAlign w:val="bottom"/>
            <w:tcBorders>
              <w:bottom w:val="single" w:sz="8" w:color="CFEDF9"/>
            </w:tcBorders>
          </w:tcPr>
          <w:p>
            <w:pPr>
              <w:spacing w:after="0"/>
              <w:rPr>
                <w:sz w:val="13"/>
                <w:szCs w:val="13"/>
                <w:color w:val="auto"/>
              </w:rPr>
            </w:pPr>
          </w:p>
        </w:tc>
        <w:tc>
          <w:tcPr>
            <w:tcW w:w="80" w:type="dxa"/>
            <w:vAlign w:val="bottom"/>
            <w:tcBorders>
              <w:bottom w:val="single" w:sz="8" w:color="CFEDF9"/>
            </w:tcBorders>
          </w:tcPr>
          <w:p>
            <w:pPr>
              <w:spacing w:after="0"/>
              <w:rPr>
                <w:sz w:val="13"/>
                <w:szCs w:val="13"/>
                <w:color w:val="auto"/>
              </w:rPr>
            </w:pPr>
          </w:p>
        </w:tc>
        <w:tc>
          <w:tcPr>
            <w:tcW w:w="60" w:type="dxa"/>
            <w:vAlign w:val="bottom"/>
            <w:tcBorders>
              <w:bottom w:val="single" w:sz="8" w:color="CFEDF9"/>
            </w:tcBorders>
          </w:tcPr>
          <w:p>
            <w:pPr>
              <w:spacing w:after="0"/>
              <w:rPr>
                <w:sz w:val="13"/>
                <w:szCs w:val="13"/>
                <w:color w:val="auto"/>
              </w:rPr>
            </w:pPr>
          </w:p>
        </w:tc>
        <w:tc>
          <w:tcPr>
            <w:tcW w:w="20" w:type="dxa"/>
            <w:vAlign w:val="bottom"/>
            <w:tcBorders>
              <w:bottom w:val="single" w:sz="8" w:color="CFEDF9"/>
            </w:tcBorders>
          </w:tcPr>
          <w:p>
            <w:pPr>
              <w:spacing w:after="0"/>
              <w:rPr>
                <w:sz w:val="13"/>
                <w:szCs w:val="13"/>
                <w:color w:val="auto"/>
              </w:rPr>
            </w:pPr>
          </w:p>
        </w:tc>
        <w:tc>
          <w:tcPr>
            <w:tcW w:w="200" w:type="dxa"/>
            <w:vAlign w:val="bottom"/>
            <w:tcBorders>
              <w:bottom w:val="single" w:sz="8" w:color="CFEDF9"/>
            </w:tcBorders>
          </w:tcPr>
          <w:p>
            <w:pPr>
              <w:spacing w:after="0"/>
              <w:rPr>
                <w:sz w:val="13"/>
                <w:szCs w:val="13"/>
                <w:color w:val="auto"/>
              </w:rPr>
            </w:pPr>
          </w:p>
        </w:tc>
        <w:tc>
          <w:tcPr>
            <w:tcW w:w="320" w:type="dxa"/>
            <w:vAlign w:val="bottom"/>
            <w:tcBorders>
              <w:bottom w:val="single" w:sz="8" w:color="CFEDF9"/>
            </w:tcBorders>
          </w:tcPr>
          <w:p>
            <w:pPr>
              <w:spacing w:after="0"/>
              <w:rPr>
                <w:sz w:val="13"/>
                <w:szCs w:val="13"/>
                <w:color w:val="auto"/>
              </w:rPr>
            </w:pPr>
          </w:p>
        </w:tc>
        <w:tc>
          <w:tcPr>
            <w:tcW w:w="100" w:type="dxa"/>
            <w:vAlign w:val="bottom"/>
            <w:tcBorders>
              <w:bottom w:val="single" w:sz="8" w:color="CFEDF9"/>
            </w:tcBorders>
          </w:tcPr>
          <w:p>
            <w:pPr>
              <w:spacing w:after="0"/>
              <w:rPr>
                <w:sz w:val="13"/>
                <w:szCs w:val="13"/>
                <w:color w:val="auto"/>
              </w:rPr>
            </w:pPr>
          </w:p>
        </w:tc>
        <w:tc>
          <w:tcPr>
            <w:tcW w:w="220" w:type="dxa"/>
            <w:vAlign w:val="bottom"/>
            <w:tcBorders>
              <w:bottom w:val="single" w:sz="8" w:color="CFEDF9"/>
            </w:tcBorders>
          </w:tcPr>
          <w:p>
            <w:pPr>
              <w:spacing w:after="0"/>
              <w:rPr>
                <w:sz w:val="13"/>
                <w:szCs w:val="13"/>
                <w:color w:val="auto"/>
              </w:rPr>
            </w:pPr>
          </w:p>
        </w:tc>
        <w:tc>
          <w:tcPr>
            <w:tcW w:w="360" w:type="dxa"/>
            <w:vAlign w:val="bottom"/>
            <w:tcBorders>
              <w:bottom w:val="single" w:sz="8" w:color="CFEDF9"/>
            </w:tcBorders>
          </w:tcPr>
          <w:p>
            <w:pPr>
              <w:spacing w:after="0"/>
              <w:rPr>
                <w:sz w:val="13"/>
                <w:szCs w:val="13"/>
                <w:color w:val="auto"/>
              </w:rPr>
            </w:pPr>
          </w:p>
        </w:tc>
        <w:tc>
          <w:tcPr>
            <w:tcW w:w="20" w:type="dxa"/>
            <w:vAlign w:val="bottom"/>
            <w:tcBorders>
              <w:bottom w:val="single" w:sz="8" w:color="CFEDF9"/>
            </w:tcBorders>
          </w:tcPr>
          <w:p>
            <w:pPr>
              <w:spacing w:after="0"/>
              <w:rPr>
                <w:sz w:val="13"/>
                <w:szCs w:val="13"/>
                <w:color w:val="auto"/>
              </w:rPr>
            </w:pPr>
          </w:p>
        </w:tc>
        <w:tc>
          <w:tcPr>
            <w:tcW w:w="60" w:type="dxa"/>
            <w:vAlign w:val="bottom"/>
            <w:tcBorders>
              <w:bottom w:val="single" w:sz="8" w:color="CFEDF9"/>
            </w:tcBorders>
          </w:tcPr>
          <w:p>
            <w:pPr>
              <w:spacing w:after="0"/>
              <w:rPr>
                <w:sz w:val="13"/>
                <w:szCs w:val="13"/>
                <w:color w:val="auto"/>
              </w:rPr>
            </w:pPr>
          </w:p>
        </w:tc>
        <w:tc>
          <w:tcPr>
            <w:tcW w:w="140" w:type="dxa"/>
            <w:vAlign w:val="bottom"/>
            <w:tcBorders>
              <w:bottom w:val="single" w:sz="8" w:color="CFEDF9"/>
            </w:tcBorders>
          </w:tcPr>
          <w:p>
            <w:pPr>
              <w:spacing w:after="0"/>
              <w:rPr>
                <w:sz w:val="13"/>
                <w:szCs w:val="13"/>
                <w:color w:val="auto"/>
              </w:rPr>
            </w:pPr>
          </w:p>
        </w:tc>
        <w:tc>
          <w:tcPr>
            <w:tcW w:w="220" w:type="dxa"/>
            <w:vAlign w:val="bottom"/>
            <w:tcBorders>
              <w:bottom w:val="single" w:sz="8" w:color="CFEDF9"/>
            </w:tcBorders>
          </w:tcPr>
          <w:p>
            <w:pPr>
              <w:spacing w:after="0"/>
              <w:rPr>
                <w:sz w:val="13"/>
                <w:szCs w:val="13"/>
                <w:color w:val="auto"/>
              </w:rPr>
            </w:pPr>
          </w:p>
        </w:tc>
        <w:tc>
          <w:tcPr>
            <w:tcW w:w="100" w:type="dxa"/>
            <w:vAlign w:val="bottom"/>
            <w:tcBorders>
              <w:bottom w:val="single" w:sz="8" w:color="CFEDF9"/>
            </w:tcBorders>
          </w:tcPr>
          <w:p>
            <w:pPr>
              <w:spacing w:after="0"/>
              <w:rPr>
                <w:sz w:val="13"/>
                <w:szCs w:val="13"/>
                <w:color w:val="auto"/>
              </w:rPr>
            </w:pPr>
          </w:p>
        </w:tc>
        <w:tc>
          <w:tcPr>
            <w:tcW w:w="120" w:type="dxa"/>
            <w:vAlign w:val="bottom"/>
            <w:tcBorders>
              <w:bottom w:val="single" w:sz="8" w:color="CFEDF9"/>
            </w:tcBorders>
          </w:tcPr>
          <w:p>
            <w:pPr>
              <w:spacing w:after="0"/>
              <w:rPr>
                <w:sz w:val="13"/>
                <w:szCs w:val="13"/>
                <w:color w:val="auto"/>
              </w:rPr>
            </w:pPr>
          </w:p>
        </w:tc>
        <w:tc>
          <w:tcPr>
            <w:tcW w:w="34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0" w:type="dxa"/>
            <w:vAlign w:val="bottom"/>
            <w:tcBorders>
              <w:bottom w:val="single" w:sz="8" w:color="231F20"/>
            </w:tcBorders>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420" w:type="dxa"/>
            <w:vAlign w:val="bottom"/>
            <w:tcBorders>
              <w:bottom w:val="single" w:sz="8" w:color="231F20"/>
            </w:tcBorders>
          </w:tcPr>
          <w:p>
            <w:pPr>
              <w:spacing w:after="0"/>
              <w:rPr>
                <w:sz w:val="13"/>
                <w:szCs w:val="13"/>
                <w:color w:val="auto"/>
              </w:rPr>
            </w:pPr>
          </w:p>
        </w:tc>
        <w:tc>
          <w:tcPr>
            <w:tcW w:w="20" w:type="dxa"/>
            <w:vAlign w:val="bottom"/>
            <w:tcBorders>
              <w:bottom w:val="single" w:sz="8" w:color="CFEDF9"/>
            </w:tcBorders>
          </w:tcPr>
          <w:p>
            <w:pPr>
              <w:spacing w:after="0"/>
              <w:rPr>
                <w:sz w:val="13"/>
                <w:szCs w:val="13"/>
                <w:color w:val="auto"/>
              </w:rPr>
            </w:pPr>
          </w:p>
        </w:tc>
        <w:tc>
          <w:tcPr>
            <w:tcW w:w="180" w:type="dxa"/>
            <w:vAlign w:val="bottom"/>
            <w:tcBorders>
              <w:bottom w:val="single" w:sz="8" w:color="CFEDF9"/>
            </w:tcBorders>
          </w:tcPr>
          <w:p>
            <w:pPr>
              <w:spacing w:after="0"/>
              <w:rPr>
                <w:sz w:val="13"/>
                <w:szCs w:val="13"/>
                <w:color w:val="auto"/>
              </w:rPr>
            </w:pPr>
          </w:p>
        </w:tc>
        <w:tc>
          <w:tcPr>
            <w:tcW w:w="16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200" w:type="dxa"/>
            <w:vAlign w:val="bottom"/>
            <w:tcBorders>
              <w:bottom w:val="single" w:sz="8" w:color="231F20"/>
            </w:tcBorders>
          </w:tcPr>
          <w:p>
            <w:pPr>
              <w:spacing w:after="0"/>
              <w:rPr>
                <w:sz w:val="13"/>
                <w:szCs w:val="13"/>
                <w:color w:val="auto"/>
              </w:rPr>
            </w:pPr>
          </w:p>
        </w:tc>
        <w:tc>
          <w:tcPr>
            <w:tcW w:w="400" w:type="dxa"/>
            <w:vAlign w:val="bottom"/>
            <w:tcBorders>
              <w:bottom w:val="single" w:sz="8" w:color="231F20"/>
            </w:tcBorders>
          </w:tcPr>
          <w:p>
            <w:pPr>
              <w:spacing w:after="0"/>
              <w:rPr>
                <w:sz w:val="13"/>
                <w:szCs w:val="13"/>
                <w:color w:val="auto"/>
              </w:rPr>
            </w:pPr>
          </w:p>
        </w:tc>
        <w:tc>
          <w:tcPr>
            <w:tcW w:w="20" w:type="dxa"/>
            <w:vAlign w:val="bottom"/>
            <w:tcBorders>
              <w:bottom w:val="single" w:sz="8" w:color="CFEDF9"/>
            </w:tcBorders>
          </w:tcPr>
          <w:p>
            <w:pPr>
              <w:spacing w:after="0"/>
              <w:rPr>
                <w:sz w:val="13"/>
                <w:szCs w:val="13"/>
                <w:color w:val="auto"/>
              </w:rPr>
            </w:pPr>
          </w:p>
        </w:tc>
        <w:tc>
          <w:tcPr>
            <w:tcW w:w="200" w:type="dxa"/>
            <w:vAlign w:val="bottom"/>
            <w:tcBorders>
              <w:bottom w:val="single" w:sz="8" w:color="CFEDF9"/>
            </w:tcBorders>
          </w:tcPr>
          <w:p>
            <w:pPr>
              <w:spacing w:after="0"/>
              <w:rPr>
                <w:sz w:val="13"/>
                <w:szCs w:val="13"/>
                <w:color w:val="auto"/>
              </w:rPr>
            </w:pPr>
          </w:p>
        </w:tc>
        <w:tc>
          <w:tcPr>
            <w:tcW w:w="820" w:type="dxa"/>
            <w:vAlign w:val="bottom"/>
            <w:tcBorders>
              <w:bottom w:val="single" w:sz="8" w:color="231F20"/>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40" w:type="dxa"/>
            <w:vAlign w:val="bottom"/>
            <w:gridSpan w:val="2"/>
            <w:shd w:val="clear" w:color="auto" w:fill="CFEDF9"/>
          </w:tcPr>
          <w:p>
            <w:pPr>
              <w:spacing w:after="0" w:line="128" w:lineRule="exact"/>
              <w:rPr>
                <w:sz w:val="20"/>
                <w:szCs w:val="20"/>
                <w:color w:val="auto"/>
              </w:rPr>
            </w:pPr>
            <w:r>
              <w:rPr>
                <w:rFonts w:ascii="Times New Roman" w:cs="Times New Roman" w:eastAsia="Times New Roman" w:hAnsi="Times New Roman"/>
                <w:sz w:val="12"/>
                <w:szCs w:val="12"/>
                <w:b w:val="1"/>
                <w:bCs w:val="1"/>
                <w:color w:val="231F20"/>
              </w:rPr>
              <w:t>Total Investments</w:t>
            </w:r>
          </w:p>
        </w:tc>
        <w:tc>
          <w:tcPr>
            <w:tcW w:w="540" w:type="dxa"/>
            <w:vAlign w:val="bottom"/>
            <w:shd w:val="clear" w:color="auto" w:fill="CFEDF9"/>
          </w:tcPr>
          <w:p>
            <w:pPr>
              <w:spacing w:after="0"/>
              <w:rPr>
                <w:sz w:val="11"/>
                <w:szCs w:val="11"/>
                <w:color w:val="auto"/>
              </w:rPr>
            </w:pPr>
          </w:p>
        </w:tc>
        <w:tc>
          <w:tcPr>
            <w:tcW w:w="98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9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600" w:type="dxa"/>
            <w:vAlign w:val="bottom"/>
            <w:shd w:val="clear" w:color="auto" w:fill="CFEDF9"/>
          </w:tcPr>
          <w:p>
            <w:pPr>
              <w:spacing w:after="0"/>
              <w:rPr>
                <w:sz w:val="11"/>
                <w:szCs w:val="11"/>
                <w:color w:val="auto"/>
              </w:rPr>
            </w:pPr>
          </w:p>
        </w:tc>
        <w:tc>
          <w:tcPr>
            <w:tcW w:w="120" w:type="dxa"/>
            <w:vAlign w:val="bottom"/>
            <w:shd w:val="clear" w:color="auto" w:fill="CFEDF9"/>
          </w:tcPr>
          <w:p>
            <w:pPr>
              <w:spacing w:after="0"/>
              <w:rPr>
                <w:sz w:val="11"/>
                <w:szCs w:val="11"/>
                <w:color w:val="auto"/>
              </w:rPr>
            </w:pPr>
          </w:p>
        </w:tc>
        <w:tc>
          <w:tcPr>
            <w:tcW w:w="8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3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360" w:type="dxa"/>
            <w:vAlign w:val="bottom"/>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60" w:type="dxa"/>
            <w:vAlign w:val="bottom"/>
            <w:shd w:val="clear" w:color="auto" w:fill="CFEDF9"/>
          </w:tcPr>
          <w:p>
            <w:pPr>
              <w:spacing w:after="0"/>
              <w:rPr>
                <w:sz w:val="11"/>
                <w:szCs w:val="11"/>
                <w:color w:val="auto"/>
              </w:rPr>
            </w:pPr>
          </w:p>
        </w:tc>
        <w:tc>
          <w:tcPr>
            <w:tcW w:w="140" w:type="dxa"/>
            <w:vAlign w:val="bottom"/>
            <w:shd w:val="clear" w:color="auto" w:fill="CFEDF9"/>
          </w:tcPr>
          <w:p>
            <w:pPr>
              <w:spacing w:after="0"/>
              <w:rPr>
                <w:sz w:val="11"/>
                <w:szCs w:val="11"/>
                <w:color w:val="auto"/>
              </w:rPr>
            </w:pPr>
          </w:p>
        </w:tc>
        <w:tc>
          <w:tcPr>
            <w:tcW w:w="2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120" w:type="dxa"/>
            <w:vAlign w:val="bottom"/>
            <w:tcBorders>
              <w:right w:val="single" w:sz="8" w:color="CFEDF9"/>
            </w:tcBorders>
            <w:shd w:val="clear" w:color="auto" w:fill="CFEDF9"/>
          </w:tcPr>
          <w:p>
            <w:pPr>
              <w:spacing w:after="0"/>
              <w:rPr>
                <w:sz w:val="11"/>
                <w:szCs w:val="11"/>
                <w:color w:val="auto"/>
              </w:rPr>
            </w:pPr>
          </w:p>
        </w:tc>
        <w:tc>
          <w:tcPr>
            <w:tcW w:w="340" w:type="dxa"/>
            <w:vAlign w:val="bottom"/>
            <w:shd w:val="clear" w:color="auto" w:fill="CFEDF9"/>
          </w:tcPr>
          <w:p>
            <w:pPr>
              <w:jc w:val="right"/>
              <w:ind w:right="212"/>
              <w:spacing w:after="0"/>
              <w:rPr>
                <w:sz w:val="20"/>
                <w:szCs w:val="20"/>
                <w:color w:val="auto"/>
              </w:rPr>
            </w:pPr>
            <w:r>
              <w:rPr>
                <w:rFonts w:ascii="Times New Roman" w:cs="Times New Roman" w:eastAsia="Times New Roman" w:hAnsi="Times New Roman"/>
                <w:sz w:val="5"/>
                <w:szCs w:val="5"/>
                <w:b w:val="1"/>
                <w:bCs w:val="1"/>
                <w:color w:val="231F20"/>
                <w:w w:val="78"/>
              </w:rPr>
              <w:t>$</w:t>
            </w:r>
          </w:p>
        </w:tc>
        <w:tc>
          <w:tcPr>
            <w:tcW w:w="20" w:type="dxa"/>
            <w:vAlign w:val="bottom"/>
            <w:shd w:val="clear" w:color="auto" w:fill="CFEDF9"/>
          </w:tcPr>
          <w:p>
            <w:pPr>
              <w:spacing w:after="0"/>
              <w:rPr>
                <w:sz w:val="11"/>
                <w:szCs w:val="11"/>
                <w:color w:val="auto"/>
              </w:rPr>
            </w:pPr>
          </w:p>
        </w:tc>
        <w:tc>
          <w:tcPr>
            <w:tcW w:w="200" w:type="dxa"/>
            <w:vAlign w:val="bottom"/>
            <w:shd w:val="clear" w:color="auto" w:fill="CFEDF9"/>
          </w:tcPr>
          <w:p>
            <w:pPr>
              <w:spacing w:after="0"/>
              <w:rPr>
                <w:sz w:val="11"/>
                <w:szCs w:val="11"/>
                <w:color w:val="auto"/>
              </w:rPr>
            </w:pPr>
          </w:p>
        </w:tc>
        <w:tc>
          <w:tcPr>
            <w:tcW w:w="54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231F20"/>
              </w:rPr>
              <w:t>2,774,726</w:t>
            </w:r>
          </w:p>
        </w:tc>
        <w:tc>
          <w:tcPr>
            <w:tcW w:w="20" w:type="dxa"/>
            <w:vAlign w:val="bottom"/>
            <w:shd w:val="clear" w:color="auto" w:fill="CFEDF9"/>
          </w:tcPr>
          <w:p>
            <w:pPr>
              <w:spacing w:after="0"/>
              <w:rPr>
                <w:sz w:val="11"/>
                <w:szCs w:val="11"/>
                <w:color w:val="auto"/>
              </w:rPr>
            </w:pPr>
          </w:p>
        </w:tc>
        <w:tc>
          <w:tcPr>
            <w:tcW w:w="180" w:type="dxa"/>
            <w:vAlign w:val="bottom"/>
            <w:shd w:val="clear" w:color="auto" w:fill="CFEDF9"/>
          </w:tcPr>
          <w:p>
            <w:pPr>
              <w:spacing w:after="0"/>
              <w:rPr>
                <w:sz w:val="11"/>
                <w:szCs w:val="11"/>
                <w:color w:val="auto"/>
              </w:rPr>
            </w:pPr>
          </w:p>
        </w:tc>
        <w:tc>
          <w:tcPr>
            <w:tcW w:w="160" w:type="dxa"/>
            <w:vAlign w:val="bottom"/>
            <w:shd w:val="clear" w:color="auto" w:fill="CFEDF9"/>
          </w:tcPr>
          <w:p>
            <w:pPr>
              <w:jc w:val="right"/>
              <w:ind w:right="43"/>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20" w:type="dxa"/>
            <w:vAlign w:val="bottom"/>
            <w:shd w:val="clear" w:color="auto" w:fill="CFEDF9"/>
          </w:tcPr>
          <w:p>
            <w:pPr>
              <w:spacing w:after="0"/>
              <w:rPr>
                <w:sz w:val="11"/>
                <w:szCs w:val="11"/>
                <w:color w:val="auto"/>
              </w:rPr>
            </w:pPr>
          </w:p>
        </w:tc>
        <w:tc>
          <w:tcPr>
            <w:tcW w:w="100" w:type="dxa"/>
            <w:vAlign w:val="bottom"/>
            <w:shd w:val="clear" w:color="auto" w:fill="CFEDF9"/>
          </w:tcPr>
          <w:p>
            <w:pPr>
              <w:spacing w:after="0"/>
              <w:rPr>
                <w:sz w:val="11"/>
                <w:szCs w:val="11"/>
                <w:color w:val="auto"/>
              </w:rPr>
            </w:pPr>
          </w:p>
        </w:tc>
        <w:tc>
          <w:tcPr>
            <w:tcW w:w="600" w:type="dxa"/>
            <w:vAlign w:val="bottom"/>
            <w:gridSpan w:val="2"/>
            <w:shd w:val="clear" w:color="auto" w:fill="CFEDF9"/>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231F20"/>
              </w:rPr>
              <w:t>2,787,925</w:t>
            </w:r>
          </w:p>
        </w:tc>
        <w:tc>
          <w:tcPr>
            <w:tcW w:w="20" w:type="dxa"/>
            <w:vAlign w:val="bottom"/>
            <w:shd w:val="clear" w:color="auto" w:fill="CFEDF9"/>
          </w:tcPr>
          <w:p>
            <w:pPr>
              <w:spacing w:after="0"/>
              <w:rPr>
                <w:sz w:val="11"/>
                <w:szCs w:val="11"/>
                <w:color w:val="auto"/>
              </w:rPr>
            </w:pPr>
          </w:p>
        </w:tc>
        <w:tc>
          <w:tcPr>
            <w:tcW w:w="200" w:type="dxa"/>
            <w:vAlign w:val="bottom"/>
            <w:tcBorders>
              <w:right w:val="single" w:sz="8" w:color="CFEDF9"/>
            </w:tcBorders>
            <w:shd w:val="clear" w:color="auto" w:fill="CFEDF9"/>
          </w:tcPr>
          <w:p>
            <w:pPr>
              <w:spacing w:after="0"/>
              <w:rPr>
                <w:sz w:val="11"/>
                <w:szCs w:val="11"/>
                <w:color w:val="auto"/>
              </w:rPr>
            </w:pPr>
          </w:p>
        </w:tc>
        <w:tc>
          <w:tcPr>
            <w:tcW w:w="94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231F20"/>
              </w:rPr>
              <w:t>204.9%</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3420" w:type="dxa"/>
            <w:vAlign w:val="bottom"/>
            <w:tcBorders>
              <w:bottom w:val="single" w:sz="8" w:color="231F20"/>
            </w:tcBorders>
            <w:gridSpan w:val="20"/>
          </w:tcPr>
          <w:p>
            <w:pPr>
              <w:jc w:val="right"/>
              <w:spacing w:after="0"/>
              <w:rPr>
                <w:sz w:val="20"/>
                <w:szCs w:val="20"/>
                <w:color w:val="auto"/>
              </w:rPr>
            </w:pPr>
            <w:r>
              <w:rPr>
                <w:rFonts w:ascii="Times New Roman" w:cs="Times New Roman" w:eastAsia="Times New Roman" w:hAnsi="Times New Roman"/>
                <w:sz w:val="16"/>
                <w:szCs w:val="16"/>
                <w:b w:val="1"/>
                <w:bCs w:val="1"/>
                <w:color w:val="231F20"/>
              </w:rPr>
              <w:t>Interest Rate Swaps as of December 31, 2022</w:t>
            </w:r>
          </w:p>
        </w:tc>
        <w:tc>
          <w:tcPr>
            <w:tcW w:w="4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8"/>
              </w:rPr>
              <w:t>Company</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Maturity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231F20"/>
              </w:rPr>
              <w:t>Notional</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5"/>
          </w:tcPr>
          <w:p>
            <w:pPr>
              <w:jc w:val="center"/>
              <w:ind w:right="383"/>
              <w:spacing w:after="0" w:line="155" w:lineRule="exact"/>
              <w:rPr>
                <w:sz w:val="20"/>
                <w:szCs w:val="20"/>
                <w:color w:val="auto"/>
              </w:rPr>
            </w:pPr>
            <w:r>
              <w:rPr>
                <w:rFonts w:ascii="Times New Roman" w:cs="Times New Roman" w:eastAsia="Times New Roman" w:hAnsi="Times New Roman"/>
                <w:sz w:val="16"/>
                <w:szCs w:val="16"/>
                <w:b w:val="1"/>
                <w:bCs w:val="1"/>
                <w:color w:val="231F20"/>
              </w:rPr>
              <w:t>Fair</w:t>
            </w:r>
          </w:p>
        </w:tc>
        <w:tc>
          <w:tcPr>
            <w:tcW w:w="120" w:type="dxa"/>
            <w:vAlign w:val="bottom"/>
          </w:tcPr>
          <w:p>
            <w:pPr>
              <w:spacing w:after="0"/>
              <w:rPr>
                <w:sz w:val="13"/>
                <w:szCs w:val="13"/>
                <w:color w:val="auto"/>
              </w:rPr>
            </w:pPr>
          </w:p>
        </w:tc>
        <w:tc>
          <w:tcPr>
            <w:tcW w:w="900" w:type="dxa"/>
            <w:vAlign w:val="bottom"/>
            <w:gridSpan w:val="6"/>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231F20"/>
                <w:w w:val="97"/>
              </w:rPr>
              <w:t>Upfront</w:t>
            </w:r>
          </w:p>
        </w:tc>
        <w:tc>
          <w:tcPr>
            <w:tcW w:w="200" w:type="dxa"/>
            <w:vAlign w:val="bottom"/>
          </w:tcPr>
          <w:p>
            <w:pPr>
              <w:spacing w:after="0"/>
              <w:rPr>
                <w:sz w:val="13"/>
                <w:szCs w:val="13"/>
                <w:color w:val="auto"/>
              </w:rPr>
            </w:pPr>
          </w:p>
        </w:tc>
        <w:tc>
          <w:tcPr>
            <w:tcW w:w="146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Change in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9"/>
              </w:rPr>
              <w:t>Company Pays</w:t>
            </w:r>
          </w:p>
        </w:tc>
        <w:tc>
          <w:tcPr>
            <w:tcW w:w="1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6"/>
          </w:tcPr>
          <w:p>
            <w:pPr>
              <w:jc w:val="center"/>
              <w:ind w:right="143"/>
              <w:spacing w:after="0"/>
              <w:rPr>
                <w:sz w:val="20"/>
                <w:szCs w:val="20"/>
                <w:color w:val="auto"/>
              </w:rPr>
            </w:pPr>
            <w:r>
              <w:rPr>
                <w:rFonts w:ascii="Times New Roman" w:cs="Times New Roman" w:eastAsia="Times New Roman" w:hAnsi="Times New Roman"/>
                <w:sz w:val="16"/>
                <w:szCs w:val="16"/>
                <w:b w:val="1"/>
                <w:bCs w:val="1"/>
                <w:color w:val="231F20"/>
              </w:rPr>
              <w:t>Market</w:t>
            </w:r>
          </w:p>
        </w:tc>
        <w:tc>
          <w:tcPr>
            <w:tcW w:w="1020" w:type="dxa"/>
            <w:vAlign w:val="bottom"/>
            <w:gridSpan w:val="7"/>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8"/>
              </w:rPr>
              <w:t>Payments /</w:t>
            </w:r>
          </w:p>
        </w:tc>
        <w:tc>
          <w:tcPr>
            <w:tcW w:w="200" w:type="dxa"/>
            <w:vAlign w:val="bottom"/>
          </w:tcPr>
          <w:p>
            <w:pPr>
              <w:spacing w:after="0"/>
              <w:rPr>
                <w:sz w:val="15"/>
                <w:szCs w:val="15"/>
                <w:color w:val="auto"/>
              </w:rPr>
            </w:pPr>
          </w:p>
        </w:tc>
        <w:tc>
          <w:tcPr>
            <w:tcW w:w="15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9"/>
              </w:rPr>
              <w:t>Unrealized Gains</w:t>
            </w:r>
          </w:p>
        </w:tc>
        <w:tc>
          <w:tcPr>
            <w:tcW w:w="0" w:type="dxa"/>
            <w:vAlign w:val="bottom"/>
          </w:tcPr>
          <w:p>
            <w:pPr>
              <w:spacing w:after="0"/>
              <w:rPr>
                <w:sz w:val="1"/>
                <w:szCs w:val="1"/>
                <w:color w:val="auto"/>
              </w:rPr>
            </w:pPr>
          </w:p>
        </w:tc>
      </w:tr>
      <w:tr>
        <w:trPr>
          <w:trHeight w:val="203"/>
        </w:trPr>
        <w:tc>
          <w:tcPr>
            <w:tcW w:w="1540" w:type="dxa"/>
            <w:vAlign w:val="bottom"/>
            <w:tcBorders>
              <w:bottom w:val="single" w:sz="8" w:color="CFEDF9"/>
            </w:tcBorders>
          </w:tcPr>
          <w:p>
            <w:pPr>
              <w:spacing w:after="0"/>
              <w:rPr>
                <w:sz w:val="17"/>
                <w:szCs w:val="17"/>
                <w:color w:val="auto"/>
              </w:rPr>
            </w:pPr>
          </w:p>
        </w:tc>
        <w:tc>
          <w:tcPr>
            <w:tcW w:w="100" w:type="dxa"/>
            <w:vAlign w:val="bottom"/>
            <w:tcBorders>
              <w:bottom w:val="single" w:sz="8" w:color="CFEDF9"/>
            </w:tcBorders>
          </w:tcPr>
          <w:p>
            <w:pPr>
              <w:spacing w:after="0"/>
              <w:rPr>
                <w:sz w:val="17"/>
                <w:szCs w:val="17"/>
                <w:color w:val="auto"/>
              </w:rPr>
            </w:pPr>
          </w:p>
        </w:tc>
        <w:tc>
          <w:tcPr>
            <w:tcW w:w="540" w:type="dxa"/>
            <w:vAlign w:val="bottom"/>
            <w:tcBorders>
              <w:bottom w:val="single" w:sz="8" w:color="CFEDF9"/>
            </w:tcBorders>
          </w:tcPr>
          <w:p>
            <w:pPr>
              <w:spacing w:after="0"/>
              <w:rPr>
                <w:sz w:val="17"/>
                <w:szCs w:val="17"/>
                <w:color w:val="auto"/>
              </w:rPr>
            </w:pPr>
          </w:p>
        </w:tc>
        <w:tc>
          <w:tcPr>
            <w:tcW w:w="9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Receives</w:t>
            </w:r>
          </w:p>
        </w:tc>
        <w:tc>
          <w:tcPr>
            <w:tcW w:w="120" w:type="dxa"/>
            <w:vAlign w:val="bottom"/>
            <w:tcBorders>
              <w:bottom w:val="single" w:sz="8" w:color="CFEDF9"/>
            </w:tcBorders>
          </w:tcPr>
          <w:p>
            <w:pPr>
              <w:spacing w:after="0"/>
              <w:rPr>
                <w:sz w:val="17"/>
                <w:szCs w:val="17"/>
                <w:color w:val="auto"/>
              </w:rPr>
            </w:pPr>
          </w:p>
        </w:tc>
        <w:tc>
          <w:tcPr>
            <w:tcW w:w="1080" w:type="dxa"/>
            <w:vAlign w:val="bottom"/>
            <w:tcBorders>
              <w:bottom w:val="single" w:sz="8" w:color="231F20"/>
            </w:tcBorders>
            <w:gridSpan w:val="3"/>
            <w:vMerge w:val="continue"/>
          </w:tcPr>
          <w:p>
            <w:pPr>
              <w:spacing w:after="0"/>
              <w:rPr>
                <w:sz w:val="17"/>
                <w:szCs w:val="17"/>
                <w:color w:val="auto"/>
              </w:rPr>
            </w:pPr>
          </w:p>
        </w:tc>
        <w:tc>
          <w:tcPr>
            <w:tcW w:w="120" w:type="dxa"/>
            <w:vAlign w:val="bottom"/>
            <w:tcBorders>
              <w:bottom w:val="single" w:sz="8" w:color="CFEDF9"/>
            </w:tcBorders>
          </w:tcPr>
          <w:p>
            <w:pPr>
              <w:spacing w:after="0"/>
              <w:rPr>
                <w:sz w:val="17"/>
                <w:szCs w:val="17"/>
                <w:color w:val="auto"/>
              </w:rPr>
            </w:pPr>
          </w:p>
        </w:tc>
        <w:tc>
          <w:tcPr>
            <w:tcW w:w="80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Date</w:t>
            </w:r>
          </w:p>
        </w:tc>
        <w:tc>
          <w:tcPr>
            <w:tcW w:w="60" w:type="dxa"/>
            <w:vAlign w:val="bottom"/>
            <w:tcBorders>
              <w:bottom w:val="single" w:sz="8" w:color="231F20"/>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200" w:type="dxa"/>
            <w:vAlign w:val="bottom"/>
            <w:tcBorders>
              <w:bottom w:val="single" w:sz="8" w:color="CFEDF9"/>
            </w:tcBorders>
          </w:tcPr>
          <w:p>
            <w:pPr>
              <w:spacing w:after="0"/>
              <w:rPr>
                <w:sz w:val="17"/>
                <w:szCs w:val="17"/>
                <w:color w:val="auto"/>
              </w:rPr>
            </w:pPr>
          </w:p>
        </w:tc>
        <w:tc>
          <w:tcPr>
            <w:tcW w:w="1000" w:type="dxa"/>
            <w:vAlign w:val="bottom"/>
            <w:tcBorders>
              <w:bottom w:val="single" w:sz="8" w:color="231F20"/>
            </w:tcBorders>
            <w:gridSpan w:val="4"/>
          </w:tcPr>
          <w:p>
            <w:pPr>
              <w:jc w:val="right"/>
              <w:ind w:right="124"/>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20" w:type="dxa"/>
            <w:vAlign w:val="bottom"/>
          </w:tcPr>
          <w:p>
            <w:pPr>
              <w:spacing w:after="0"/>
              <w:rPr>
                <w:sz w:val="17"/>
                <w:szCs w:val="17"/>
                <w:color w:val="auto"/>
              </w:rPr>
            </w:pPr>
          </w:p>
        </w:tc>
        <w:tc>
          <w:tcPr>
            <w:tcW w:w="60" w:type="dxa"/>
            <w:vAlign w:val="bottom"/>
            <w:tcBorders>
              <w:bottom w:val="single" w:sz="8" w:color="CFEDF9"/>
            </w:tcBorders>
          </w:tcPr>
          <w:p>
            <w:pPr>
              <w:spacing w:after="0"/>
              <w:rPr>
                <w:sz w:val="17"/>
                <w:szCs w:val="17"/>
                <w:color w:val="auto"/>
              </w:rPr>
            </w:pPr>
          </w:p>
        </w:tc>
        <w:tc>
          <w:tcPr>
            <w:tcW w:w="140" w:type="dxa"/>
            <w:vAlign w:val="bottom"/>
            <w:tcBorders>
              <w:bottom w:val="single" w:sz="8" w:color="CFEDF9"/>
            </w:tcBorders>
          </w:tcPr>
          <w:p>
            <w:pPr>
              <w:spacing w:after="0"/>
              <w:rPr>
                <w:sz w:val="17"/>
                <w:szCs w:val="17"/>
                <w:color w:val="auto"/>
              </w:rPr>
            </w:pPr>
          </w:p>
        </w:tc>
        <w:tc>
          <w:tcPr>
            <w:tcW w:w="780" w:type="dxa"/>
            <w:vAlign w:val="bottom"/>
            <w:tcBorders>
              <w:bottom w:val="single" w:sz="8" w:color="231F20"/>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20" w:type="dxa"/>
            <w:vAlign w:val="bottom"/>
          </w:tcPr>
          <w:p>
            <w:pPr>
              <w:spacing w:after="0"/>
              <w:rPr>
                <w:sz w:val="17"/>
                <w:szCs w:val="17"/>
                <w:color w:val="auto"/>
              </w:rPr>
            </w:pPr>
          </w:p>
        </w:tc>
        <w:tc>
          <w:tcPr>
            <w:tcW w:w="20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gridSpan w:val="4"/>
          </w:tcPr>
          <w:p>
            <w:pPr>
              <w:jc w:val="center"/>
              <w:ind w:right="63"/>
              <w:spacing w:after="0"/>
              <w:rPr>
                <w:sz w:val="20"/>
                <w:szCs w:val="20"/>
                <w:color w:val="auto"/>
              </w:rPr>
            </w:pPr>
            <w:r>
              <w:rPr>
                <w:rFonts w:ascii="Times New Roman" w:cs="Times New Roman" w:eastAsia="Times New Roman" w:hAnsi="Times New Roman"/>
                <w:sz w:val="16"/>
                <w:szCs w:val="16"/>
                <w:b w:val="1"/>
                <w:bCs w:val="1"/>
                <w:color w:val="231F20"/>
              </w:rPr>
              <w:t>Receipts</w:t>
            </w:r>
          </w:p>
        </w:tc>
        <w:tc>
          <w:tcPr>
            <w:tcW w:w="20" w:type="dxa"/>
            <w:vAlign w:val="bottom"/>
          </w:tcPr>
          <w:p>
            <w:pPr>
              <w:spacing w:after="0"/>
              <w:rPr>
                <w:sz w:val="17"/>
                <w:szCs w:val="17"/>
                <w:color w:val="auto"/>
              </w:rPr>
            </w:pPr>
          </w:p>
        </w:tc>
        <w:tc>
          <w:tcPr>
            <w:tcW w:w="100" w:type="dxa"/>
            <w:vAlign w:val="bottom"/>
            <w:tcBorders>
              <w:bottom w:val="single" w:sz="8" w:color="CFEDF9"/>
            </w:tcBorders>
          </w:tcPr>
          <w:p>
            <w:pPr>
              <w:spacing w:after="0"/>
              <w:rPr>
                <w:sz w:val="17"/>
                <w:szCs w:val="17"/>
                <w:color w:val="auto"/>
              </w:rPr>
            </w:pPr>
          </w:p>
        </w:tc>
        <w:tc>
          <w:tcPr>
            <w:tcW w:w="200" w:type="dxa"/>
            <w:vAlign w:val="bottom"/>
            <w:tcBorders>
              <w:bottom w:val="single" w:sz="8" w:color="CFEDF9"/>
            </w:tcBorders>
          </w:tcPr>
          <w:p>
            <w:pPr>
              <w:spacing w:after="0"/>
              <w:rPr>
                <w:sz w:val="17"/>
                <w:szCs w:val="17"/>
                <w:color w:val="auto"/>
              </w:rPr>
            </w:pPr>
          </w:p>
        </w:tc>
        <w:tc>
          <w:tcPr>
            <w:tcW w:w="40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gridSpan w:val="2"/>
          </w:tcPr>
          <w:p>
            <w:pPr>
              <w:jc w:val="center"/>
              <w:ind w:right="330"/>
              <w:spacing w:after="0"/>
              <w:rPr>
                <w:sz w:val="20"/>
                <w:szCs w:val="20"/>
                <w:color w:val="auto"/>
              </w:rPr>
            </w:pPr>
            <w:r>
              <w:rPr>
                <w:rFonts w:ascii="Times New Roman" w:cs="Times New Roman" w:eastAsia="Times New Roman" w:hAnsi="Times New Roman"/>
                <w:sz w:val="16"/>
                <w:szCs w:val="16"/>
                <w:b w:val="1"/>
                <w:bCs w:val="1"/>
                <w:color w:val="231F20"/>
                <w:w w:val="97"/>
              </w:rPr>
              <w:t>/ (Losses)</w:t>
            </w:r>
          </w:p>
        </w:tc>
        <w:tc>
          <w:tcPr>
            <w:tcW w:w="20" w:type="dxa"/>
            <w:vAlign w:val="bottom"/>
          </w:tcPr>
          <w:p>
            <w:pPr>
              <w:spacing w:after="0"/>
              <w:rPr>
                <w:sz w:val="17"/>
                <w:szCs w:val="17"/>
                <w:color w:val="auto"/>
              </w:rPr>
            </w:pPr>
          </w:p>
        </w:tc>
        <w:tc>
          <w:tcPr>
            <w:tcW w:w="100" w:type="dxa"/>
            <w:vAlign w:val="bottom"/>
            <w:tcBorders>
              <w:bottom w:val="single" w:sz="8" w:color="CFEDF9"/>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40" w:type="dxa"/>
            <w:vAlign w:val="bottom"/>
            <w:gridSpan w:val="2"/>
            <w:shd w:val="clear" w:color="auto" w:fill="CFEDF9"/>
          </w:tcPr>
          <w:p>
            <w:pPr>
              <w:spacing w:after="0" w:line="220" w:lineRule="exact"/>
              <w:rPr>
                <w:sz w:val="20"/>
                <w:szCs w:val="20"/>
                <w:color w:val="auto"/>
              </w:rPr>
            </w:pPr>
            <w:r>
              <w:rPr>
                <w:rFonts w:ascii="Times New Roman" w:cs="Times New Roman" w:eastAsia="Times New Roman" w:hAnsi="Times New Roman"/>
                <w:sz w:val="19"/>
                <w:szCs w:val="19"/>
                <w:color w:val="231F20"/>
              </w:rPr>
              <w:t xml:space="preserve">Interest rate swap </w:t>
            </w:r>
            <w:r>
              <w:rPr>
                <w:rFonts w:ascii="Times New Roman" w:cs="Times New Roman" w:eastAsia="Times New Roman" w:hAnsi="Times New Roman"/>
                <w:sz w:val="25"/>
                <w:szCs w:val="25"/>
                <w:color w:val="231F20"/>
                <w:vertAlign w:val="superscript"/>
              </w:rPr>
              <w:t>(a)</w:t>
            </w:r>
          </w:p>
        </w:tc>
        <w:tc>
          <w:tcPr>
            <w:tcW w:w="540" w:type="dxa"/>
            <w:vAlign w:val="bottom"/>
            <w:shd w:val="clear" w:color="auto" w:fill="CFEDF9"/>
          </w:tcPr>
          <w:p>
            <w:pPr>
              <w:spacing w:after="0"/>
              <w:rPr>
                <w:sz w:val="19"/>
                <w:szCs w:val="19"/>
                <w:color w:val="auto"/>
              </w:rPr>
            </w:pPr>
          </w:p>
        </w:tc>
        <w:tc>
          <w:tcPr>
            <w:tcW w:w="980" w:type="dxa"/>
            <w:vAlign w:val="bottom"/>
            <w:shd w:val="clear" w:color="auto" w:fill="CFEDF9"/>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6"/>
              </w:rPr>
              <w:t>4.50%</w:t>
            </w:r>
          </w:p>
        </w:tc>
        <w:tc>
          <w:tcPr>
            <w:tcW w:w="120" w:type="dxa"/>
            <w:vAlign w:val="bottom"/>
            <w:shd w:val="clear" w:color="auto" w:fill="CFEDF9"/>
          </w:tcPr>
          <w:p>
            <w:pPr>
              <w:spacing w:after="0"/>
              <w:rPr>
                <w:sz w:val="19"/>
                <w:szCs w:val="19"/>
                <w:color w:val="auto"/>
              </w:rPr>
            </w:pPr>
          </w:p>
        </w:tc>
        <w:tc>
          <w:tcPr>
            <w:tcW w:w="1080" w:type="dxa"/>
            <w:vAlign w:val="bottom"/>
            <w:gridSpan w:val="3"/>
            <w:shd w:val="clear" w:color="auto" w:fill="CFEDF9"/>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8"/>
              </w:rPr>
              <w:t>L + 1.99%</w:t>
            </w:r>
          </w:p>
        </w:tc>
        <w:tc>
          <w:tcPr>
            <w:tcW w:w="120" w:type="dxa"/>
            <w:vAlign w:val="bottom"/>
            <w:shd w:val="clear" w:color="auto" w:fill="CFEDF9"/>
          </w:tcPr>
          <w:p>
            <w:pPr>
              <w:spacing w:after="0"/>
              <w:rPr>
                <w:sz w:val="19"/>
                <w:szCs w:val="19"/>
                <w:color w:val="auto"/>
              </w:rPr>
            </w:pPr>
          </w:p>
        </w:tc>
        <w:tc>
          <w:tcPr>
            <w:tcW w:w="860" w:type="dxa"/>
            <w:vAlign w:val="bottom"/>
            <w:gridSpan w:val="4"/>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1/22/2023</w:t>
            </w: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320" w:type="dxa"/>
            <w:vAlign w:val="bottom"/>
            <w:shd w:val="clear" w:color="auto" w:fill="CFEDF9"/>
          </w:tcPr>
          <w:p>
            <w:pPr>
              <w:jc w:val="center"/>
              <w:ind w:right="130"/>
              <w:spacing w:after="0" w:line="220" w:lineRule="exact"/>
              <w:rPr>
                <w:sz w:val="20"/>
                <w:szCs w:val="20"/>
                <w:color w:val="auto"/>
              </w:rPr>
            </w:pPr>
            <w:r>
              <w:rPr>
                <w:rFonts w:ascii="Times New Roman" w:cs="Times New Roman" w:eastAsia="Times New Roman" w:hAnsi="Times New Roman"/>
                <w:sz w:val="20"/>
                <w:szCs w:val="20"/>
                <w:color w:val="231F20"/>
                <w:w w:val="99"/>
                <w:shd w:val="clear" w:color="auto" w:fill="CFEDF9"/>
              </w:rPr>
              <w:t>$</w:t>
            </w:r>
          </w:p>
        </w:tc>
        <w:tc>
          <w:tcPr>
            <w:tcW w:w="700" w:type="dxa"/>
            <w:vAlign w:val="bottom"/>
            <w:gridSpan w:val="4"/>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150,000</w:t>
            </w:r>
          </w:p>
        </w:tc>
        <w:tc>
          <w:tcPr>
            <w:tcW w:w="6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w:t>
            </w:r>
          </w:p>
        </w:tc>
        <w:tc>
          <w:tcPr>
            <w:tcW w:w="100" w:type="dxa"/>
            <w:vAlign w:val="bottom"/>
            <w:shd w:val="clear" w:color="auto" w:fill="CFEDF9"/>
          </w:tcPr>
          <w:p>
            <w:pPr>
              <w:spacing w:after="0"/>
              <w:rPr>
                <w:sz w:val="19"/>
                <w:szCs w:val="19"/>
                <w:color w:val="auto"/>
              </w:rPr>
            </w:pPr>
          </w:p>
        </w:tc>
        <w:tc>
          <w:tcPr>
            <w:tcW w:w="480" w:type="dxa"/>
            <w:vAlign w:val="bottom"/>
            <w:gridSpan w:val="3"/>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(231</w:t>
            </w:r>
          </w:p>
        </w:tc>
        <w:tc>
          <w:tcPr>
            <w:tcW w:w="200" w:type="dxa"/>
            <w:vAlign w:val="bottom"/>
            <w:shd w:val="clear" w:color="auto" w:fill="CFEDF9"/>
          </w:tcPr>
          <w:p>
            <w:pPr>
              <w:jc w:val="right"/>
              <w:ind w:right="83"/>
              <w:spacing w:after="0"/>
              <w:rPr>
                <w:sz w:val="20"/>
                <w:szCs w:val="20"/>
                <w:color w:val="auto"/>
              </w:rPr>
            </w:pPr>
            <w:r>
              <w:rPr>
                <w:rFonts w:ascii="Times New Roman" w:cs="Times New Roman" w:eastAsia="Times New Roman" w:hAnsi="Times New Roman"/>
                <w:sz w:val="16"/>
                <w:szCs w:val="16"/>
                <w:color w:val="231F20"/>
                <w:w w:val="74"/>
              </w:rPr>
              <w:t>)</w:t>
            </w:r>
          </w:p>
        </w:tc>
        <w:tc>
          <w:tcPr>
            <w:tcW w:w="1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60" w:type="dxa"/>
            <w:vAlign w:val="bottom"/>
            <w:gridSpan w:val="3"/>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400" w:type="dxa"/>
            <w:vAlign w:val="bottom"/>
            <w:shd w:val="clear" w:color="auto" w:fill="CFEDF9"/>
          </w:tcPr>
          <w:p>
            <w:pPr>
              <w:jc w:val="right"/>
              <w:ind w:right="21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20" w:type="dxa"/>
            <w:vAlign w:val="bottom"/>
            <w:shd w:val="clear" w:color="auto" w:fill="CFEDF9"/>
          </w:tcPr>
          <w:p>
            <w:pPr>
              <w:spacing w:after="0"/>
              <w:rPr>
                <w:sz w:val="19"/>
                <w:szCs w:val="19"/>
                <w:color w:val="auto"/>
              </w:rPr>
            </w:pPr>
          </w:p>
        </w:tc>
        <w:tc>
          <w:tcPr>
            <w:tcW w:w="1040" w:type="dxa"/>
            <w:vAlign w:val="bottom"/>
            <w:gridSpan w:val="3"/>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(3,292)</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(a)(e)</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L + 2.28%</w:t>
            </w:r>
          </w:p>
        </w:tc>
        <w:tc>
          <w:tcPr>
            <w:tcW w:w="120" w:type="dxa"/>
            <w:vAlign w:val="bottom"/>
          </w:tcPr>
          <w:p>
            <w:pPr>
              <w:spacing w:after="0"/>
              <w:rPr>
                <w:sz w:val="19"/>
                <w:szCs w:val="19"/>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20"/>
                <w:szCs w:val="20"/>
                <w:color w:val="231F20"/>
              </w:rPr>
              <w:t>3.875%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2,500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3"/>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(a)(b)</w:t>
            </w:r>
          </w:p>
        </w:tc>
        <w:tc>
          <w:tcPr>
            <w:tcW w:w="98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6"/>
              </w:rPr>
              <w:t>4.50%</w:t>
            </w:r>
          </w:p>
        </w:tc>
        <w:tc>
          <w:tcPr>
            <w:tcW w:w="120" w:type="dxa"/>
            <w:vAlign w:val="bottom"/>
            <w:shd w:val="clear" w:color="auto" w:fill="CFEDF9"/>
          </w:tcPr>
          <w:p>
            <w:pPr>
              <w:spacing w:after="0"/>
              <w:rPr>
                <w:sz w:val="19"/>
                <w:szCs w:val="19"/>
                <w:color w:val="auto"/>
              </w:rPr>
            </w:pPr>
          </w:p>
        </w:tc>
        <w:tc>
          <w:tcPr>
            <w:tcW w:w="1080" w:type="dxa"/>
            <w:vAlign w:val="bottom"/>
            <w:gridSpan w:val="3"/>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8"/>
              </w:rPr>
              <w:t>L + 2.37%</w:t>
            </w:r>
          </w:p>
        </w:tc>
        <w:tc>
          <w:tcPr>
            <w:tcW w:w="1000" w:type="dxa"/>
            <w:vAlign w:val="bottom"/>
            <w:gridSpan w:val="6"/>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8/1/2022</w:t>
            </w:r>
          </w:p>
        </w:tc>
        <w:tc>
          <w:tcPr>
            <w:tcW w:w="200" w:type="dxa"/>
            <w:vAlign w:val="bottom"/>
            <w:shd w:val="clear" w:color="auto" w:fill="CFEDF9"/>
          </w:tcPr>
          <w:p>
            <w:pPr>
              <w:spacing w:after="0"/>
              <w:rPr>
                <w:sz w:val="19"/>
                <w:szCs w:val="19"/>
                <w:color w:val="auto"/>
              </w:rPr>
            </w:pPr>
          </w:p>
        </w:tc>
        <w:tc>
          <w:tcPr>
            <w:tcW w:w="3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4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20" w:type="dxa"/>
            <w:vAlign w:val="bottom"/>
            <w:tcBorders>
              <w:right w:val="single" w:sz="8" w:color="CFEDF9"/>
            </w:tcBorders>
            <w:shd w:val="clear" w:color="auto" w:fill="CFEDF9"/>
          </w:tcPr>
          <w:p>
            <w:pPr>
              <w:spacing w:after="0"/>
              <w:rPr>
                <w:sz w:val="19"/>
                <w:szCs w:val="19"/>
                <w:color w:val="auto"/>
              </w:rPr>
            </w:pPr>
          </w:p>
        </w:tc>
        <w:tc>
          <w:tcPr>
            <w:tcW w:w="560" w:type="dxa"/>
            <w:vAlign w:val="bottom"/>
            <w:gridSpan w:val="3"/>
            <w:shd w:val="clear" w:color="auto" w:fill="CFEDF9"/>
          </w:tcPr>
          <w:p>
            <w:pPr>
              <w:jc w:val="right"/>
              <w:ind w:right="16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CFEDF9"/>
          </w:tcPr>
          <w:p>
            <w:pPr>
              <w:spacing w:after="0"/>
              <w:rPr>
                <w:sz w:val="19"/>
                <w:szCs w:val="19"/>
                <w:color w:val="auto"/>
              </w:rPr>
            </w:pPr>
          </w:p>
        </w:tc>
        <w:tc>
          <w:tcPr>
            <w:tcW w:w="4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gridSpan w:val="4"/>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140" w:type="dxa"/>
            <w:vAlign w:val="bottom"/>
            <w:gridSpan w:val="4"/>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(1,192)</w:t>
            </w: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(a)(b)</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4.50%</w:t>
            </w:r>
          </w:p>
        </w:tc>
        <w:tc>
          <w:tcPr>
            <w:tcW w:w="1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w w:val="98"/>
              </w:rPr>
              <w:t>L + 1.59%</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231F20"/>
              </w:rPr>
              <w:t>8/1/2022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(751)</w:t>
            </w:r>
          </w:p>
        </w:tc>
        <w:tc>
          <w:tcPr>
            <w:tcW w:w="0" w:type="dxa"/>
            <w:vAlign w:val="bottom"/>
          </w:tcPr>
          <w:p>
            <w:pPr>
              <w:spacing w:after="0"/>
              <w:rPr>
                <w:sz w:val="1"/>
                <w:szCs w:val="1"/>
                <w:color w:val="auto"/>
              </w:rPr>
            </w:pPr>
          </w:p>
        </w:tc>
      </w:tr>
      <w:tr>
        <w:trPr>
          <w:trHeight w:val="230"/>
        </w:trPr>
        <w:tc>
          <w:tcPr>
            <w:tcW w:w="2180" w:type="dxa"/>
            <w:vAlign w:val="bottom"/>
            <w:gridSpan w:val="3"/>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(a)(b)</w:t>
            </w:r>
          </w:p>
        </w:tc>
        <w:tc>
          <w:tcPr>
            <w:tcW w:w="98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6"/>
              </w:rPr>
              <w:t>4.50%</w:t>
            </w:r>
          </w:p>
        </w:tc>
        <w:tc>
          <w:tcPr>
            <w:tcW w:w="120" w:type="dxa"/>
            <w:vAlign w:val="bottom"/>
            <w:shd w:val="clear" w:color="auto" w:fill="CFEDF9"/>
          </w:tcPr>
          <w:p>
            <w:pPr>
              <w:spacing w:after="0"/>
              <w:rPr>
                <w:sz w:val="19"/>
                <w:szCs w:val="19"/>
                <w:color w:val="auto"/>
              </w:rPr>
            </w:pPr>
          </w:p>
        </w:tc>
        <w:tc>
          <w:tcPr>
            <w:tcW w:w="1080" w:type="dxa"/>
            <w:vAlign w:val="bottom"/>
            <w:gridSpan w:val="3"/>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8"/>
              </w:rPr>
              <w:t>L + 1.60%</w:t>
            </w:r>
          </w:p>
        </w:tc>
        <w:tc>
          <w:tcPr>
            <w:tcW w:w="1000" w:type="dxa"/>
            <w:vAlign w:val="bottom"/>
            <w:gridSpan w:val="6"/>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8/1/2022</w:t>
            </w:r>
          </w:p>
        </w:tc>
        <w:tc>
          <w:tcPr>
            <w:tcW w:w="200" w:type="dxa"/>
            <w:vAlign w:val="bottom"/>
            <w:shd w:val="clear" w:color="auto" w:fill="CFEDF9"/>
          </w:tcPr>
          <w:p>
            <w:pPr>
              <w:spacing w:after="0"/>
              <w:rPr>
                <w:sz w:val="19"/>
                <w:szCs w:val="19"/>
                <w:color w:val="auto"/>
              </w:rPr>
            </w:pPr>
          </w:p>
        </w:tc>
        <w:tc>
          <w:tcPr>
            <w:tcW w:w="3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4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20" w:type="dxa"/>
            <w:vAlign w:val="bottom"/>
            <w:tcBorders>
              <w:right w:val="single" w:sz="8" w:color="CFEDF9"/>
            </w:tcBorders>
            <w:shd w:val="clear" w:color="auto" w:fill="CFEDF9"/>
          </w:tcPr>
          <w:p>
            <w:pPr>
              <w:spacing w:after="0"/>
              <w:rPr>
                <w:sz w:val="19"/>
                <w:szCs w:val="19"/>
                <w:color w:val="auto"/>
              </w:rPr>
            </w:pPr>
          </w:p>
        </w:tc>
        <w:tc>
          <w:tcPr>
            <w:tcW w:w="560" w:type="dxa"/>
            <w:vAlign w:val="bottom"/>
            <w:gridSpan w:val="3"/>
            <w:shd w:val="clear" w:color="auto" w:fill="CFEDF9"/>
          </w:tcPr>
          <w:p>
            <w:pPr>
              <w:jc w:val="right"/>
              <w:ind w:right="16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CFEDF9"/>
          </w:tcPr>
          <w:p>
            <w:pPr>
              <w:spacing w:after="0"/>
              <w:rPr>
                <w:sz w:val="19"/>
                <w:szCs w:val="19"/>
                <w:color w:val="auto"/>
              </w:rPr>
            </w:pPr>
          </w:p>
        </w:tc>
        <w:tc>
          <w:tcPr>
            <w:tcW w:w="4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gridSpan w:val="4"/>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140" w:type="dxa"/>
            <w:vAlign w:val="bottom"/>
            <w:gridSpan w:val="4"/>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(112)</w:t>
            </w: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(a)(b)</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231F20"/>
              </w:rPr>
              <w:t>L + 2.11%</w:t>
            </w:r>
          </w:p>
        </w:tc>
        <w:tc>
          <w:tcPr>
            <w:tcW w:w="900" w:type="dxa"/>
            <w:vAlign w:val="bottom"/>
          </w:tcPr>
          <w:p>
            <w:pPr>
              <w:jc w:val="center"/>
              <w:ind w:left="82"/>
              <w:spacing w:after="0"/>
              <w:rPr>
                <w:sz w:val="20"/>
                <w:szCs w:val="20"/>
                <w:color w:val="auto"/>
              </w:rPr>
            </w:pPr>
            <w:r>
              <w:rPr>
                <w:rFonts w:ascii="Times New Roman" w:cs="Times New Roman" w:eastAsia="Times New Roman" w:hAnsi="Times New Roman"/>
                <w:sz w:val="20"/>
                <w:szCs w:val="20"/>
                <w:color w:val="231F20"/>
              </w:rPr>
              <w:t>4.50%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231F20"/>
              </w:rPr>
              <w:t>8/1/2022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900" w:type="dxa"/>
            <w:vAlign w:val="bottom"/>
            <w:gridSpan w:val="6"/>
          </w:tcPr>
          <w:p>
            <w:pPr>
              <w:jc w:val="right"/>
              <w:ind w:right="120"/>
              <w:spacing w:after="0"/>
              <w:rPr>
                <w:sz w:val="20"/>
                <w:szCs w:val="20"/>
                <w:color w:val="auto"/>
              </w:rPr>
            </w:pPr>
            <w:r>
              <w:rPr>
                <w:rFonts w:ascii="Times New Roman" w:cs="Times New Roman" w:eastAsia="Times New Roman" w:hAnsi="Times New Roman"/>
                <w:sz w:val="20"/>
                <w:szCs w:val="20"/>
                <w:color w:val="231F20"/>
              </w:rPr>
              <w:t>1,252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(924)</w:t>
            </w:r>
          </w:p>
        </w:tc>
        <w:tc>
          <w:tcPr>
            <w:tcW w:w="0" w:type="dxa"/>
            <w:vAlign w:val="bottom"/>
          </w:tcPr>
          <w:p>
            <w:pPr>
              <w:spacing w:after="0"/>
              <w:rPr>
                <w:sz w:val="1"/>
                <w:szCs w:val="1"/>
                <w:color w:val="auto"/>
              </w:rPr>
            </w:pPr>
          </w:p>
        </w:tc>
      </w:tr>
      <w:tr>
        <w:trPr>
          <w:trHeight w:val="230"/>
        </w:trPr>
        <w:tc>
          <w:tcPr>
            <w:tcW w:w="2180" w:type="dxa"/>
            <w:vAlign w:val="bottom"/>
            <w:gridSpan w:val="3"/>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(a)(b)</w:t>
            </w:r>
          </w:p>
        </w:tc>
        <w:tc>
          <w:tcPr>
            <w:tcW w:w="1100" w:type="dxa"/>
            <w:vAlign w:val="bottom"/>
            <w:gridSpan w:val="2"/>
            <w:shd w:val="clear" w:color="auto" w:fill="CFEDF9"/>
          </w:tcPr>
          <w:p>
            <w:pPr>
              <w:jc w:val="center"/>
              <w:ind w:right="120"/>
              <w:spacing w:after="0"/>
              <w:rPr>
                <w:sz w:val="20"/>
                <w:szCs w:val="20"/>
                <w:color w:val="auto"/>
              </w:rPr>
            </w:pPr>
            <w:r>
              <w:rPr>
                <w:rFonts w:ascii="Times New Roman" w:cs="Times New Roman" w:eastAsia="Times New Roman" w:hAnsi="Times New Roman"/>
                <w:sz w:val="20"/>
                <w:szCs w:val="20"/>
                <w:color w:val="231F20"/>
              </w:rPr>
              <w:t>L + 2.11%</w:t>
            </w:r>
          </w:p>
        </w:tc>
        <w:tc>
          <w:tcPr>
            <w:tcW w:w="900" w:type="dxa"/>
            <w:vAlign w:val="bottom"/>
            <w:shd w:val="clear" w:color="auto" w:fill="CFEDF9"/>
          </w:tcPr>
          <w:p>
            <w:pPr>
              <w:jc w:val="center"/>
              <w:ind w:left="82"/>
              <w:spacing w:after="0"/>
              <w:rPr>
                <w:sz w:val="20"/>
                <w:szCs w:val="20"/>
                <w:color w:val="auto"/>
              </w:rPr>
            </w:pPr>
            <w:r>
              <w:rPr>
                <w:rFonts w:ascii="Times New Roman" w:cs="Times New Roman" w:eastAsia="Times New Roman" w:hAnsi="Times New Roman"/>
                <w:sz w:val="20"/>
                <w:szCs w:val="20"/>
                <w:color w:val="231F20"/>
              </w:rPr>
              <w:t>4.50%</w:t>
            </w:r>
          </w:p>
        </w:tc>
        <w:tc>
          <w:tcPr>
            <w:tcW w:w="12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1000" w:type="dxa"/>
            <w:vAlign w:val="bottom"/>
            <w:gridSpan w:val="6"/>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8/1/2022</w:t>
            </w:r>
          </w:p>
        </w:tc>
        <w:tc>
          <w:tcPr>
            <w:tcW w:w="200" w:type="dxa"/>
            <w:vAlign w:val="bottom"/>
            <w:shd w:val="clear" w:color="auto" w:fill="CFEDF9"/>
          </w:tcPr>
          <w:p>
            <w:pPr>
              <w:spacing w:after="0"/>
              <w:rPr>
                <w:sz w:val="19"/>
                <w:szCs w:val="19"/>
                <w:color w:val="auto"/>
              </w:rPr>
            </w:pPr>
          </w:p>
        </w:tc>
        <w:tc>
          <w:tcPr>
            <w:tcW w:w="3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4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20" w:type="dxa"/>
            <w:vAlign w:val="bottom"/>
            <w:tcBorders>
              <w:right w:val="single" w:sz="8" w:color="CFEDF9"/>
            </w:tcBorders>
            <w:shd w:val="clear" w:color="auto" w:fill="CFEDF9"/>
          </w:tcPr>
          <w:p>
            <w:pPr>
              <w:spacing w:after="0"/>
              <w:rPr>
                <w:sz w:val="19"/>
                <w:szCs w:val="19"/>
                <w:color w:val="auto"/>
              </w:rPr>
            </w:pPr>
          </w:p>
        </w:tc>
        <w:tc>
          <w:tcPr>
            <w:tcW w:w="560" w:type="dxa"/>
            <w:vAlign w:val="bottom"/>
            <w:gridSpan w:val="3"/>
            <w:shd w:val="clear" w:color="auto" w:fill="CFEDF9"/>
          </w:tcPr>
          <w:p>
            <w:pPr>
              <w:jc w:val="right"/>
              <w:ind w:right="16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CFEDF9"/>
          </w:tcPr>
          <w:p>
            <w:pPr>
              <w:spacing w:after="0"/>
              <w:rPr>
                <w:sz w:val="19"/>
                <w:szCs w:val="19"/>
                <w:color w:val="auto"/>
              </w:rPr>
            </w:pPr>
          </w:p>
        </w:tc>
        <w:tc>
          <w:tcPr>
            <w:tcW w:w="4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gridSpan w:val="4"/>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96</w:t>
            </w:r>
          </w:p>
        </w:tc>
        <w:tc>
          <w:tcPr>
            <w:tcW w:w="20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140" w:type="dxa"/>
            <w:vAlign w:val="bottom"/>
            <w:gridSpan w:val="4"/>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(70)</w:t>
            </w: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(a)(b)</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231F20"/>
              </w:rPr>
              <w:t>L + 2.11%</w:t>
            </w:r>
          </w:p>
        </w:tc>
        <w:tc>
          <w:tcPr>
            <w:tcW w:w="900" w:type="dxa"/>
            <w:vAlign w:val="bottom"/>
          </w:tcPr>
          <w:p>
            <w:pPr>
              <w:jc w:val="center"/>
              <w:ind w:left="82"/>
              <w:spacing w:after="0"/>
              <w:rPr>
                <w:sz w:val="20"/>
                <w:szCs w:val="20"/>
                <w:color w:val="auto"/>
              </w:rPr>
            </w:pPr>
            <w:r>
              <w:rPr>
                <w:rFonts w:ascii="Times New Roman" w:cs="Times New Roman" w:eastAsia="Times New Roman" w:hAnsi="Times New Roman"/>
                <w:sz w:val="20"/>
                <w:szCs w:val="20"/>
                <w:color w:val="231F20"/>
              </w:rPr>
              <w:t>4.50%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231F20"/>
              </w:rPr>
              <w:t>8/1/2022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231F20"/>
              </w:rPr>
              <w:t>904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(394)</w:t>
            </w:r>
          </w:p>
        </w:tc>
        <w:tc>
          <w:tcPr>
            <w:tcW w:w="0" w:type="dxa"/>
            <w:vAlign w:val="bottom"/>
          </w:tcPr>
          <w:p>
            <w:pPr>
              <w:spacing w:after="0"/>
              <w:rPr>
                <w:sz w:val="1"/>
                <w:szCs w:val="1"/>
                <w:color w:val="auto"/>
              </w:rPr>
            </w:pPr>
          </w:p>
        </w:tc>
      </w:tr>
      <w:tr>
        <w:trPr>
          <w:trHeight w:val="230"/>
        </w:trPr>
        <w:tc>
          <w:tcPr>
            <w:tcW w:w="2180" w:type="dxa"/>
            <w:vAlign w:val="bottom"/>
            <w:gridSpan w:val="3"/>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(a)(b)</w:t>
            </w:r>
          </w:p>
        </w:tc>
        <w:tc>
          <w:tcPr>
            <w:tcW w:w="1100" w:type="dxa"/>
            <w:vAlign w:val="bottom"/>
            <w:gridSpan w:val="2"/>
            <w:shd w:val="clear" w:color="auto" w:fill="CFEDF9"/>
          </w:tcPr>
          <w:p>
            <w:pPr>
              <w:jc w:val="center"/>
              <w:ind w:right="100"/>
              <w:spacing w:after="0"/>
              <w:rPr>
                <w:sz w:val="20"/>
                <w:szCs w:val="20"/>
                <w:color w:val="auto"/>
              </w:rPr>
            </w:pPr>
            <w:r>
              <w:rPr>
                <w:rFonts w:ascii="Times New Roman" w:cs="Times New Roman" w:eastAsia="Times New Roman" w:hAnsi="Times New Roman"/>
                <w:sz w:val="20"/>
                <w:szCs w:val="20"/>
                <w:color w:val="231F20"/>
                <w:w w:val="97"/>
              </w:rPr>
              <w:t>L</w:t>
            </w:r>
          </w:p>
        </w:tc>
        <w:tc>
          <w:tcPr>
            <w:tcW w:w="900" w:type="dxa"/>
            <w:vAlign w:val="bottom"/>
            <w:shd w:val="clear" w:color="auto" w:fill="CFEDF9"/>
          </w:tcPr>
          <w:p>
            <w:pPr>
              <w:jc w:val="center"/>
              <w:ind w:left="82"/>
              <w:spacing w:after="0"/>
              <w:rPr>
                <w:sz w:val="20"/>
                <w:szCs w:val="20"/>
                <w:color w:val="auto"/>
              </w:rPr>
            </w:pPr>
            <w:r>
              <w:rPr>
                <w:rFonts w:ascii="Times New Roman" w:cs="Times New Roman" w:eastAsia="Times New Roman" w:hAnsi="Times New Roman"/>
                <w:sz w:val="20"/>
                <w:szCs w:val="20"/>
                <w:color w:val="231F20"/>
              </w:rPr>
              <w:t>0.16%</w:t>
            </w:r>
          </w:p>
        </w:tc>
        <w:tc>
          <w:tcPr>
            <w:tcW w:w="12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1000" w:type="dxa"/>
            <w:vAlign w:val="bottom"/>
            <w:gridSpan w:val="6"/>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7/30/2022</w:t>
            </w:r>
          </w:p>
        </w:tc>
        <w:tc>
          <w:tcPr>
            <w:tcW w:w="200" w:type="dxa"/>
            <w:vAlign w:val="bottom"/>
            <w:shd w:val="clear" w:color="auto" w:fill="CFEDF9"/>
          </w:tcPr>
          <w:p>
            <w:pPr>
              <w:spacing w:after="0"/>
              <w:rPr>
                <w:sz w:val="19"/>
                <w:szCs w:val="19"/>
                <w:color w:val="auto"/>
              </w:rPr>
            </w:pPr>
          </w:p>
        </w:tc>
        <w:tc>
          <w:tcPr>
            <w:tcW w:w="3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4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20" w:type="dxa"/>
            <w:vAlign w:val="bottom"/>
            <w:tcBorders>
              <w:right w:val="single" w:sz="8" w:color="CFEDF9"/>
            </w:tcBorders>
            <w:shd w:val="clear" w:color="auto" w:fill="CFEDF9"/>
          </w:tcPr>
          <w:p>
            <w:pPr>
              <w:spacing w:after="0"/>
              <w:rPr>
                <w:sz w:val="19"/>
                <w:szCs w:val="19"/>
                <w:color w:val="auto"/>
              </w:rPr>
            </w:pPr>
          </w:p>
        </w:tc>
        <w:tc>
          <w:tcPr>
            <w:tcW w:w="560" w:type="dxa"/>
            <w:vAlign w:val="bottom"/>
            <w:gridSpan w:val="3"/>
            <w:shd w:val="clear" w:color="auto" w:fill="CFEDF9"/>
          </w:tcPr>
          <w:p>
            <w:pPr>
              <w:jc w:val="right"/>
              <w:ind w:right="16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CFEDF9"/>
          </w:tcPr>
          <w:p>
            <w:pPr>
              <w:spacing w:after="0"/>
              <w:rPr>
                <w:sz w:val="19"/>
                <w:szCs w:val="19"/>
                <w:color w:val="auto"/>
              </w:rPr>
            </w:pPr>
          </w:p>
        </w:tc>
        <w:tc>
          <w:tcPr>
            <w:tcW w:w="4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gridSpan w:val="4"/>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140" w:type="dxa"/>
            <w:vAlign w:val="bottom"/>
            <w:gridSpan w:val="4"/>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20"/>
        </w:trPr>
        <w:tc>
          <w:tcPr>
            <w:tcW w:w="16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231F20"/>
            </w:tcBorders>
          </w:tcPr>
          <w:p>
            <w:pPr>
              <w:spacing w:after="0"/>
              <w:rPr>
                <w:sz w:val="19"/>
                <w:szCs w:val="19"/>
                <w:color w:val="auto"/>
              </w:rPr>
            </w:pPr>
          </w:p>
        </w:tc>
        <w:tc>
          <w:tcPr>
            <w:tcW w:w="680" w:type="dxa"/>
            <w:vAlign w:val="bottom"/>
            <w:tcBorders>
              <w:top w:val="single" w:sz="8" w:color="231F20"/>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152,500</w:t>
            </w:r>
          </w:p>
        </w:tc>
        <w:tc>
          <w:tcPr>
            <w:tcW w:w="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231F20"/>
            </w:tcBorders>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460" w:type="dxa"/>
            <w:vAlign w:val="bottom"/>
            <w:tcBorders>
              <w:top w:val="single" w:sz="8" w:color="231F2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(231)</w:t>
            </w:r>
          </w:p>
        </w:tc>
        <w:tc>
          <w:tcPr>
            <w:tcW w:w="220" w:type="dxa"/>
            <w:vAlign w:val="bottom"/>
            <w:gridSpan w:val="2"/>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780" w:type="dxa"/>
            <w:vAlign w:val="bottom"/>
            <w:tcBorders>
              <w:top w:val="single" w:sz="8" w:color="231F20"/>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2,380</w:t>
            </w:r>
          </w:p>
        </w:tc>
        <w:tc>
          <w:tcPr>
            <w:tcW w:w="1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(6,748)</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3"/>
            <w:shd w:val="clear" w:color="auto" w:fill="CFEDF9"/>
          </w:tcPr>
          <w:p>
            <w:pPr>
              <w:spacing w:after="0"/>
              <w:rPr>
                <w:sz w:val="19"/>
                <w:szCs w:val="19"/>
                <w:color w:val="auto"/>
              </w:rPr>
            </w:pPr>
          </w:p>
        </w:tc>
        <w:tc>
          <w:tcPr>
            <w:tcW w:w="98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080" w:type="dxa"/>
            <w:vAlign w:val="bottom"/>
            <w:gridSpan w:val="3"/>
            <w:shd w:val="clear" w:color="auto" w:fill="CFEDF9"/>
          </w:tcPr>
          <w:p>
            <w:pPr>
              <w:spacing w:after="0"/>
              <w:rPr>
                <w:sz w:val="19"/>
                <w:szCs w:val="19"/>
                <w:color w:val="auto"/>
              </w:rPr>
            </w:pPr>
          </w:p>
        </w:tc>
        <w:tc>
          <w:tcPr>
            <w:tcW w:w="1000" w:type="dxa"/>
            <w:vAlign w:val="bottom"/>
            <w:gridSpan w:val="6"/>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320" w:type="dxa"/>
            <w:vAlign w:val="bottom"/>
            <w:shd w:val="clear" w:color="auto" w:fill="CFEDF9"/>
          </w:tcPr>
          <w:p>
            <w:pPr>
              <w:spacing w:after="0"/>
              <w:rPr>
                <w:sz w:val="19"/>
                <w:szCs w:val="19"/>
                <w:color w:val="auto"/>
              </w:rPr>
            </w:pPr>
          </w:p>
        </w:tc>
        <w:tc>
          <w:tcPr>
            <w:tcW w:w="680" w:type="dxa"/>
            <w:vAlign w:val="bottom"/>
            <w:gridSpan w:val="3"/>
            <w:shd w:val="clear" w:color="auto" w:fill="CFEDF9"/>
          </w:tcPr>
          <w:p>
            <w:pPr>
              <w:spacing w:after="0"/>
              <w:rPr>
                <w:sz w:val="19"/>
                <w:szCs w:val="19"/>
                <w:color w:val="auto"/>
              </w:rPr>
            </w:pPr>
          </w:p>
        </w:tc>
        <w:tc>
          <w:tcPr>
            <w:tcW w:w="80" w:type="dxa"/>
            <w:vAlign w:val="bottom"/>
            <w:gridSpan w:val="2"/>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780" w:type="dxa"/>
            <w:vAlign w:val="bottom"/>
            <w:gridSpan w:val="4"/>
            <w:shd w:val="clear" w:color="auto" w:fill="CFEDF9"/>
          </w:tcPr>
          <w:p>
            <w:pPr>
              <w:spacing w:after="0"/>
              <w:rPr>
                <w:sz w:val="19"/>
                <w:szCs w:val="19"/>
                <w:color w:val="auto"/>
              </w:rPr>
            </w:pPr>
          </w:p>
        </w:tc>
        <w:tc>
          <w:tcPr>
            <w:tcW w:w="220" w:type="dxa"/>
            <w:vAlign w:val="bottom"/>
            <w:gridSpan w:val="2"/>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4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40" w:type="dxa"/>
            <w:vAlign w:val="bottom"/>
            <w:gridSpan w:val="2"/>
            <w:shd w:val="clear" w:color="auto" w:fill="CFEDF9"/>
          </w:tcPr>
          <w:p>
            <w:pPr>
              <w:spacing w:after="0"/>
              <w:rPr>
                <w:sz w:val="19"/>
                <w:szCs w:val="19"/>
                <w:color w:val="auto"/>
              </w:rPr>
            </w:pPr>
          </w:p>
        </w:tc>
        <w:tc>
          <w:tcPr>
            <w:tcW w:w="120" w:type="dxa"/>
            <w:vAlign w:val="bottom"/>
            <w:gridSpan w:val="2"/>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20" w:type="dxa"/>
            <w:vAlign w:val="bottom"/>
            <w:gridSpan w:val="2"/>
            <w:shd w:val="clear" w:color="auto" w:fill="CFEDF9"/>
          </w:tcPr>
          <w:p>
            <w:pPr>
              <w:spacing w:after="0"/>
              <w:rPr>
                <w:sz w:val="19"/>
                <w:szCs w:val="19"/>
                <w:color w:val="auto"/>
              </w:rPr>
            </w:pPr>
          </w:p>
        </w:tc>
        <w:tc>
          <w:tcPr>
            <w:tcW w:w="120" w:type="dxa"/>
            <w:vAlign w:val="bottom"/>
            <w:gridSpan w:val="2"/>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(a)(c)(d)</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3.875%</w:t>
            </w:r>
          </w:p>
        </w:tc>
        <w:tc>
          <w:tcPr>
            <w:tcW w:w="1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w w:val="98"/>
              </w:rPr>
              <w:t>L + 2.25%</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231F20"/>
              </w:rPr>
              <w:t>11/1/2024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300,000</w:t>
            </w:r>
          </w:p>
        </w:tc>
        <w:tc>
          <w:tcPr>
            <w:tcW w:w="1140" w:type="dxa"/>
            <w:vAlign w:val="bottom"/>
            <w:gridSpan w:val="7"/>
          </w:tcPr>
          <w:p>
            <w:pPr>
              <w:jc w:val="right"/>
              <w:ind w:right="83"/>
              <w:spacing w:after="0"/>
              <w:rPr>
                <w:sz w:val="20"/>
                <w:szCs w:val="20"/>
                <w:color w:val="auto"/>
              </w:rPr>
            </w:pPr>
            <w:r>
              <w:rPr>
                <w:rFonts w:ascii="Times New Roman" w:cs="Times New Roman" w:eastAsia="Times New Roman" w:hAnsi="Times New Roman"/>
                <w:sz w:val="20"/>
                <w:szCs w:val="20"/>
                <w:color w:val="231F20"/>
              </w:rPr>
              <w:t>(16,493)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(20,489)</w:t>
            </w:r>
          </w:p>
        </w:tc>
        <w:tc>
          <w:tcPr>
            <w:tcW w:w="0" w:type="dxa"/>
            <w:vAlign w:val="bottom"/>
          </w:tcPr>
          <w:p>
            <w:pPr>
              <w:spacing w:after="0"/>
              <w:rPr>
                <w:sz w:val="1"/>
                <w:szCs w:val="1"/>
                <w:color w:val="auto"/>
              </w:rPr>
            </w:pPr>
          </w:p>
        </w:tc>
      </w:tr>
      <w:tr>
        <w:trPr>
          <w:trHeight w:val="230"/>
        </w:trPr>
        <w:tc>
          <w:tcPr>
            <w:tcW w:w="2180" w:type="dxa"/>
            <w:vAlign w:val="bottom"/>
            <w:gridSpan w:val="3"/>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(a)(c)(d)</w:t>
            </w:r>
          </w:p>
        </w:tc>
        <w:tc>
          <w:tcPr>
            <w:tcW w:w="98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rPr>
              <w:t>3.875%</w:t>
            </w:r>
          </w:p>
        </w:tc>
        <w:tc>
          <w:tcPr>
            <w:tcW w:w="120" w:type="dxa"/>
            <w:vAlign w:val="bottom"/>
            <w:shd w:val="clear" w:color="auto" w:fill="CFEDF9"/>
          </w:tcPr>
          <w:p>
            <w:pPr>
              <w:spacing w:after="0"/>
              <w:rPr>
                <w:sz w:val="19"/>
                <w:szCs w:val="19"/>
                <w:color w:val="auto"/>
              </w:rPr>
            </w:pPr>
          </w:p>
        </w:tc>
        <w:tc>
          <w:tcPr>
            <w:tcW w:w="1080" w:type="dxa"/>
            <w:vAlign w:val="bottom"/>
            <w:gridSpan w:val="3"/>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8"/>
              </w:rPr>
              <w:t>L + 2.46%</w:t>
            </w:r>
          </w:p>
        </w:tc>
        <w:tc>
          <w:tcPr>
            <w:tcW w:w="1000" w:type="dxa"/>
            <w:vAlign w:val="bottom"/>
            <w:gridSpan w:val="6"/>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11/1/2024</w:t>
            </w:r>
          </w:p>
        </w:tc>
        <w:tc>
          <w:tcPr>
            <w:tcW w:w="200" w:type="dxa"/>
            <w:vAlign w:val="bottom"/>
            <w:shd w:val="clear" w:color="auto" w:fill="CFEDF9"/>
          </w:tcPr>
          <w:p>
            <w:pPr>
              <w:spacing w:after="0"/>
              <w:rPr>
                <w:sz w:val="19"/>
                <w:szCs w:val="19"/>
                <w:color w:val="auto"/>
              </w:rPr>
            </w:pPr>
          </w:p>
        </w:tc>
        <w:tc>
          <w:tcPr>
            <w:tcW w:w="320" w:type="dxa"/>
            <w:vAlign w:val="bottom"/>
            <w:shd w:val="clear" w:color="auto" w:fill="CFEDF9"/>
          </w:tcPr>
          <w:p>
            <w:pPr>
              <w:spacing w:after="0"/>
              <w:rPr>
                <w:sz w:val="19"/>
                <w:szCs w:val="19"/>
                <w:color w:val="auto"/>
              </w:rPr>
            </w:pPr>
          </w:p>
        </w:tc>
        <w:tc>
          <w:tcPr>
            <w:tcW w:w="760" w:type="dxa"/>
            <w:vAlign w:val="bottom"/>
            <w:gridSpan w:val="5"/>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50,000</w:t>
            </w:r>
          </w:p>
        </w:tc>
        <w:tc>
          <w:tcPr>
            <w:tcW w:w="1140" w:type="dxa"/>
            <w:vAlign w:val="bottom"/>
            <w:gridSpan w:val="7"/>
            <w:shd w:val="clear" w:color="auto" w:fill="CFEDF9"/>
          </w:tcPr>
          <w:p>
            <w:pPr>
              <w:jc w:val="right"/>
              <w:ind w:right="83"/>
              <w:spacing w:after="0"/>
              <w:rPr>
                <w:sz w:val="20"/>
                <w:szCs w:val="20"/>
                <w:color w:val="auto"/>
              </w:rPr>
            </w:pPr>
            <w:r>
              <w:rPr>
                <w:rFonts w:ascii="Times New Roman" w:cs="Times New Roman" w:eastAsia="Times New Roman" w:hAnsi="Times New Roman"/>
                <w:sz w:val="20"/>
                <w:szCs w:val="20"/>
                <w:color w:val="231F20"/>
              </w:rPr>
              <w:t>(2,925)</w:t>
            </w:r>
          </w:p>
        </w:tc>
        <w:tc>
          <w:tcPr>
            <w:tcW w:w="120" w:type="dxa"/>
            <w:vAlign w:val="bottom"/>
            <w:shd w:val="clear" w:color="auto" w:fill="CFEDF9"/>
          </w:tcPr>
          <w:p>
            <w:pPr>
              <w:spacing w:after="0"/>
              <w:rPr>
                <w:sz w:val="19"/>
                <w:szCs w:val="19"/>
                <w:color w:val="auto"/>
              </w:rPr>
            </w:pPr>
          </w:p>
        </w:tc>
        <w:tc>
          <w:tcPr>
            <w:tcW w:w="4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gridSpan w:val="4"/>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19"/>
                <w:szCs w:val="19"/>
                <w:color w:val="auto"/>
              </w:rPr>
            </w:pPr>
          </w:p>
        </w:tc>
        <w:tc>
          <w:tcPr>
            <w:tcW w:w="40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140" w:type="dxa"/>
            <w:vAlign w:val="bottom"/>
            <w:gridSpan w:val="4"/>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(3,302)</w:t>
            </w: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(a)(c)</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2.50%</w:t>
            </w:r>
          </w:p>
        </w:tc>
        <w:tc>
          <w:tcPr>
            <w:tcW w:w="1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w w:val="98"/>
              </w:rPr>
              <w:t>L + 1.91%</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231F20"/>
              </w:rPr>
              <w:t>8/1/2026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300,000</w:t>
            </w:r>
          </w:p>
        </w:tc>
        <w:tc>
          <w:tcPr>
            <w:tcW w:w="1140" w:type="dxa"/>
            <w:vAlign w:val="bottom"/>
            <w:gridSpan w:val="7"/>
          </w:tcPr>
          <w:p>
            <w:pPr>
              <w:jc w:val="right"/>
              <w:ind w:right="83"/>
              <w:spacing w:after="0"/>
              <w:rPr>
                <w:sz w:val="20"/>
                <w:szCs w:val="20"/>
                <w:color w:val="auto"/>
              </w:rPr>
            </w:pPr>
            <w:r>
              <w:rPr>
                <w:rFonts w:ascii="Times New Roman" w:cs="Times New Roman" w:eastAsia="Times New Roman" w:hAnsi="Times New Roman"/>
                <w:sz w:val="20"/>
                <w:szCs w:val="20"/>
                <w:color w:val="231F20"/>
              </w:rPr>
              <w:t>(35,665)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(25,426)</w:t>
            </w:r>
          </w:p>
        </w:tc>
        <w:tc>
          <w:tcPr>
            <w:tcW w:w="0" w:type="dxa"/>
            <w:vAlign w:val="bottom"/>
          </w:tcPr>
          <w:p>
            <w:pPr>
              <w:spacing w:after="0"/>
              <w:rPr>
                <w:sz w:val="1"/>
                <w:szCs w:val="1"/>
                <w:color w:val="auto"/>
              </w:rPr>
            </w:pPr>
          </w:p>
        </w:tc>
      </w:tr>
      <w:tr>
        <w:trPr>
          <w:trHeight w:val="220"/>
        </w:trPr>
        <w:tc>
          <w:tcPr>
            <w:tcW w:w="1640" w:type="dxa"/>
            <w:vAlign w:val="bottom"/>
            <w:tcBorders>
              <w:top w:val="single" w:sz="8" w:color="CFEDF9"/>
            </w:tcBorders>
            <w:gridSpan w:val="2"/>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540" w:type="dxa"/>
            <w:vAlign w:val="bottom"/>
            <w:tcBorders>
              <w:top w:val="single" w:sz="8" w:color="CFEDF9"/>
            </w:tcBorders>
            <w:shd w:val="clear" w:color="auto" w:fill="CFEDF9"/>
          </w:tcPr>
          <w:p>
            <w:pPr>
              <w:spacing w:after="0"/>
              <w:rPr>
                <w:sz w:val="19"/>
                <w:szCs w:val="19"/>
                <w:color w:val="auto"/>
              </w:rPr>
            </w:pPr>
          </w:p>
        </w:tc>
        <w:tc>
          <w:tcPr>
            <w:tcW w:w="98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CFEDF9"/>
            </w:tcBorders>
            <w:shd w:val="clear" w:color="auto" w:fill="CFEDF9"/>
          </w:tcPr>
          <w:p>
            <w:pPr>
              <w:spacing w:after="0"/>
              <w:rPr>
                <w:sz w:val="19"/>
                <w:szCs w:val="19"/>
                <w:color w:val="auto"/>
              </w:rPr>
            </w:pPr>
          </w:p>
        </w:tc>
        <w:tc>
          <w:tcPr>
            <w:tcW w:w="90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CFEDF9"/>
            </w:tcBorders>
            <w:shd w:val="clear" w:color="auto" w:fill="CFEDF9"/>
          </w:tcPr>
          <w:p>
            <w:pPr>
              <w:spacing w:after="0"/>
              <w:rPr>
                <w:sz w:val="19"/>
                <w:szCs w:val="19"/>
                <w:color w:val="auto"/>
              </w:rPr>
            </w:pPr>
          </w:p>
        </w:tc>
        <w:tc>
          <w:tcPr>
            <w:tcW w:w="6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CFEDF9"/>
            </w:tcBorders>
            <w:shd w:val="clear" w:color="auto" w:fill="CFEDF9"/>
          </w:tcPr>
          <w:p>
            <w:pPr>
              <w:spacing w:after="0"/>
              <w:rPr>
                <w:sz w:val="19"/>
                <w:szCs w:val="19"/>
                <w:color w:val="auto"/>
              </w:rPr>
            </w:pPr>
          </w:p>
        </w:tc>
        <w:tc>
          <w:tcPr>
            <w:tcW w:w="60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CFEDF9"/>
            </w:tcBorders>
            <w:shd w:val="clear" w:color="auto" w:fill="CFEDF9"/>
          </w:tcPr>
          <w:p>
            <w:pPr>
              <w:spacing w:after="0"/>
              <w:rPr>
                <w:sz w:val="19"/>
                <w:szCs w:val="19"/>
                <w:color w:val="auto"/>
              </w:rPr>
            </w:pPr>
          </w:p>
        </w:tc>
        <w:tc>
          <w:tcPr>
            <w:tcW w:w="320" w:type="dxa"/>
            <w:vAlign w:val="bottom"/>
            <w:tcBorders>
              <w:top w:val="single" w:sz="8" w:color="231F20"/>
            </w:tcBorders>
            <w:shd w:val="clear" w:color="auto" w:fill="CFEDF9"/>
          </w:tcPr>
          <w:p>
            <w:pPr>
              <w:spacing w:after="0"/>
              <w:rPr>
                <w:sz w:val="19"/>
                <w:szCs w:val="19"/>
                <w:color w:val="auto"/>
              </w:rPr>
            </w:pPr>
          </w:p>
        </w:tc>
        <w:tc>
          <w:tcPr>
            <w:tcW w:w="680" w:type="dxa"/>
            <w:vAlign w:val="bottom"/>
            <w:tcBorders>
              <w:top w:val="single" w:sz="8" w:color="231F20"/>
            </w:tcBorders>
            <w:gridSpan w:val="3"/>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650,000</w:t>
            </w:r>
          </w:p>
        </w:tc>
        <w:tc>
          <w:tcPr>
            <w:tcW w:w="20" w:type="dxa"/>
            <w:vAlign w:val="bottom"/>
            <w:shd w:val="clear" w:color="auto" w:fill="CFEDF9"/>
          </w:tcPr>
          <w:p>
            <w:pPr>
              <w:spacing w:after="0"/>
              <w:rPr>
                <w:sz w:val="19"/>
                <w:szCs w:val="19"/>
                <w:color w:val="auto"/>
              </w:rPr>
            </w:pPr>
          </w:p>
        </w:tc>
        <w:tc>
          <w:tcPr>
            <w:tcW w:w="6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CFEDF9"/>
            </w:tcBorders>
            <w:shd w:val="clear" w:color="auto" w:fill="CFEDF9"/>
          </w:tcPr>
          <w:p>
            <w:pPr>
              <w:spacing w:after="0"/>
              <w:rPr>
                <w:sz w:val="19"/>
                <w:szCs w:val="19"/>
                <w:color w:val="auto"/>
              </w:rPr>
            </w:pPr>
          </w:p>
        </w:tc>
        <w:tc>
          <w:tcPr>
            <w:tcW w:w="780" w:type="dxa"/>
            <w:vAlign w:val="bottom"/>
            <w:tcBorders>
              <w:top w:val="single" w:sz="8" w:color="231F20"/>
            </w:tcBorders>
            <w:gridSpan w:val="4"/>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(55,083)</w:t>
            </w:r>
          </w:p>
        </w:tc>
        <w:tc>
          <w:tcPr>
            <w:tcW w:w="20" w:type="dxa"/>
            <w:vAlign w:val="bottom"/>
            <w:shd w:val="clear" w:color="auto" w:fill="CFEDF9"/>
          </w:tcPr>
          <w:p>
            <w:pPr>
              <w:spacing w:after="0"/>
              <w:rPr>
                <w:sz w:val="19"/>
                <w:szCs w:val="19"/>
                <w:color w:val="auto"/>
              </w:rPr>
            </w:pPr>
          </w:p>
        </w:tc>
        <w:tc>
          <w:tcPr>
            <w:tcW w:w="20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spacing w:after="0"/>
              <w:rPr>
                <w:sz w:val="19"/>
                <w:szCs w:val="19"/>
                <w:color w:val="auto"/>
              </w:rPr>
            </w:pPr>
          </w:p>
        </w:tc>
        <w:tc>
          <w:tcPr>
            <w:tcW w:w="420" w:type="dxa"/>
            <w:vAlign w:val="bottom"/>
            <w:tcBorders>
              <w:top w:val="single" w:sz="8" w:color="231F20"/>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340" w:type="dxa"/>
            <w:vAlign w:val="bottom"/>
            <w:tcBorders>
              <w:top w:val="single" w:sz="8" w:color="231F20"/>
            </w:tcBorders>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CFEDF9"/>
          </w:tcPr>
          <w:p>
            <w:pPr>
              <w:spacing w:after="0"/>
              <w:rPr>
                <w:sz w:val="19"/>
                <w:szCs w:val="19"/>
                <w:color w:val="auto"/>
              </w:rPr>
            </w:pPr>
          </w:p>
        </w:tc>
        <w:tc>
          <w:tcPr>
            <w:tcW w:w="10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CFEDF9"/>
            </w:tcBorders>
            <w:shd w:val="clear" w:color="auto" w:fill="CFEDF9"/>
          </w:tcPr>
          <w:p>
            <w:pPr>
              <w:spacing w:after="0"/>
              <w:rPr>
                <w:sz w:val="19"/>
                <w:szCs w:val="19"/>
                <w:color w:val="auto"/>
              </w:rPr>
            </w:pPr>
          </w:p>
        </w:tc>
        <w:tc>
          <w:tcPr>
            <w:tcW w:w="400" w:type="dxa"/>
            <w:vAlign w:val="bottom"/>
            <w:tcBorders>
              <w:top w:val="single" w:sz="8" w:color="231F20"/>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1020" w:type="dxa"/>
            <w:vAlign w:val="bottom"/>
            <w:tcBorders>
              <w:top w:val="single" w:sz="8" w:color="231F20"/>
            </w:tcBorders>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(49,217)</w:t>
            </w:r>
          </w:p>
        </w:tc>
        <w:tc>
          <w:tcPr>
            <w:tcW w:w="20" w:type="dxa"/>
            <w:vAlign w:val="bottom"/>
            <w:shd w:val="clear" w:color="auto" w:fill="CFEDF9"/>
          </w:tcPr>
          <w:p>
            <w:pPr>
              <w:spacing w:after="0"/>
              <w:rPr>
                <w:sz w:val="19"/>
                <w:szCs w:val="19"/>
                <w:color w:val="auto"/>
              </w:rPr>
            </w:pPr>
          </w:p>
        </w:tc>
        <w:tc>
          <w:tcPr>
            <w:tcW w:w="10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Borders>
              <w:bottom w:val="single" w:sz="8" w:color="CFEDF9"/>
            </w:tcBorders>
            <w:gridSpan w:val="2"/>
          </w:tcPr>
          <w:p>
            <w:pPr>
              <w:spacing w:after="0"/>
              <w:rPr>
                <w:sz w:val="20"/>
                <w:szCs w:val="20"/>
                <w:color w:val="auto"/>
              </w:rPr>
            </w:pPr>
            <w:r>
              <w:rPr>
                <w:rFonts w:ascii="Times New Roman" w:cs="Times New Roman" w:eastAsia="Times New Roman" w:hAnsi="Times New Roman"/>
                <w:sz w:val="20"/>
                <w:szCs w:val="20"/>
                <w:color w:val="231F20"/>
              </w:rPr>
              <w:t>Cash collateral</w:t>
            </w:r>
          </w:p>
        </w:tc>
        <w:tc>
          <w:tcPr>
            <w:tcW w:w="540" w:type="dxa"/>
            <w:vAlign w:val="bottom"/>
            <w:tcBorders>
              <w:bottom w:val="single" w:sz="8" w:color="CFEDF9"/>
            </w:tcBorders>
          </w:tcPr>
          <w:p>
            <w:pPr>
              <w:spacing w:after="0"/>
              <w:rPr>
                <w:sz w:val="19"/>
                <w:szCs w:val="19"/>
                <w:color w:val="auto"/>
              </w:rPr>
            </w:pPr>
          </w:p>
        </w:tc>
        <w:tc>
          <w:tcPr>
            <w:tcW w:w="980" w:type="dxa"/>
            <w:vAlign w:val="bottom"/>
            <w:tcBorders>
              <w:bottom w:val="single" w:sz="8" w:color="CFEDF9"/>
            </w:tcBorders>
          </w:tcPr>
          <w:p>
            <w:pPr>
              <w:spacing w:after="0"/>
              <w:rPr>
                <w:sz w:val="19"/>
                <w:szCs w:val="19"/>
                <w:color w:val="auto"/>
              </w:rPr>
            </w:pPr>
          </w:p>
        </w:tc>
        <w:tc>
          <w:tcPr>
            <w:tcW w:w="120" w:type="dxa"/>
            <w:vAlign w:val="bottom"/>
            <w:tcBorders>
              <w:bottom w:val="single" w:sz="8" w:color="CFEDF9"/>
            </w:tcBorders>
          </w:tcPr>
          <w:p>
            <w:pPr>
              <w:spacing w:after="0"/>
              <w:rPr>
                <w:sz w:val="19"/>
                <w:szCs w:val="19"/>
                <w:color w:val="auto"/>
              </w:rPr>
            </w:pPr>
          </w:p>
        </w:tc>
        <w:tc>
          <w:tcPr>
            <w:tcW w:w="900" w:type="dxa"/>
            <w:vAlign w:val="bottom"/>
            <w:tcBorders>
              <w:bottom w:val="single" w:sz="8" w:color="CFEDF9"/>
            </w:tcBorders>
          </w:tcPr>
          <w:p>
            <w:pPr>
              <w:spacing w:after="0"/>
              <w:rPr>
                <w:sz w:val="19"/>
                <w:szCs w:val="19"/>
                <w:color w:val="auto"/>
              </w:rPr>
            </w:pPr>
          </w:p>
        </w:tc>
        <w:tc>
          <w:tcPr>
            <w:tcW w:w="120" w:type="dxa"/>
            <w:vAlign w:val="bottom"/>
            <w:tcBorders>
              <w:bottom w:val="single" w:sz="8" w:color="CFEDF9"/>
            </w:tcBorders>
          </w:tcPr>
          <w:p>
            <w:pPr>
              <w:spacing w:after="0"/>
              <w:rPr>
                <w:sz w:val="19"/>
                <w:szCs w:val="19"/>
                <w:color w:val="auto"/>
              </w:rPr>
            </w:pPr>
          </w:p>
        </w:tc>
        <w:tc>
          <w:tcPr>
            <w:tcW w:w="60" w:type="dxa"/>
            <w:vAlign w:val="bottom"/>
            <w:tcBorders>
              <w:bottom w:val="single" w:sz="8" w:color="CFEDF9"/>
            </w:tcBorders>
          </w:tcPr>
          <w:p>
            <w:pPr>
              <w:spacing w:after="0"/>
              <w:rPr>
                <w:sz w:val="19"/>
                <w:szCs w:val="19"/>
                <w:color w:val="auto"/>
              </w:rPr>
            </w:pPr>
          </w:p>
        </w:tc>
        <w:tc>
          <w:tcPr>
            <w:tcW w:w="120" w:type="dxa"/>
            <w:vAlign w:val="bottom"/>
            <w:tcBorders>
              <w:bottom w:val="single" w:sz="8" w:color="CFEDF9"/>
            </w:tcBorders>
          </w:tcPr>
          <w:p>
            <w:pPr>
              <w:spacing w:after="0"/>
              <w:rPr>
                <w:sz w:val="19"/>
                <w:szCs w:val="19"/>
                <w:color w:val="auto"/>
              </w:rPr>
            </w:pPr>
          </w:p>
        </w:tc>
        <w:tc>
          <w:tcPr>
            <w:tcW w:w="600" w:type="dxa"/>
            <w:vAlign w:val="bottom"/>
            <w:tcBorders>
              <w:bottom w:val="single" w:sz="8" w:color="CFEDF9"/>
            </w:tcBorders>
          </w:tcPr>
          <w:p>
            <w:pPr>
              <w:spacing w:after="0"/>
              <w:rPr>
                <w:sz w:val="19"/>
                <w:szCs w:val="19"/>
                <w:color w:val="auto"/>
              </w:rPr>
            </w:pPr>
          </w:p>
        </w:tc>
        <w:tc>
          <w:tcPr>
            <w:tcW w:w="120" w:type="dxa"/>
            <w:vAlign w:val="bottom"/>
            <w:tcBorders>
              <w:bottom w:val="single" w:sz="8" w:color="CFEDF9"/>
            </w:tcBorders>
          </w:tcPr>
          <w:p>
            <w:pPr>
              <w:spacing w:after="0"/>
              <w:rPr>
                <w:sz w:val="19"/>
                <w:szCs w:val="19"/>
                <w:color w:val="auto"/>
              </w:rPr>
            </w:pPr>
          </w:p>
        </w:tc>
        <w:tc>
          <w:tcPr>
            <w:tcW w:w="80" w:type="dxa"/>
            <w:vAlign w:val="bottom"/>
            <w:tcBorders>
              <w:bottom w:val="single" w:sz="8" w:color="CFEDF9"/>
            </w:tcBorders>
          </w:tcPr>
          <w:p>
            <w:pPr>
              <w:spacing w:after="0"/>
              <w:rPr>
                <w:sz w:val="19"/>
                <w:szCs w:val="19"/>
                <w:color w:val="auto"/>
              </w:rPr>
            </w:pPr>
          </w:p>
        </w:tc>
        <w:tc>
          <w:tcPr>
            <w:tcW w:w="60" w:type="dxa"/>
            <w:vAlign w:val="bottom"/>
            <w:tcBorders>
              <w:bottom w:val="single" w:sz="8" w:color="CFEDF9"/>
            </w:tcBorders>
          </w:tcPr>
          <w:p>
            <w:pPr>
              <w:spacing w:after="0"/>
              <w:rPr>
                <w:sz w:val="19"/>
                <w:szCs w:val="19"/>
                <w:color w:val="auto"/>
              </w:rPr>
            </w:pPr>
          </w:p>
        </w:tc>
        <w:tc>
          <w:tcPr>
            <w:tcW w:w="20" w:type="dxa"/>
            <w:vAlign w:val="bottom"/>
            <w:tcBorders>
              <w:bottom w:val="single" w:sz="8" w:color="CFEDF9"/>
            </w:tcBorders>
          </w:tcPr>
          <w:p>
            <w:pPr>
              <w:spacing w:after="0"/>
              <w:rPr>
                <w:sz w:val="19"/>
                <w:szCs w:val="19"/>
                <w:color w:val="auto"/>
              </w:rPr>
            </w:pPr>
          </w:p>
        </w:tc>
        <w:tc>
          <w:tcPr>
            <w:tcW w:w="200" w:type="dxa"/>
            <w:vAlign w:val="bottom"/>
            <w:tcBorders>
              <w:bottom w:val="single" w:sz="8" w:color="CFEDF9"/>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60" w:type="dxa"/>
            <w:vAlign w:val="bottom"/>
            <w:tcBorders>
              <w:bottom w:val="single" w:sz="8" w:color="CFEDF9"/>
            </w:tcBorders>
          </w:tcPr>
          <w:p>
            <w:pPr>
              <w:spacing w:after="0"/>
              <w:rPr>
                <w:sz w:val="19"/>
                <w:szCs w:val="19"/>
                <w:color w:val="auto"/>
              </w:rPr>
            </w:pPr>
          </w:p>
        </w:tc>
        <w:tc>
          <w:tcPr>
            <w:tcW w:w="140" w:type="dxa"/>
            <w:vAlign w:val="bottom"/>
            <w:tcBorders>
              <w:bottom w:val="single" w:sz="8" w:color="CFEDF9"/>
            </w:tcBorders>
          </w:tcPr>
          <w:p>
            <w:pPr>
              <w:spacing w:after="0"/>
              <w:rPr>
                <w:sz w:val="19"/>
                <w:szCs w:val="19"/>
                <w:color w:val="auto"/>
              </w:rPr>
            </w:pPr>
          </w:p>
        </w:tc>
        <w:tc>
          <w:tcPr>
            <w:tcW w:w="78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20"/>
                <w:szCs w:val="20"/>
                <w:color w:val="231F20"/>
              </w:rPr>
              <w:t>57,786</w:t>
            </w:r>
          </w:p>
        </w:tc>
        <w:tc>
          <w:tcPr>
            <w:tcW w:w="20" w:type="dxa"/>
            <w:vAlign w:val="bottom"/>
          </w:tcPr>
          <w:p>
            <w:pPr>
              <w:spacing w:after="0"/>
              <w:rPr>
                <w:sz w:val="19"/>
                <w:szCs w:val="19"/>
                <w:color w:val="auto"/>
              </w:rPr>
            </w:pPr>
          </w:p>
        </w:tc>
        <w:tc>
          <w:tcPr>
            <w:tcW w:w="200" w:type="dxa"/>
            <w:vAlign w:val="bottom"/>
            <w:tcBorders>
              <w:bottom w:val="single" w:sz="8" w:color="CFEDF9"/>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100" w:type="dxa"/>
            <w:vAlign w:val="bottom"/>
            <w:tcBorders>
              <w:bottom w:val="single" w:sz="8" w:color="CFEDF9"/>
            </w:tcBorders>
          </w:tcPr>
          <w:p>
            <w:pPr>
              <w:spacing w:after="0"/>
              <w:rPr>
                <w:sz w:val="19"/>
                <w:szCs w:val="19"/>
                <w:color w:val="auto"/>
              </w:rPr>
            </w:pPr>
          </w:p>
        </w:tc>
        <w:tc>
          <w:tcPr>
            <w:tcW w:w="200" w:type="dxa"/>
            <w:vAlign w:val="bottom"/>
            <w:tcBorders>
              <w:bottom w:val="single" w:sz="8" w:color="CFEDF9"/>
            </w:tcBorders>
          </w:tcPr>
          <w:p>
            <w:pPr>
              <w:spacing w:after="0"/>
              <w:rPr>
                <w:sz w:val="19"/>
                <w:szCs w:val="19"/>
                <w:color w:val="auto"/>
              </w:rPr>
            </w:pPr>
          </w:p>
        </w:tc>
        <w:tc>
          <w:tcPr>
            <w:tcW w:w="40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40" w:type="dxa"/>
            <w:vAlign w:val="bottom"/>
            <w:gridSpan w:val="2"/>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540" w:type="dxa"/>
            <w:vAlign w:val="bottom"/>
            <w:shd w:val="clear" w:color="auto" w:fill="CFEDF9"/>
          </w:tcPr>
          <w:p>
            <w:pPr>
              <w:spacing w:after="0"/>
              <w:rPr>
                <w:sz w:val="19"/>
                <w:szCs w:val="19"/>
                <w:color w:val="auto"/>
              </w:rPr>
            </w:pPr>
          </w:p>
        </w:tc>
        <w:tc>
          <w:tcPr>
            <w:tcW w:w="98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90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320" w:type="dxa"/>
            <w:vAlign w:val="bottom"/>
            <w:tcBorders>
              <w:bottom w:val="single" w:sz="8" w:color="231F20"/>
            </w:tcBorders>
            <w:shd w:val="clear" w:color="auto" w:fill="CFEDF9"/>
          </w:tcPr>
          <w:p>
            <w:pPr>
              <w:jc w:val="center"/>
              <w:ind w:right="130"/>
              <w:spacing w:after="0" w:line="220" w:lineRule="exact"/>
              <w:rPr>
                <w:sz w:val="20"/>
                <w:szCs w:val="20"/>
                <w:color w:val="auto"/>
              </w:rPr>
            </w:pPr>
            <w:r>
              <w:rPr>
                <w:rFonts w:ascii="Times New Roman" w:cs="Times New Roman" w:eastAsia="Times New Roman" w:hAnsi="Times New Roman"/>
                <w:sz w:val="20"/>
                <w:szCs w:val="20"/>
                <w:color w:val="231F20"/>
                <w:w w:val="99"/>
                <w:shd w:val="clear" w:color="auto" w:fill="CFEDF9"/>
              </w:rPr>
              <w:t>$</w:t>
            </w:r>
          </w:p>
        </w:tc>
        <w:tc>
          <w:tcPr>
            <w:tcW w:w="700" w:type="dxa"/>
            <w:vAlign w:val="bottom"/>
            <w:tcBorders>
              <w:bottom w:val="single" w:sz="8" w:color="231F20"/>
            </w:tcBorders>
            <w:gridSpan w:val="4"/>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802,500</w:t>
            </w:r>
          </w:p>
        </w:tc>
        <w:tc>
          <w:tcPr>
            <w:tcW w:w="6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220" w:type="dxa"/>
            <w:vAlign w:val="bottom"/>
            <w:tcBorders>
              <w:bottom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w:t>
            </w:r>
          </w:p>
        </w:tc>
        <w:tc>
          <w:tcPr>
            <w:tcW w:w="100" w:type="dxa"/>
            <w:vAlign w:val="bottom"/>
            <w:tcBorders>
              <w:bottom w:val="single" w:sz="8" w:color="231F20"/>
            </w:tcBorders>
            <w:shd w:val="clear" w:color="auto" w:fill="CFEDF9"/>
          </w:tcPr>
          <w:p>
            <w:pPr>
              <w:spacing w:after="0"/>
              <w:rPr>
                <w:sz w:val="19"/>
                <w:szCs w:val="19"/>
                <w:color w:val="auto"/>
              </w:rPr>
            </w:pPr>
          </w:p>
        </w:tc>
        <w:tc>
          <w:tcPr>
            <w:tcW w:w="480" w:type="dxa"/>
            <w:vAlign w:val="bottom"/>
            <w:tcBorders>
              <w:bottom w:val="single" w:sz="8" w:color="231F20"/>
            </w:tcBorders>
            <w:gridSpan w:val="3"/>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97"/>
                <w:shd w:val="clear" w:color="auto" w:fill="CFEDF9"/>
              </w:rPr>
              <w:t>2,472</w:t>
            </w:r>
          </w:p>
        </w:tc>
        <w:tc>
          <w:tcPr>
            <w:tcW w:w="200" w:type="dxa"/>
            <w:vAlign w:val="bottom"/>
            <w:shd w:val="clear" w:color="auto" w:fill="CFEDF9"/>
          </w:tcPr>
          <w:p>
            <w:pPr>
              <w:spacing w:after="0"/>
              <w:rPr>
                <w:sz w:val="19"/>
                <w:szCs w:val="19"/>
                <w:color w:val="auto"/>
              </w:rPr>
            </w:pPr>
          </w:p>
        </w:tc>
        <w:tc>
          <w:tcPr>
            <w:tcW w:w="1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00" w:type="dxa"/>
            <w:vAlign w:val="bottom"/>
            <w:tcBorders>
              <w:bottom w:val="single" w:sz="8" w:color="231F20"/>
            </w:tcBorders>
            <w:gridSpan w:val="5"/>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2,380</w:t>
            </w:r>
          </w:p>
        </w:tc>
        <w:tc>
          <w:tcPr>
            <w:tcW w:w="10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400" w:type="dxa"/>
            <w:vAlign w:val="bottom"/>
            <w:tcBorders>
              <w:bottom w:val="single" w:sz="8" w:color="231F20"/>
            </w:tcBorders>
            <w:shd w:val="clear" w:color="auto" w:fill="CFEDF9"/>
          </w:tcPr>
          <w:p>
            <w:pPr>
              <w:jc w:val="right"/>
              <w:ind w:right="21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20" w:type="dxa"/>
            <w:vAlign w:val="bottom"/>
            <w:tcBorders>
              <w:bottom w:val="single" w:sz="8" w:color="231F20"/>
            </w:tcBorders>
            <w:shd w:val="clear" w:color="auto" w:fill="CFEDF9"/>
          </w:tcPr>
          <w:p>
            <w:pPr>
              <w:spacing w:after="0"/>
              <w:rPr>
                <w:sz w:val="19"/>
                <w:szCs w:val="19"/>
                <w:color w:val="auto"/>
              </w:rPr>
            </w:pPr>
          </w:p>
        </w:tc>
        <w:tc>
          <w:tcPr>
            <w:tcW w:w="1040" w:type="dxa"/>
            <w:vAlign w:val="bottom"/>
            <w:tcBorders>
              <w:bottom w:val="single" w:sz="8" w:color="231F20"/>
            </w:tcBorders>
            <w:gridSpan w:val="3"/>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(55,965)</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6101715</wp:posOffset>
                </wp:positionH>
                <wp:positionV relativeFrom="paragraph">
                  <wp:posOffset>-3576955</wp:posOffset>
                </wp:positionV>
                <wp:extent cx="527050" cy="8763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46" o:spid="_x0000_s1071" style="position:absolute;margin-left:480.45pt;margin-top:-281.64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-3301365</wp:posOffset>
                </wp:positionV>
                <wp:extent cx="527050" cy="8763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87630"/>
                        </a:xfrm>
                        <a:prstGeom prst="rect">
                          <a:avLst/>
                        </a:prstGeom>
                        <a:solidFill>
                          <a:srgbClr val="CFEDF9"/>
                        </a:solidFill>
                      </wps:spPr>
                      <wps:bodyPr/>
                    </wps:wsp>
                  </a:graphicData>
                </a:graphic>
              </wp:anchor>
            </w:drawing>
          </mc:Choice>
          <mc:Fallback>
            <w:pict>
              <v:rect id="Shape 47" o:spid="_x0000_s1072" style="position:absolute;margin-left:480.45pt;margin-top:-259.9499pt;width:41.5pt;height: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ectPr>
          <w:pgSz w:w="12240" w:h="15840" w:orient="portrait"/>
          <w:cols w:equalWidth="0" w:num="1">
            <w:col w:w="10560"/>
          </w:cols>
          <w:pgMar w:left="840" w:top="937" w:right="840" w:bottom="186"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F-15</w:t>
      </w:r>
    </w:p>
    <w:p>
      <w:pPr>
        <w:sectPr>
          <w:pgSz w:w="12240" w:h="15840" w:orient="portrait"/>
          <w:cols w:equalWidth="0" w:num="1">
            <w:col w:w="10560"/>
          </w:cols>
          <w:pgMar w:left="840" w:top="937" w:right="840" w:bottom="186" w:gutter="0" w:footer="0" w:header="0"/>
          <w:type w:val="continuous"/>
        </w:sectPr>
      </w:pPr>
    </w:p>
    <w:bookmarkStart w:id="100" w:name="page101"/>
    <w:bookmarkEnd w:id="100"/>
    <w:p>
      <w:pPr>
        <w:ind w:left="983" w:hanging="493"/>
        <w:spacing w:after="0"/>
        <w:tabs>
          <w:tab w:leader="none" w:pos="983" w:val="left"/>
        </w:tabs>
        <w:numPr>
          <w:ilvl w:val="1"/>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Contains a variable rate structure. Bears interest at a rate determined by three-month LIBOR.</w:t>
      </w:r>
    </w:p>
    <w:p>
      <w:pPr>
        <w:spacing w:after="0" w:line="28" w:lineRule="exact"/>
        <w:rPr>
          <w:rFonts w:ascii="Times New Roman" w:cs="Times New Roman" w:eastAsia="Times New Roman" w:hAnsi="Times New Roman"/>
          <w:sz w:val="20"/>
          <w:szCs w:val="20"/>
          <w:color w:val="231F20"/>
        </w:rPr>
      </w:pPr>
    </w:p>
    <w:p>
      <w:pPr>
        <w:ind w:left="983" w:hanging="493"/>
        <w:spacing w:after="0"/>
        <w:tabs>
          <w:tab w:leader="none" w:pos="983" w:val="left"/>
        </w:tabs>
        <w:numPr>
          <w:ilvl w:val="1"/>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Interest rate swap was terminated or matured during the period.</w:t>
      </w:r>
    </w:p>
    <w:p>
      <w:pPr>
        <w:ind w:left="983" w:right="600" w:hanging="493"/>
        <w:spacing w:after="0"/>
        <w:tabs>
          <w:tab w:leader="none" w:pos="983" w:val="left"/>
        </w:tabs>
        <w:numPr>
          <w:ilvl w:val="1"/>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Instrument is used in a hedge accounting relationship. The associated change in fair value is recorded along with the change in fair value of the hedged item within interest expense.</w:t>
      </w:r>
    </w:p>
    <w:p>
      <w:pPr>
        <w:ind w:left="983" w:right="140" w:hanging="493"/>
        <w:spacing w:after="0" w:line="252" w:lineRule="auto"/>
        <w:tabs>
          <w:tab w:leader="none" w:pos="983" w:val="left"/>
        </w:tabs>
        <w:numPr>
          <w:ilvl w:val="1"/>
          <w:numId w:val="7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rFonts w:ascii="Times New Roman" w:cs="Times New Roman" w:eastAsia="Times New Roman" w:hAnsi="Times New Roman"/>
          <w:sz w:val="19"/>
          <w:szCs w:val="19"/>
          <w:color w:val="231F20"/>
        </w:rPr>
      </w:pPr>
    </w:p>
    <w:p>
      <w:pPr>
        <w:ind w:left="983" w:right="20" w:hanging="493"/>
        <w:spacing w:after="0" w:line="248" w:lineRule="auto"/>
        <w:tabs>
          <w:tab w:leader="none" w:pos="983" w:val="left"/>
        </w:tabs>
        <w:numPr>
          <w:ilvl w:val="1"/>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fair market value of this instrument is presented net with the $2.5 million in aggregate notional value of instruments no longer designated as instruments in a hedge accounting relationship.</w:t>
      </w:r>
    </w:p>
    <w:p>
      <w:pPr>
        <w:spacing w:after="0" w:line="94" w:lineRule="exact"/>
        <w:rPr>
          <w:rFonts w:ascii="Times New Roman" w:cs="Times New Roman" w:eastAsia="Times New Roman" w:hAnsi="Times New Roman"/>
          <w:sz w:val="20"/>
          <w:szCs w:val="20"/>
          <w:color w:val="231F20"/>
        </w:rPr>
      </w:pPr>
    </w:p>
    <w:p>
      <w:pPr>
        <w:ind w:left="483" w:hanging="483"/>
        <w:spacing w:after="0"/>
        <w:tabs>
          <w:tab w:leader="none" w:pos="483"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portfolio company investments are subject to contractual restrictions on sales.</w:t>
      </w:r>
    </w:p>
    <w:p>
      <w:pPr>
        <w:spacing w:after="0" w:line="28" w:lineRule="exact"/>
        <w:rPr>
          <w:rFonts w:ascii="Times New Roman" w:cs="Times New Roman" w:eastAsia="Times New Roman" w:hAnsi="Times New Roman"/>
          <w:sz w:val="20"/>
          <w:szCs w:val="20"/>
          <w:color w:val="231F20"/>
        </w:rPr>
      </w:pPr>
    </w:p>
    <w:p>
      <w:pPr>
        <w:ind w:left="483" w:right="260" w:hanging="483"/>
        <w:spacing w:after="0"/>
        <w:tabs>
          <w:tab w:leader="none" w:pos="483"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amortized cost represents the original cost adjusted for the amortization of discounts and premiums, as applicable, on debt investments using the effective interest method.</w:t>
      </w:r>
    </w:p>
    <w:p>
      <w:pPr>
        <w:ind w:left="483" w:right="100" w:hanging="483"/>
        <w:spacing w:after="0"/>
        <w:tabs>
          <w:tab w:leader="none" w:pos="483"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the Canadian Prime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w:t>
      </w:r>
    </w:p>
    <w:p>
      <w:pPr>
        <w:ind w:left="483" w:right="180" w:hanging="483"/>
        <w:spacing w:after="0"/>
        <w:tabs>
          <w:tab w:leader="none" w:pos="483"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9.7% of total assets as of December 31, 2022.</w:t>
      </w:r>
    </w:p>
    <w:p>
      <w:pPr>
        <w:ind w:left="483" w:right="60" w:hanging="483"/>
        <w:spacing w:after="0"/>
        <w:tabs>
          <w:tab w:leader="none" w:pos="483"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483" w:right="20" w:hanging="483"/>
        <w:spacing w:after="0" w:line="244" w:lineRule="auto"/>
        <w:tabs>
          <w:tab w:leader="none" w:pos="483"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Under the 1940 Act, the Company is deemed to be an “Affiliated Person” of, as defined in the 1940 Act, this portfolio company, as the Company owns more than 5% of the portfolio company’s outstanding voting securities. Transactions during the year ended December 31, 2022 in which the Company was an Affiliated Person of the portfolio company are as follows:</w:t>
      </w:r>
    </w:p>
    <w:p>
      <w:pPr>
        <w:spacing w:after="0" w:line="200" w:lineRule="exact"/>
        <w:rPr>
          <w:sz w:val="20"/>
          <w:szCs w:val="20"/>
          <w:color w:val="auto"/>
        </w:rPr>
      </w:pPr>
    </w:p>
    <w:p>
      <w:pPr>
        <w:spacing w:after="0" w:line="2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u w:val="single" w:color="auto"/>
          <w:color w:val="231F20"/>
        </w:rPr>
        <w:t>Non-controlled, Affiliated Investments during the year ended December 31, 2022</w:t>
      </w:r>
    </w:p>
    <w:p>
      <w:pPr>
        <w:spacing w:after="0" w:line="270"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231F20"/>
              </w:rPr>
              <w:t>Fair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w w:val="99"/>
              </w:rPr>
              <w:t>Net Change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Fair</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231F20"/>
                <w:w w:val="99"/>
              </w:rPr>
              <w:t>Value at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Gross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w w:val="96"/>
              </w:rPr>
              <w:t>Gross</w:t>
            </w:r>
          </w:p>
        </w:tc>
        <w:tc>
          <w:tcPr>
            <w:tcW w:w="1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231F20"/>
              </w:rPr>
              <w:t>Realized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w w:val="99"/>
              </w:rPr>
              <w:t>Value at</w:t>
            </w:r>
          </w:p>
        </w:tc>
        <w:tc>
          <w:tcPr>
            <w:tcW w:w="200" w:type="dxa"/>
            <w:vAlign w:val="bottom"/>
          </w:tcPr>
          <w:p>
            <w:pPr>
              <w:spacing w:after="0"/>
              <w:rPr>
                <w:sz w:val="13"/>
                <w:szCs w:val="13"/>
                <w:color w:val="auto"/>
              </w:rPr>
            </w:pPr>
          </w:p>
        </w:tc>
        <w:tc>
          <w:tcPr>
            <w:tcW w:w="6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Dividend</w:t>
            </w:r>
          </w:p>
        </w:tc>
        <w:tc>
          <w:tcPr>
            <w:tcW w:w="200" w:type="dxa"/>
            <w:vAlign w:val="bottom"/>
          </w:tcPr>
          <w:p>
            <w:pPr>
              <w:spacing w:after="0"/>
              <w:rPr>
                <w:sz w:val="13"/>
                <w:szCs w:val="13"/>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31F20"/>
              </w:rPr>
              <w:t>Interest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231F20"/>
              </w:rPr>
              <w:t>December 31,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80" w:type="dxa"/>
            <w:vAlign w:val="bottom"/>
            <w:gridSpan w:val="4"/>
          </w:tcPr>
          <w:p>
            <w:pPr>
              <w:jc w:val="center"/>
              <w:ind w:right="160"/>
              <w:spacing w:after="0" w:line="154" w:lineRule="exact"/>
              <w:rPr>
                <w:sz w:val="20"/>
                <w:szCs w:val="20"/>
                <w:color w:val="auto"/>
              </w:rPr>
            </w:pPr>
            <w:r>
              <w:rPr>
                <w:rFonts w:ascii="Times New Roman" w:cs="Times New Roman" w:eastAsia="Times New Roman" w:hAnsi="Times New Roman"/>
                <w:sz w:val="14"/>
                <w:szCs w:val="14"/>
                <w:b w:val="1"/>
                <w:bCs w:val="1"/>
                <w:color w:val="231F20"/>
                <w:w w:val="99"/>
              </w:rPr>
              <w:t>In Unrealized</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jc w:val="center"/>
              <w:ind w:right="20"/>
              <w:spacing w:after="0" w:line="154" w:lineRule="exact"/>
              <w:rPr>
                <w:sz w:val="20"/>
                <w:szCs w:val="20"/>
                <w:color w:val="auto"/>
              </w:rPr>
            </w:pPr>
            <w:r>
              <w:rPr>
                <w:rFonts w:ascii="Times New Roman" w:cs="Times New Roman" w:eastAsia="Times New Roman" w:hAnsi="Times New Roman"/>
                <w:sz w:val="14"/>
                <w:szCs w:val="14"/>
                <w:b w:val="1"/>
                <w:bCs w:val="1"/>
                <w:color w:val="231F20"/>
              </w:rPr>
              <w:t>December 31,</w:t>
            </w:r>
          </w:p>
        </w:tc>
        <w:tc>
          <w:tcPr>
            <w:tcW w:w="20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231F20"/>
              </w:rPr>
              <w:t>Company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231F20"/>
                <w:w w:val="99"/>
              </w:rPr>
              <w:t>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Additions (a)</w:t>
            </w:r>
          </w:p>
        </w:tc>
        <w:tc>
          <w:tcPr>
            <w:tcW w:w="200" w:type="dxa"/>
            <w:vAlign w:val="bottom"/>
          </w:tcPr>
          <w:p>
            <w:pPr>
              <w:spacing w:after="0"/>
              <w:rPr>
                <w:sz w:val="16"/>
                <w:szCs w:val="16"/>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231F20"/>
                <w:w w:val="98"/>
              </w:rPr>
              <w:t>Reductions (b)</w:t>
            </w:r>
          </w:p>
        </w:tc>
        <w:tc>
          <w:tcPr>
            <w:tcW w:w="120" w:type="dxa"/>
            <w:vAlign w:val="bottom"/>
          </w:tcPr>
          <w:p>
            <w:pPr>
              <w:spacing w:after="0"/>
              <w:rPr>
                <w:sz w:val="16"/>
                <w:szCs w:val="16"/>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w w:val="99"/>
              </w:rPr>
              <w:t>Gain/(Loss)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Gain/(Loss)</w:t>
            </w:r>
          </w:p>
        </w:tc>
        <w:tc>
          <w:tcPr>
            <w:tcW w:w="220" w:type="dxa"/>
            <w:vAlign w:val="bottom"/>
          </w:tcPr>
          <w:p>
            <w:pPr>
              <w:spacing w:after="0"/>
              <w:rPr>
                <w:sz w:val="16"/>
                <w:szCs w:val="16"/>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231F20"/>
              </w:rPr>
              <w:t>Transfers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231F20"/>
                <w:w w:val="99"/>
              </w:rPr>
              <w:t>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231F20"/>
                <w:w w:val="99"/>
              </w:rPr>
              <w:t>Income</w:t>
            </w:r>
          </w:p>
        </w:tc>
        <w:tc>
          <w:tcPr>
            <w:tcW w:w="2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Income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40" w:type="dxa"/>
            <w:vAlign w:val="bottom"/>
            <w:tcBorders>
              <w:top w:val="single" w:sz="8" w:color="231F20"/>
            </w:tcBorders>
            <w:shd w:val="clear" w:color="auto" w:fill="CFEDF9"/>
          </w:tcPr>
          <w:p>
            <w:pPr>
              <w:spacing w:after="0" w:line="179" w:lineRule="exact"/>
              <w:rPr>
                <w:sz w:val="20"/>
                <w:szCs w:val="20"/>
                <w:color w:val="auto"/>
              </w:rPr>
            </w:pPr>
            <w:r>
              <w:rPr>
                <w:rFonts w:ascii="Times New Roman" w:cs="Times New Roman" w:eastAsia="Times New Roman" w:hAnsi="Times New Roman"/>
                <w:sz w:val="18"/>
                <w:szCs w:val="18"/>
                <w:color w:val="231F20"/>
              </w:rPr>
              <w:t>MD America Energy,</w:t>
            </w:r>
          </w:p>
        </w:tc>
        <w:tc>
          <w:tcPr>
            <w:tcW w:w="100" w:type="dxa"/>
            <w:vAlign w:val="bottom"/>
            <w:tcBorders>
              <w:top w:val="single" w:sz="8" w:color="CFEDF9"/>
            </w:tcBorders>
            <w:shd w:val="clear" w:color="auto" w:fill="CFEDF9"/>
          </w:tcPr>
          <w:p>
            <w:pPr>
              <w:spacing w:after="0"/>
              <w:rPr>
                <w:sz w:val="15"/>
                <w:szCs w:val="15"/>
                <w:color w:val="auto"/>
              </w:rPr>
            </w:pPr>
          </w:p>
        </w:tc>
        <w:tc>
          <w:tcPr>
            <w:tcW w:w="140" w:type="dxa"/>
            <w:vAlign w:val="bottom"/>
            <w:tcBorders>
              <w:top w:val="single" w:sz="8" w:color="231F20"/>
            </w:tcBorders>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60" w:type="dxa"/>
            <w:vAlign w:val="bottom"/>
            <w:tcBorders>
              <w:top w:val="single" w:sz="8" w:color="231F20"/>
            </w:tcBorders>
            <w:gridSpan w:val="2"/>
            <w:vMerge w:val="restart"/>
            <w:shd w:val="clear" w:color="auto" w:fill="CFEDF9"/>
          </w:tcPr>
          <w:p>
            <w:pPr>
              <w:jc w:val="right"/>
              <w:ind w:right="20"/>
              <w:spacing w:after="0"/>
              <w:rPr>
                <w:sz w:val="20"/>
                <w:szCs w:val="20"/>
                <w:color w:val="auto"/>
              </w:rPr>
            </w:pPr>
            <w:r>
              <w:rPr>
                <w:rFonts w:ascii="Times New Roman" w:cs="Times New Roman" w:eastAsia="Times New Roman" w:hAnsi="Times New Roman"/>
                <w:sz w:val="18"/>
                <w:szCs w:val="18"/>
                <w:color w:val="231F20"/>
              </w:rPr>
              <w:t>27,017</w:t>
            </w:r>
          </w:p>
        </w:tc>
        <w:tc>
          <w:tcPr>
            <w:tcW w:w="200" w:type="dxa"/>
            <w:vAlign w:val="bottom"/>
            <w:tcBorders>
              <w:top w:val="single" w:sz="8" w:color="CFEDF9"/>
            </w:tcBorders>
            <w:shd w:val="clear" w:color="auto" w:fill="CFEDF9"/>
          </w:tcPr>
          <w:p>
            <w:pPr>
              <w:spacing w:after="0"/>
              <w:rPr>
                <w:sz w:val="15"/>
                <w:szCs w:val="15"/>
                <w:color w:val="auto"/>
              </w:rPr>
            </w:pPr>
          </w:p>
        </w:tc>
        <w:tc>
          <w:tcPr>
            <w:tcW w:w="180" w:type="dxa"/>
            <w:vAlign w:val="bottom"/>
            <w:tcBorders>
              <w:top w:val="single" w:sz="8" w:color="231F20"/>
            </w:tcBorders>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tcBorders>
              <w:top w:val="single" w:sz="8" w:color="231F20"/>
            </w:tcBorders>
            <w:gridSpan w:val="2"/>
            <w:vMerge w:val="restart"/>
            <w:shd w:val="clear" w:color="auto" w:fill="CFEDF9"/>
          </w:tcPr>
          <w:p>
            <w:pPr>
              <w:ind w:left="520"/>
              <w:spacing w:after="0"/>
              <w:rPr>
                <w:sz w:val="20"/>
                <w:szCs w:val="20"/>
                <w:color w:val="auto"/>
              </w:rPr>
            </w:pPr>
            <w:r>
              <w:rPr>
                <w:rFonts w:ascii="Times New Roman" w:cs="Times New Roman" w:eastAsia="Times New Roman" w:hAnsi="Times New Roman"/>
                <w:sz w:val="18"/>
                <w:szCs w:val="18"/>
                <w:color w:val="231F20"/>
                <w:w w:val="99"/>
              </w:rPr>
              <w:t>—</w:t>
            </w:r>
          </w:p>
        </w:tc>
        <w:tc>
          <w:tcPr>
            <w:tcW w:w="200" w:type="dxa"/>
            <w:vAlign w:val="bottom"/>
            <w:tcBorders>
              <w:top w:val="single" w:sz="8" w:color="CFEDF9"/>
            </w:tcBorders>
            <w:shd w:val="clear" w:color="auto" w:fill="CFEDF9"/>
          </w:tcPr>
          <w:p>
            <w:pPr>
              <w:spacing w:after="0"/>
              <w:rPr>
                <w:sz w:val="15"/>
                <w:szCs w:val="15"/>
                <w:color w:val="auto"/>
              </w:rPr>
            </w:pPr>
          </w:p>
        </w:tc>
        <w:tc>
          <w:tcPr>
            <w:tcW w:w="200" w:type="dxa"/>
            <w:vAlign w:val="bottom"/>
            <w:tcBorders>
              <w:top w:val="single" w:sz="8" w:color="231F20"/>
            </w:tcBorders>
            <w:vMerge w:val="restart"/>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w w:val="70"/>
              </w:rPr>
              <w:t>$</w:t>
            </w:r>
          </w:p>
        </w:tc>
        <w:tc>
          <w:tcPr>
            <w:tcW w:w="780" w:type="dxa"/>
            <w:vAlign w:val="bottom"/>
            <w:tcBorders>
              <w:top w:val="single" w:sz="8" w:color="231F20"/>
            </w:tcBorders>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(12,667)</w:t>
            </w:r>
          </w:p>
        </w:tc>
        <w:tc>
          <w:tcPr>
            <w:tcW w:w="220" w:type="dxa"/>
            <w:vAlign w:val="bottom"/>
            <w:tcBorders>
              <w:top w:val="single" w:sz="8" w:color="CFEDF9"/>
            </w:tcBorders>
            <w:shd w:val="clear" w:color="auto" w:fill="CFEDF9"/>
          </w:tcPr>
          <w:p>
            <w:pPr>
              <w:spacing w:after="0"/>
              <w:rPr>
                <w:sz w:val="15"/>
                <w:szCs w:val="15"/>
                <w:color w:val="auto"/>
              </w:rPr>
            </w:pPr>
          </w:p>
        </w:tc>
        <w:tc>
          <w:tcPr>
            <w:tcW w:w="120" w:type="dxa"/>
            <w:vAlign w:val="bottom"/>
            <w:tcBorders>
              <w:top w:val="single" w:sz="8" w:color="231F20"/>
            </w:tcBorders>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860" w:type="dxa"/>
            <w:vAlign w:val="bottom"/>
            <w:tcBorders>
              <w:top w:val="single" w:sz="8" w:color="231F20"/>
            </w:tcBorders>
            <w:gridSpan w:val="2"/>
            <w:vMerge w:val="restart"/>
            <w:shd w:val="clear" w:color="auto" w:fill="CFEDF9"/>
          </w:tcPr>
          <w:p>
            <w:pPr>
              <w:jc w:val="right"/>
              <w:ind w:right="20"/>
              <w:spacing w:after="0"/>
              <w:rPr>
                <w:sz w:val="20"/>
                <w:szCs w:val="20"/>
                <w:color w:val="auto"/>
              </w:rPr>
            </w:pPr>
            <w:r>
              <w:rPr>
                <w:rFonts w:ascii="Times New Roman" w:cs="Times New Roman" w:eastAsia="Times New Roman" w:hAnsi="Times New Roman"/>
                <w:sz w:val="18"/>
                <w:szCs w:val="18"/>
                <w:color w:val="231F20"/>
              </w:rPr>
              <w:t>(14,350</w:t>
            </w:r>
          </w:p>
        </w:tc>
        <w:tc>
          <w:tcPr>
            <w:tcW w:w="200" w:type="dxa"/>
            <w:vAlign w:val="bottom"/>
            <w:tcBorders>
              <w:top w:val="single" w:sz="8" w:color="CFEDF9"/>
            </w:tcBorders>
            <w:vMerge w:val="restart"/>
            <w:shd w:val="clear" w:color="auto" w:fill="CFEDF9"/>
          </w:tcPr>
          <w:p>
            <w:pPr>
              <w:jc w:val="right"/>
              <w:ind w:right="120"/>
              <w:spacing w:after="0"/>
              <w:rPr>
                <w:sz w:val="20"/>
                <w:szCs w:val="20"/>
                <w:color w:val="auto"/>
              </w:rPr>
            </w:pPr>
            <w:r>
              <w:rPr>
                <w:rFonts w:ascii="Times New Roman" w:cs="Times New Roman" w:eastAsia="Times New Roman" w:hAnsi="Times New Roman"/>
                <w:sz w:val="8"/>
                <w:szCs w:val="8"/>
                <w:color w:val="231F20"/>
                <w:w w:val="73"/>
              </w:rPr>
              <w:t>)</w:t>
            </w:r>
          </w:p>
        </w:tc>
        <w:tc>
          <w:tcPr>
            <w:tcW w:w="100" w:type="dxa"/>
            <w:vAlign w:val="bottom"/>
            <w:tcBorders>
              <w:top w:val="single" w:sz="8" w:color="231F20"/>
            </w:tcBorders>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60" w:type="dxa"/>
            <w:vAlign w:val="bottom"/>
            <w:tcBorders>
              <w:top w:val="single" w:sz="8" w:color="231F20"/>
            </w:tcBorders>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13,608</w:t>
            </w:r>
          </w:p>
        </w:tc>
        <w:tc>
          <w:tcPr>
            <w:tcW w:w="220" w:type="dxa"/>
            <w:vAlign w:val="bottom"/>
            <w:tcBorders>
              <w:top w:val="single" w:sz="8" w:color="CFEDF9"/>
            </w:tcBorders>
            <w:shd w:val="clear" w:color="auto" w:fill="CFEDF9"/>
          </w:tcPr>
          <w:p>
            <w:pPr>
              <w:spacing w:after="0"/>
              <w:rPr>
                <w:sz w:val="15"/>
                <w:szCs w:val="15"/>
                <w:color w:val="auto"/>
              </w:rPr>
            </w:pPr>
          </w:p>
        </w:tc>
        <w:tc>
          <w:tcPr>
            <w:tcW w:w="280" w:type="dxa"/>
            <w:vAlign w:val="bottom"/>
            <w:tcBorders>
              <w:top w:val="single" w:sz="8" w:color="231F20"/>
            </w:tcBorders>
            <w:vMerge w:val="restart"/>
            <w:shd w:val="clear" w:color="auto" w:fill="CFEDF9"/>
          </w:tcPr>
          <w:p>
            <w:pPr>
              <w:jc w:val="right"/>
              <w:ind w:right="97"/>
              <w:spacing w:after="0"/>
              <w:rPr>
                <w:sz w:val="20"/>
                <w:szCs w:val="20"/>
                <w:color w:val="auto"/>
              </w:rPr>
            </w:pPr>
            <w:r>
              <w:rPr>
                <w:rFonts w:ascii="Times New Roman" w:cs="Times New Roman" w:eastAsia="Times New Roman" w:hAnsi="Times New Roman"/>
                <w:sz w:val="18"/>
                <w:szCs w:val="18"/>
                <w:color w:val="231F20"/>
                <w:w w:val="88"/>
              </w:rPr>
              <w:t>$</w:t>
            </w:r>
          </w:p>
        </w:tc>
        <w:tc>
          <w:tcPr>
            <w:tcW w:w="400" w:type="dxa"/>
            <w:vAlign w:val="bottom"/>
            <w:tcBorders>
              <w:top w:val="single" w:sz="8" w:color="231F20"/>
            </w:tcBorders>
            <w:gridSpan w:val="2"/>
            <w:vMerge w:val="restart"/>
            <w:shd w:val="clear" w:color="auto" w:fill="CFEDF9"/>
          </w:tcPr>
          <w:p>
            <w:pPr>
              <w:ind w:left="200"/>
              <w:spacing w:after="0"/>
              <w:rPr>
                <w:sz w:val="20"/>
                <w:szCs w:val="20"/>
                <w:color w:val="auto"/>
              </w:rPr>
            </w:pPr>
            <w:r>
              <w:rPr>
                <w:rFonts w:ascii="Times New Roman" w:cs="Times New Roman" w:eastAsia="Times New Roman" w:hAnsi="Times New Roman"/>
                <w:sz w:val="18"/>
                <w:szCs w:val="18"/>
                <w:color w:val="231F20"/>
                <w:w w:val="99"/>
              </w:rPr>
              <w:t>—</w:t>
            </w:r>
          </w:p>
        </w:tc>
        <w:tc>
          <w:tcPr>
            <w:tcW w:w="200" w:type="dxa"/>
            <w:vAlign w:val="bottom"/>
            <w:tcBorders>
              <w:top w:val="single" w:sz="8" w:color="CFEDF9"/>
            </w:tcBorders>
            <w:shd w:val="clear" w:color="auto" w:fill="CFEDF9"/>
          </w:tcPr>
          <w:p>
            <w:pPr>
              <w:spacing w:after="0"/>
              <w:rPr>
                <w:sz w:val="15"/>
                <w:szCs w:val="15"/>
                <w:color w:val="auto"/>
              </w:rPr>
            </w:pPr>
          </w:p>
        </w:tc>
        <w:tc>
          <w:tcPr>
            <w:tcW w:w="140" w:type="dxa"/>
            <w:vAlign w:val="bottom"/>
            <w:tcBorders>
              <w:top w:val="single" w:sz="8" w:color="231F20"/>
            </w:tcBorders>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40" w:type="dxa"/>
            <w:vAlign w:val="bottom"/>
            <w:tcBorders>
              <w:top w:val="single" w:sz="8" w:color="231F20"/>
            </w:tcBorders>
            <w:gridSpan w:val="2"/>
            <w:vMerge w:val="restart"/>
            <w:shd w:val="clear" w:color="auto" w:fill="CFEDF9"/>
          </w:tcPr>
          <w:p>
            <w:pPr>
              <w:ind w:left="540"/>
              <w:spacing w:after="0"/>
              <w:rPr>
                <w:sz w:val="20"/>
                <w:szCs w:val="20"/>
                <w:color w:val="auto"/>
              </w:rPr>
            </w:pPr>
            <w:r>
              <w:rPr>
                <w:rFonts w:ascii="Times New Roman" w:cs="Times New Roman" w:eastAsia="Times New Roman" w:hAnsi="Times New Roman"/>
                <w:sz w:val="18"/>
                <w:szCs w:val="18"/>
                <w:color w:val="231F20"/>
                <w:w w:val="99"/>
              </w:rPr>
              <w:t>—</w:t>
            </w:r>
          </w:p>
        </w:tc>
        <w:tc>
          <w:tcPr>
            <w:tcW w:w="200" w:type="dxa"/>
            <w:vAlign w:val="bottom"/>
            <w:tcBorders>
              <w:top w:val="single" w:sz="8" w:color="CFEDF9"/>
            </w:tcBorders>
            <w:shd w:val="clear" w:color="auto" w:fill="CFEDF9"/>
          </w:tcPr>
          <w:p>
            <w:pPr>
              <w:spacing w:after="0"/>
              <w:rPr>
                <w:sz w:val="15"/>
                <w:szCs w:val="15"/>
                <w:color w:val="auto"/>
              </w:rPr>
            </w:pPr>
          </w:p>
        </w:tc>
        <w:tc>
          <w:tcPr>
            <w:tcW w:w="260" w:type="dxa"/>
            <w:vAlign w:val="bottom"/>
            <w:tcBorders>
              <w:top w:val="single" w:sz="8" w:color="231F20"/>
            </w:tcBorders>
            <w:vMerge w:val="restart"/>
            <w:shd w:val="clear" w:color="auto" w:fill="CFEDF9"/>
          </w:tcPr>
          <w:p>
            <w:pPr>
              <w:jc w:val="right"/>
              <w:ind w:right="80"/>
              <w:spacing w:after="0"/>
              <w:rPr>
                <w:sz w:val="20"/>
                <w:szCs w:val="20"/>
                <w:color w:val="auto"/>
              </w:rPr>
            </w:pPr>
            <w:r>
              <w:rPr>
                <w:rFonts w:ascii="Times New Roman" w:cs="Times New Roman" w:eastAsia="Times New Roman" w:hAnsi="Times New Roman"/>
                <w:sz w:val="18"/>
                <w:szCs w:val="18"/>
                <w:color w:val="231F20"/>
                <w:w w:val="88"/>
              </w:rPr>
              <w:t>$</w:t>
            </w:r>
          </w:p>
        </w:tc>
        <w:tc>
          <w:tcPr>
            <w:tcW w:w="360" w:type="dxa"/>
            <w:vAlign w:val="bottom"/>
            <w:tcBorders>
              <w:top w:val="single" w:sz="8" w:color="231F20"/>
            </w:tcBorders>
            <w:gridSpan w:val="2"/>
            <w:vMerge w:val="restart"/>
            <w:shd w:val="clear" w:color="auto" w:fill="CFEDF9"/>
          </w:tcPr>
          <w:p>
            <w:pPr>
              <w:ind w:left="160"/>
              <w:spacing w:after="0"/>
              <w:rPr>
                <w:sz w:val="20"/>
                <w:szCs w:val="20"/>
                <w:color w:val="auto"/>
              </w:rPr>
            </w:pPr>
            <w:r>
              <w:rPr>
                <w:rFonts w:ascii="Times New Roman" w:cs="Times New Roman" w:eastAsia="Times New Roman" w:hAnsi="Times New Roman"/>
                <w:sz w:val="18"/>
                <w:szCs w:val="18"/>
                <w:color w:val="231F20"/>
                <w:w w:val="99"/>
              </w:rPr>
              <w:t>—</w:t>
            </w:r>
          </w:p>
        </w:tc>
        <w:tc>
          <w:tcPr>
            <w:tcW w:w="200" w:type="dxa"/>
            <w:vAlign w:val="bottom"/>
            <w:tcBorders>
              <w:top w:val="single" w:sz="8" w:color="CFEDF9"/>
            </w:tcBorders>
            <w:shd w:val="clear" w:color="auto" w:fill="CFEDF9"/>
          </w:tcPr>
          <w:p>
            <w:pPr>
              <w:spacing w:after="0"/>
              <w:rPr>
                <w:sz w:val="15"/>
                <w:szCs w:val="15"/>
                <w:color w:val="auto"/>
              </w:rPr>
            </w:pPr>
          </w:p>
        </w:tc>
        <w:tc>
          <w:tcPr>
            <w:tcW w:w="200" w:type="dxa"/>
            <w:vAlign w:val="bottom"/>
            <w:tcBorders>
              <w:top w:val="single" w:sz="8" w:color="231F20"/>
            </w:tcBorders>
            <w:vMerge w:val="restart"/>
            <w:shd w:val="clear" w:color="auto" w:fill="CFEDF9"/>
          </w:tcPr>
          <w:p>
            <w:pPr>
              <w:jc w:val="right"/>
              <w:ind w:right="43"/>
              <w:spacing w:after="0"/>
              <w:rPr>
                <w:sz w:val="20"/>
                <w:szCs w:val="20"/>
                <w:color w:val="auto"/>
              </w:rPr>
            </w:pPr>
            <w:r>
              <w:rPr>
                <w:rFonts w:ascii="Times New Roman" w:cs="Times New Roman" w:eastAsia="Times New Roman" w:hAnsi="Times New Roman"/>
                <w:sz w:val="17"/>
                <w:szCs w:val="17"/>
                <w:color w:val="231F20"/>
                <w:w w:val="70"/>
              </w:rPr>
              <w:t>$</w:t>
            </w:r>
          </w:p>
        </w:tc>
        <w:tc>
          <w:tcPr>
            <w:tcW w:w="400" w:type="dxa"/>
            <w:vAlign w:val="bottom"/>
            <w:tcBorders>
              <w:top w:val="single" w:sz="8" w:color="231F20"/>
            </w:tcBorders>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133</w:t>
            </w:r>
          </w:p>
        </w:tc>
        <w:tc>
          <w:tcPr>
            <w:tcW w:w="100" w:type="dxa"/>
            <w:vAlign w:val="bottom"/>
            <w:tcBorders>
              <w:top w:val="single" w:sz="8" w:color="CFEDF9"/>
            </w:tcBorders>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40" w:type="dxa"/>
            <w:vAlign w:val="bottom"/>
            <w:shd w:val="clear" w:color="auto" w:fill="CFEDF9"/>
          </w:tcPr>
          <w:p>
            <w:pPr>
              <w:ind w:left="140"/>
              <w:spacing w:after="0" w:line="225" w:lineRule="exact"/>
              <w:rPr>
                <w:sz w:val="20"/>
                <w:szCs w:val="20"/>
                <w:color w:val="auto"/>
              </w:rPr>
            </w:pPr>
            <w:r>
              <w:rPr>
                <w:rFonts w:ascii="Times New Roman" w:cs="Times New Roman" w:eastAsia="Times New Roman" w:hAnsi="Times New Roman"/>
                <w:sz w:val="26"/>
                <w:szCs w:val="26"/>
                <w:color w:val="231F20"/>
                <w:vertAlign w:val="subscript"/>
              </w:rPr>
              <w:t>LLC</w:t>
            </w:r>
            <w:r>
              <w:rPr>
                <w:rFonts w:ascii="Times New Roman" w:cs="Times New Roman" w:eastAsia="Times New Roman" w:hAnsi="Times New Roman"/>
                <w:sz w:val="11"/>
                <w:szCs w:val="11"/>
                <w:color w:val="231F20"/>
              </w:rPr>
              <w:t xml:space="preserve"> (c)</w:t>
            </w:r>
          </w:p>
        </w:tc>
        <w:tc>
          <w:tcPr>
            <w:tcW w:w="100" w:type="dxa"/>
            <w:vAlign w:val="bottom"/>
            <w:shd w:val="clear" w:color="auto" w:fill="CFEDF9"/>
          </w:tcPr>
          <w:p>
            <w:pPr>
              <w:spacing w:after="0"/>
              <w:rPr>
                <w:sz w:val="19"/>
                <w:szCs w:val="19"/>
                <w:color w:val="auto"/>
              </w:rPr>
            </w:pPr>
          </w:p>
        </w:tc>
        <w:tc>
          <w:tcPr>
            <w:tcW w:w="140" w:type="dxa"/>
            <w:vAlign w:val="bottom"/>
            <w:vMerge w:val="continue"/>
            <w:shd w:val="clear" w:color="auto" w:fill="CFEDF9"/>
          </w:tcPr>
          <w:p>
            <w:pPr>
              <w:spacing w:after="0"/>
              <w:rPr>
                <w:sz w:val="19"/>
                <w:szCs w:val="19"/>
                <w:color w:val="auto"/>
              </w:rPr>
            </w:pPr>
          </w:p>
        </w:tc>
        <w:tc>
          <w:tcPr>
            <w:tcW w:w="760" w:type="dxa"/>
            <w:vAlign w:val="bottom"/>
            <w:gridSpan w:val="2"/>
            <w:vMerge w:val="continue"/>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180" w:type="dxa"/>
            <w:vAlign w:val="bottom"/>
            <w:vMerge w:val="continue"/>
            <w:shd w:val="clear" w:color="auto" w:fill="CFEDF9"/>
          </w:tcPr>
          <w:p>
            <w:pPr>
              <w:spacing w:after="0"/>
              <w:rPr>
                <w:sz w:val="19"/>
                <w:szCs w:val="19"/>
                <w:color w:val="auto"/>
              </w:rPr>
            </w:pPr>
          </w:p>
        </w:tc>
        <w:tc>
          <w:tcPr>
            <w:tcW w:w="720" w:type="dxa"/>
            <w:vAlign w:val="bottom"/>
            <w:gridSpan w:val="2"/>
            <w:vMerge w:val="continue"/>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200" w:type="dxa"/>
            <w:vAlign w:val="bottom"/>
            <w:vMerge w:val="continue"/>
            <w:shd w:val="clear" w:color="auto" w:fill="CFEDF9"/>
          </w:tcPr>
          <w:p>
            <w:pPr>
              <w:spacing w:after="0"/>
              <w:rPr>
                <w:sz w:val="19"/>
                <w:szCs w:val="19"/>
                <w:color w:val="auto"/>
              </w:rPr>
            </w:pPr>
          </w:p>
        </w:tc>
        <w:tc>
          <w:tcPr>
            <w:tcW w:w="780" w:type="dxa"/>
            <w:vAlign w:val="bottom"/>
            <w:vMerge w:val="continue"/>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20" w:type="dxa"/>
            <w:vAlign w:val="bottom"/>
            <w:vMerge w:val="continue"/>
            <w:shd w:val="clear" w:color="auto" w:fill="CFEDF9"/>
          </w:tcPr>
          <w:p>
            <w:pPr>
              <w:spacing w:after="0"/>
              <w:rPr>
                <w:sz w:val="19"/>
                <w:szCs w:val="19"/>
                <w:color w:val="auto"/>
              </w:rPr>
            </w:pPr>
          </w:p>
        </w:tc>
        <w:tc>
          <w:tcPr>
            <w:tcW w:w="860" w:type="dxa"/>
            <w:vAlign w:val="bottom"/>
            <w:gridSpan w:val="2"/>
            <w:vMerge w:val="continue"/>
            <w:shd w:val="clear" w:color="auto" w:fill="CFEDF9"/>
          </w:tcPr>
          <w:p>
            <w:pPr>
              <w:spacing w:after="0"/>
              <w:rPr>
                <w:sz w:val="19"/>
                <w:szCs w:val="19"/>
                <w:color w:val="auto"/>
              </w:rPr>
            </w:pPr>
          </w:p>
        </w:tc>
        <w:tc>
          <w:tcPr>
            <w:tcW w:w="200" w:type="dxa"/>
            <w:vAlign w:val="bottom"/>
            <w:vMerge w:val="continue"/>
            <w:shd w:val="clear" w:color="auto" w:fill="CFEDF9"/>
          </w:tcPr>
          <w:p>
            <w:pPr>
              <w:spacing w:after="0"/>
              <w:rPr>
                <w:sz w:val="19"/>
                <w:szCs w:val="19"/>
                <w:color w:val="auto"/>
              </w:rPr>
            </w:pPr>
          </w:p>
        </w:tc>
        <w:tc>
          <w:tcPr>
            <w:tcW w:w="100" w:type="dxa"/>
            <w:vAlign w:val="bottom"/>
            <w:vMerge w:val="continue"/>
            <w:shd w:val="clear" w:color="auto" w:fill="CFEDF9"/>
          </w:tcPr>
          <w:p>
            <w:pPr>
              <w:spacing w:after="0"/>
              <w:rPr>
                <w:sz w:val="19"/>
                <w:szCs w:val="19"/>
                <w:color w:val="auto"/>
              </w:rPr>
            </w:pPr>
          </w:p>
        </w:tc>
        <w:tc>
          <w:tcPr>
            <w:tcW w:w="660" w:type="dxa"/>
            <w:vAlign w:val="bottom"/>
            <w:vMerge w:val="continue"/>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280" w:type="dxa"/>
            <w:vAlign w:val="bottom"/>
            <w:vMerge w:val="continue"/>
            <w:shd w:val="clear" w:color="auto" w:fill="CFEDF9"/>
          </w:tcPr>
          <w:p>
            <w:pPr>
              <w:spacing w:after="0"/>
              <w:rPr>
                <w:sz w:val="19"/>
                <w:szCs w:val="19"/>
                <w:color w:val="auto"/>
              </w:rPr>
            </w:pPr>
          </w:p>
        </w:tc>
        <w:tc>
          <w:tcPr>
            <w:tcW w:w="400" w:type="dxa"/>
            <w:vAlign w:val="bottom"/>
            <w:gridSpan w:val="2"/>
            <w:vMerge w:val="continue"/>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140" w:type="dxa"/>
            <w:vAlign w:val="bottom"/>
            <w:vMerge w:val="continue"/>
            <w:shd w:val="clear" w:color="auto" w:fill="CFEDF9"/>
          </w:tcPr>
          <w:p>
            <w:pPr>
              <w:spacing w:after="0"/>
              <w:rPr>
                <w:sz w:val="19"/>
                <w:szCs w:val="19"/>
                <w:color w:val="auto"/>
              </w:rPr>
            </w:pPr>
          </w:p>
        </w:tc>
        <w:tc>
          <w:tcPr>
            <w:tcW w:w="740" w:type="dxa"/>
            <w:vAlign w:val="bottom"/>
            <w:gridSpan w:val="2"/>
            <w:vMerge w:val="continue"/>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260" w:type="dxa"/>
            <w:vAlign w:val="bottom"/>
            <w:vMerge w:val="continue"/>
            <w:shd w:val="clear" w:color="auto" w:fill="CFEDF9"/>
          </w:tcPr>
          <w:p>
            <w:pPr>
              <w:spacing w:after="0"/>
              <w:rPr>
                <w:sz w:val="19"/>
                <w:szCs w:val="19"/>
                <w:color w:val="auto"/>
              </w:rPr>
            </w:pPr>
          </w:p>
        </w:tc>
        <w:tc>
          <w:tcPr>
            <w:tcW w:w="360" w:type="dxa"/>
            <w:vAlign w:val="bottom"/>
            <w:gridSpan w:val="2"/>
            <w:vMerge w:val="continue"/>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200" w:type="dxa"/>
            <w:vAlign w:val="bottom"/>
            <w:vMerge w:val="continue"/>
            <w:shd w:val="clear" w:color="auto" w:fill="CFEDF9"/>
          </w:tcPr>
          <w:p>
            <w:pPr>
              <w:spacing w:after="0"/>
              <w:rPr>
                <w:sz w:val="19"/>
                <w:szCs w:val="19"/>
                <w:color w:val="auto"/>
              </w:rPr>
            </w:pPr>
          </w:p>
        </w:tc>
        <w:tc>
          <w:tcPr>
            <w:tcW w:w="400" w:type="dxa"/>
            <w:vAlign w:val="bottom"/>
            <w:vMerge w:val="continue"/>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74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b w:val="1"/>
                <w:bCs w:val="1"/>
                <w:color w:val="231F20"/>
              </w:rPr>
              <w:t>Total</w:t>
            </w:r>
          </w:p>
        </w:tc>
        <w:tc>
          <w:tcPr>
            <w:tcW w:w="100" w:type="dxa"/>
            <w:vAlign w:val="bottom"/>
          </w:tcPr>
          <w:p>
            <w:pPr>
              <w:spacing w:after="0"/>
              <w:rPr>
                <w:sz w:val="17"/>
                <w:szCs w:val="17"/>
                <w:color w:val="auto"/>
              </w:rPr>
            </w:pPr>
          </w:p>
        </w:tc>
        <w:tc>
          <w:tcPr>
            <w:tcW w:w="14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74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rPr>
              <w:t>27,017</w:t>
            </w:r>
          </w:p>
        </w:tc>
        <w:tc>
          <w:tcPr>
            <w:tcW w:w="20" w:type="dxa"/>
            <w:vAlign w:val="bottom"/>
            <w:tcBorders>
              <w:bottom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700" w:type="dxa"/>
            <w:vAlign w:val="bottom"/>
            <w:tcBorders>
              <w:top w:val="single" w:sz="8" w:color="231F20"/>
              <w:bottom w:val="single" w:sz="8" w:color="231F20"/>
            </w:tcBorders>
          </w:tcPr>
          <w:p>
            <w:pPr>
              <w:ind w:left="520"/>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20" w:type="dxa"/>
            <w:vAlign w:val="bottom"/>
            <w:tcBorders>
              <w:bottom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231F20"/>
              <w:bottom w:val="single" w:sz="8" w:color="231F20"/>
            </w:tcBorders>
          </w:tcPr>
          <w:p>
            <w:pPr>
              <w:jc w:val="right"/>
              <w:ind w:right="40"/>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8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rPr>
              <w:t>(12,667</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74"/>
              </w:rPr>
              <w:t>)</w:t>
            </w:r>
          </w:p>
        </w:tc>
        <w:tc>
          <w:tcPr>
            <w:tcW w:w="12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84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rPr>
              <w:t>(14,350</w:t>
            </w:r>
          </w:p>
        </w:tc>
        <w:tc>
          <w:tcPr>
            <w:tcW w:w="20" w:type="dxa"/>
            <w:vAlign w:val="bottom"/>
            <w:tcBorders>
              <w:bottom w:val="single" w:sz="8" w:color="231F20"/>
            </w:tcBorders>
          </w:tcPr>
          <w:p>
            <w:pPr>
              <w:spacing w:after="0"/>
              <w:rPr>
                <w:sz w:val="17"/>
                <w:szCs w:val="17"/>
                <w:color w:val="auto"/>
              </w:rPr>
            </w:pP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10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66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rPr>
              <w:t>13,608</w:t>
            </w:r>
          </w:p>
        </w:tc>
        <w:tc>
          <w:tcPr>
            <w:tcW w:w="220" w:type="dxa"/>
            <w:vAlign w:val="bottom"/>
          </w:tcPr>
          <w:p>
            <w:pPr>
              <w:spacing w:after="0"/>
              <w:rPr>
                <w:sz w:val="17"/>
                <w:szCs w:val="17"/>
                <w:color w:val="auto"/>
              </w:rPr>
            </w:pPr>
          </w:p>
        </w:tc>
        <w:tc>
          <w:tcPr>
            <w:tcW w:w="280" w:type="dxa"/>
            <w:vAlign w:val="bottom"/>
            <w:tcBorders>
              <w:top w:val="single" w:sz="8" w:color="231F20"/>
              <w:bottom w:val="single" w:sz="8" w:color="231F20"/>
            </w:tcBorders>
          </w:tcPr>
          <w:p>
            <w:pPr>
              <w:jc w:val="right"/>
              <w:ind w:right="97"/>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380" w:type="dxa"/>
            <w:vAlign w:val="bottom"/>
            <w:tcBorders>
              <w:top w:val="single" w:sz="8" w:color="231F20"/>
              <w:bottom w:val="single" w:sz="8" w:color="231F20"/>
            </w:tcBorders>
          </w:tcPr>
          <w:p>
            <w:pPr>
              <w:ind w:left="200"/>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20" w:type="dxa"/>
            <w:vAlign w:val="bottom"/>
            <w:tcBorders>
              <w:bottom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720" w:type="dxa"/>
            <w:vAlign w:val="bottom"/>
            <w:tcBorders>
              <w:top w:val="single" w:sz="8" w:color="231F20"/>
              <w:bottom w:val="single" w:sz="8" w:color="231F20"/>
            </w:tcBorders>
          </w:tcPr>
          <w:p>
            <w:pPr>
              <w:ind w:left="540"/>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20" w:type="dxa"/>
            <w:vAlign w:val="bottom"/>
            <w:tcBorders>
              <w:bottom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231F20"/>
              <w:bottom w:val="single" w:sz="8" w:color="231F20"/>
            </w:tcBorders>
          </w:tcPr>
          <w:p>
            <w:pPr>
              <w:jc w:val="right"/>
              <w:ind w:right="80"/>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340" w:type="dxa"/>
            <w:vAlign w:val="bottom"/>
            <w:tcBorders>
              <w:top w:val="single" w:sz="8" w:color="231F20"/>
              <w:bottom w:val="single" w:sz="8" w:color="231F20"/>
            </w:tcBorders>
          </w:tcPr>
          <w:p>
            <w:pPr>
              <w:ind w:left="160"/>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20" w:type="dxa"/>
            <w:vAlign w:val="bottom"/>
            <w:tcBorders>
              <w:bottom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231F20"/>
              <w:bottom w:val="single" w:sz="8" w:color="231F20"/>
            </w:tcBorders>
          </w:tcPr>
          <w:p>
            <w:pPr>
              <w:jc w:val="right"/>
              <w:ind w:right="43"/>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400" w:type="dxa"/>
            <w:vAlign w:val="bottom"/>
            <w:tcBorders>
              <w:top w:val="single" w:sz="8" w:color="231F20"/>
              <w:bottom w:val="single" w:sz="8" w:color="231F20"/>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rPr>
              <w:t>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983" w:right="40" w:hanging="494"/>
        <w:spacing w:after="0" w:line="254" w:lineRule="auto"/>
        <w:tabs>
          <w:tab w:leader="none" w:pos="983"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Times New Roman" w:cs="Times New Roman" w:eastAsia="Times New Roman" w:hAnsi="Times New Roman"/>
          <w:sz w:val="20"/>
          <w:szCs w:val="20"/>
          <w:color w:val="231F20"/>
        </w:rPr>
      </w:pPr>
    </w:p>
    <w:p>
      <w:pPr>
        <w:ind w:left="983" w:right="640" w:hanging="494"/>
        <w:spacing w:after="0"/>
        <w:tabs>
          <w:tab w:leader="none" w:pos="983"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ind w:left="983" w:hanging="494"/>
        <w:spacing w:after="0"/>
        <w:tabs>
          <w:tab w:leader="none" w:pos="983" w:val="left"/>
        </w:tabs>
        <w:numPr>
          <w:ilvl w:val="1"/>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investment in SMPA Holdings, LLC of 15,000 common equity units.</w:t>
      </w:r>
    </w:p>
    <w:p>
      <w:pPr>
        <w:spacing w:after="0" w:line="99" w:lineRule="exact"/>
        <w:rPr>
          <w:rFonts w:ascii="Times New Roman" w:cs="Times New Roman" w:eastAsia="Times New Roman" w:hAnsi="Times New Roman"/>
          <w:sz w:val="20"/>
          <w:szCs w:val="20"/>
          <w:color w:val="231F20"/>
        </w:rPr>
      </w:pPr>
    </w:p>
    <w:p>
      <w:pPr>
        <w:ind w:left="483" w:right="60" w:hanging="483"/>
        <w:spacing w:after="0" w:line="249" w:lineRule="auto"/>
        <w:tabs>
          <w:tab w:leader="none" w:pos="483"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2022 in which the issuer was an Affiliated Person of and was deemed to Control a portfolio company are as follows:</w:t>
      </w:r>
    </w:p>
    <w:p>
      <w:pPr>
        <w:sectPr>
          <w:pgSz w:w="12240" w:h="15840" w:orient="portrait"/>
          <w:cols w:equalWidth="0" w:num="1">
            <w:col w:w="10883"/>
          </w:cols>
          <w:pgMar w:left="677" w:top="1206" w:right="6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231F20"/>
        </w:rPr>
        <w:t>F-16</w:t>
      </w:r>
    </w:p>
    <w:p>
      <w:pPr>
        <w:sectPr>
          <w:pgSz w:w="12240" w:h="15840" w:orient="portrait"/>
          <w:cols w:equalWidth="0" w:num="1">
            <w:col w:w="10883"/>
          </w:cols>
          <w:pgMar w:left="677" w:top="1206" w:right="680" w:bottom="186" w:gutter="0" w:footer="0" w:header="0"/>
          <w:type w:val="continuous"/>
        </w:sectPr>
      </w:pPr>
    </w:p>
    <w:bookmarkStart w:id="101" w:name="page102"/>
    <w:bookmarkEnd w:id="101"/>
    <w:p>
      <w:pPr>
        <w:jc w:val="center"/>
        <w:ind w:right="-2"/>
        <w:spacing w:after="0"/>
        <w:rPr>
          <w:sz w:val="20"/>
          <w:szCs w:val="20"/>
          <w:color w:val="auto"/>
        </w:rPr>
      </w:pPr>
      <w:r>
        <w:rPr>
          <w:rFonts w:ascii="Times New Roman" w:cs="Times New Roman" w:eastAsia="Times New Roman" w:hAnsi="Times New Roman"/>
          <w:sz w:val="20"/>
          <w:szCs w:val="20"/>
          <w:b w:val="1"/>
          <w:bCs w:val="1"/>
          <w:u w:val="single" w:color="auto"/>
          <w:color w:val="231F20"/>
        </w:rPr>
        <w:t>Controlled, Affiliated Investments during the year ended December 31, 2022</w:t>
      </w:r>
    </w:p>
    <w:p>
      <w:pPr>
        <w:spacing w:after="0" w:line="264"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Fair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rPr>
              <w:t>Fair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w w:val="99"/>
              </w:rPr>
              <w:t>Value at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231F20"/>
                <w:w w:val="96"/>
              </w:rPr>
              <w:t>Gross</w:t>
            </w:r>
          </w:p>
        </w:tc>
        <w:tc>
          <w:tcPr>
            <w:tcW w:w="80" w:type="dxa"/>
            <w:vAlign w:val="bottom"/>
          </w:tcPr>
          <w:p>
            <w:pPr>
              <w:spacing w:after="0"/>
              <w:rPr>
                <w:sz w:val="13"/>
                <w:szCs w:val="13"/>
                <w:color w:val="auto"/>
              </w:rPr>
            </w:pP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231F20"/>
                <w:w w:val="99"/>
              </w:rPr>
              <w:t>Net Change</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w w:val="99"/>
              </w:rPr>
              <w:t>Value at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231F20"/>
              </w:rPr>
              <w:t>December 31,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75"/>
              <w:spacing w:after="0" w:line="154" w:lineRule="exact"/>
              <w:rPr>
                <w:sz w:val="20"/>
                <w:szCs w:val="20"/>
                <w:color w:val="auto"/>
              </w:rPr>
            </w:pPr>
            <w:r>
              <w:rPr>
                <w:rFonts w:ascii="Times New Roman" w:cs="Times New Roman" w:eastAsia="Times New Roman" w:hAnsi="Times New Roman"/>
                <w:sz w:val="14"/>
                <w:szCs w:val="14"/>
                <w:b w:val="1"/>
                <w:bCs w:val="1"/>
                <w:color w:val="231F20"/>
              </w:rPr>
              <w:t>Gross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9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231F20"/>
              </w:rPr>
              <w:t>In Unrealized</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5"/>
              <w:spacing w:after="0" w:line="154" w:lineRule="exact"/>
              <w:rPr>
                <w:sz w:val="20"/>
                <w:szCs w:val="20"/>
                <w:color w:val="auto"/>
              </w:rPr>
            </w:pPr>
            <w:r>
              <w:rPr>
                <w:rFonts w:ascii="Times New Roman" w:cs="Times New Roman" w:eastAsia="Times New Roman" w:hAnsi="Times New Roman"/>
                <w:sz w:val="14"/>
                <w:szCs w:val="14"/>
                <w:b w:val="1"/>
                <w:bCs w:val="1"/>
                <w:color w:val="231F20"/>
              </w:rPr>
              <w:t>Realized</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231F20"/>
              </w:rPr>
              <w:t>December 31,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5"/>
              <w:spacing w:after="0" w:line="154" w:lineRule="exact"/>
              <w:rPr>
                <w:sz w:val="20"/>
                <w:szCs w:val="20"/>
                <w:color w:val="auto"/>
              </w:rPr>
            </w:pPr>
            <w:r>
              <w:rPr>
                <w:rFonts w:ascii="Times New Roman" w:cs="Times New Roman" w:eastAsia="Times New Roman" w:hAnsi="Times New Roman"/>
                <w:sz w:val="14"/>
                <w:szCs w:val="14"/>
                <w:b w:val="1"/>
                <w:bCs w:val="1"/>
                <w:color w:val="231F20"/>
              </w:rPr>
              <w:t>Other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231F20"/>
              </w:rPr>
              <w:t>Interest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231F20"/>
              </w:rPr>
              <w:t>Company</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w w:val="99"/>
              </w:rPr>
              <w:t>2021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w w:val="99"/>
              </w:rPr>
              <w:t>Additions (a)</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231F20"/>
                <w:w w:val="98"/>
              </w:rPr>
              <w:t>Reductions (b)</w:t>
            </w:r>
          </w:p>
        </w:tc>
        <w:tc>
          <w:tcPr>
            <w:tcW w:w="8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231F20"/>
                <w:w w:val="99"/>
              </w:rPr>
              <w:t>Gain/(Loss)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Gain/(Loss)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231F20"/>
              </w:rPr>
              <w:t>Transfers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w w:val="99"/>
              </w:rPr>
              <w:t>2022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Income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Income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40" w:type="dxa"/>
            <w:vAlign w:val="bottom"/>
            <w:tcBorders>
              <w:top w:val="single" w:sz="8" w:color="231F20"/>
            </w:tcBorders>
            <w:shd w:val="clear" w:color="auto" w:fill="CFEDF9"/>
          </w:tcPr>
          <w:p>
            <w:pPr>
              <w:spacing w:after="0" w:line="197" w:lineRule="exact"/>
              <w:rPr>
                <w:sz w:val="20"/>
                <w:szCs w:val="20"/>
                <w:color w:val="auto"/>
              </w:rPr>
            </w:pPr>
            <w:r>
              <w:rPr>
                <w:rFonts w:ascii="Times New Roman" w:cs="Times New Roman" w:eastAsia="Times New Roman" w:hAnsi="Times New Roman"/>
                <w:sz w:val="18"/>
                <w:szCs w:val="18"/>
                <w:color w:val="231F20"/>
              </w:rPr>
              <w:t>IRGSE Holding Corp.</w:t>
            </w:r>
          </w:p>
        </w:tc>
        <w:tc>
          <w:tcPr>
            <w:tcW w:w="10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14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80" w:type="dxa"/>
            <w:vAlign w:val="bottom"/>
            <w:tcBorders>
              <w:top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rPr>
              <w:t>59,779</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160" w:type="dxa"/>
            <w:vAlign w:val="bottom"/>
            <w:tcBorders>
              <w:top w:val="single" w:sz="8" w:color="231F20"/>
            </w:tcBorders>
            <w:shd w:val="clear" w:color="auto" w:fill="CFEDF9"/>
          </w:tcPr>
          <w:p>
            <w:pPr>
              <w:jc w:val="right"/>
              <w:ind w:right="40"/>
              <w:spacing w:after="0"/>
              <w:rPr>
                <w:sz w:val="20"/>
                <w:szCs w:val="20"/>
                <w:color w:val="auto"/>
              </w:rPr>
            </w:pPr>
            <w:r>
              <w:rPr>
                <w:rFonts w:ascii="Times New Roman" w:cs="Times New Roman" w:eastAsia="Times New Roman" w:hAnsi="Times New Roman"/>
                <w:sz w:val="11"/>
                <w:szCs w:val="11"/>
                <w:color w:val="231F20"/>
                <w:w w:val="71"/>
              </w:rPr>
              <w:t>$</w:t>
            </w:r>
          </w:p>
        </w:tc>
        <w:tc>
          <w:tcPr>
            <w:tcW w:w="680" w:type="dxa"/>
            <w:vAlign w:val="bottom"/>
            <w:tcBorders>
              <w:top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rPr>
              <w:t>4,420</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180" w:type="dxa"/>
            <w:vAlign w:val="bottom"/>
            <w:tcBorders>
              <w:top w:val="single" w:sz="8" w:color="231F20"/>
            </w:tcBorders>
            <w:shd w:val="clear" w:color="auto" w:fill="CFEDF9"/>
          </w:tcPr>
          <w:p>
            <w:pPr>
              <w:jc w:val="right"/>
              <w:ind w:right="20"/>
              <w:spacing w:after="0"/>
              <w:rPr>
                <w:sz w:val="20"/>
                <w:szCs w:val="20"/>
                <w:color w:val="auto"/>
              </w:rPr>
            </w:pPr>
            <w:r>
              <w:rPr>
                <w:rFonts w:ascii="Times New Roman" w:cs="Times New Roman" w:eastAsia="Times New Roman" w:hAnsi="Times New Roman"/>
                <w:sz w:val="17"/>
                <w:szCs w:val="17"/>
                <w:color w:val="231F20"/>
                <w:w w:val="70"/>
              </w:rPr>
              <w:t>$</w:t>
            </w:r>
          </w:p>
        </w:tc>
        <w:tc>
          <w:tcPr>
            <w:tcW w:w="780" w:type="dxa"/>
            <w:vAlign w:val="bottom"/>
            <w:tcBorders>
              <w:top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rPr>
              <w:t>—</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8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tcBorders>
              <w:top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rPr>
              <w:t>6,556</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8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top w:val="single" w:sz="8" w:color="231F20"/>
            </w:tcBorders>
            <w:shd w:val="clear" w:color="auto" w:fill="CFEDF9"/>
          </w:tcPr>
          <w:p>
            <w:pPr>
              <w:ind w:left="480"/>
              <w:spacing w:after="0" w:line="197" w:lineRule="exact"/>
              <w:rPr>
                <w:sz w:val="20"/>
                <w:szCs w:val="20"/>
                <w:color w:val="auto"/>
              </w:rPr>
            </w:pPr>
            <w:r>
              <w:rPr>
                <w:rFonts w:ascii="Times New Roman" w:cs="Times New Roman" w:eastAsia="Times New Roman" w:hAnsi="Times New Roman"/>
                <w:sz w:val="18"/>
                <w:szCs w:val="18"/>
                <w:color w:val="231F20"/>
                <w:w w:val="88"/>
              </w:rPr>
              <w:t>—</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60" w:type="dxa"/>
            <w:vAlign w:val="bottom"/>
            <w:tcBorders>
              <w:top w:val="single" w:sz="8" w:color="231F20"/>
            </w:tcBorders>
            <w:shd w:val="clear" w:color="auto" w:fill="CFEDF9"/>
          </w:tcPr>
          <w:p>
            <w:pPr>
              <w:jc w:val="right"/>
              <w:ind w:right="100"/>
              <w:spacing w:after="0"/>
              <w:rPr>
                <w:sz w:val="20"/>
                <w:szCs w:val="20"/>
                <w:color w:val="auto"/>
              </w:rPr>
            </w:pPr>
            <w:r>
              <w:rPr>
                <w:rFonts w:ascii="Times New Roman" w:cs="Times New Roman" w:eastAsia="Times New Roman" w:hAnsi="Times New Roman"/>
                <w:sz w:val="17"/>
                <w:szCs w:val="17"/>
                <w:color w:val="231F20"/>
                <w:w w:val="70"/>
              </w:rPr>
              <w:t>$</w:t>
            </w:r>
          </w:p>
        </w:tc>
        <w:tc>
          <w:tcPr>
            <w:tcW w:w="380" w:type="dxa"/>
            <w:vAlign w:val="bottom"/>
            <w:tcBorders>
              <w:top w:val="single" w:sz="8" w:color="231F20"/>
            </w:tcBorders>
            <w:shd w:val="clear" w:color="auto" w:fill="CFEDF9"/>
          </w:tcPr>
          <w:p>
            <w:pPr>
              <w:ind w:left="200"/>
              <w:spacing w:after="0" w:line="197" w:lineRule="exact"/>
              <w:rPr>
                <w:sz w:val="20"/>
                <w:szCs w:val="20"/>
                <w:color w:val="auto"/>
              </w:rPr>
            </w:pPr>
            <w:r>
              <w:rPr>
                <w:rFonts w:ascii="Times New Roman" w:cs="Times New Roman" w:eastAsia="Times New Roman" w:hAnsi="Times New Roman"/>
                <w:sz w:val="18"/>
                <w:szCs w:val="18"/>
                <w:color w:val="231F20"/>
                <w:w w:val="88"/>
              </w:rPr>
              <w:t>—</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1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720" w:type="dxa"/>
            <w:vAlign w:val="bottom"/>
            <w:tcBorders>
              <w:top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shd w:val="clear" w:color="auto" w:fill="CFEDF9"/>
              </w:rPr>
              <w:t>70,755</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8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500" w:type="dxa"/>
            <w:vAlign w:val="bottom"/>
            <w:tcBorders>
              <w:top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rPr>
              <w:t>5</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1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CFEDF9"/>
              </w:rPr>
              <w:t>$</w:t>
            </w:r>
          </w:p>
        </w:tc>
        <w:tc>
          <w:tcPr>
            <w:tcW w:w="460" w:type="dxa"/>
            <w:vAlign w:val="bottom"/>
            <w:tcBorders>
              <w:top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shd w:val="clear" w:color="auto" w:fill="CFEDF9"/>
              </w:rPr>
              <w:t>5,064</w:t>
            </w:r>
          </w:p>
        </w:tc>
        <w:tc>
          <w:tcPr>
            <w:tcW w:w="100" w:type="dxa"/>
            <w:vAlign w:val="bottom"/>
            <w:tcBorders>
              <w:top w:val="single" w:sz="8" w:color="CFEDF9"/>
            </w:tcBorders>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231F20"/>
              </w:rPr>
              <w:t>Mississippi Resources,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LLC</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(1,553)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231F20"/>
                <w:w w:val="88"/>
              </w:rPr>
              <w:t>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231F20"/>
                <w:w w:val="88"/>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740" w:type="dxa"/>
            <w:vAlign w:val="bottom"/>
            <w:tcBorders>
              <w:top w:val="single" w:sz="8" w:color="CFEDF9"/>
            </w:tcBorders>
            <w:shd w:val="clear" w:color="auto" w:fill="CFEDF9"/>
          </w:tcPr>
          <w:p>
            <w:pPr>
              <w:spacing w:after="0" w:line="197" w:lineRule="exact"/>
              <w:rPr>
                <w:sz w:val="20"/>
                <w:szCs w:val="20"/>
                <w:color w:val="auto"/>
              </w:rPr>
            </w:pPr>
            <w:r>
              <w:rPr>
                <w:rFonts w:ascii="Times New Roman" w:cs="Times New Roman" w:eastAsia="Times New Roman" w:hAnsi="Times New Roman"/>
                <w:sz w:val="18"/>
                <w:szCs w:val="18"/>
                <w:b w:val="1"/>
                <w:bCs w:val="1"/>
                <w:color w:val="231F20"/>
              </w:rPr>
              <w:t>Total</w:t>
            </w:r>
          </w:p>
        </w:tc>
        <w:tc>
          <w:tcPr>
            <w:tcW w:w="10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b w:val="1"/>
                <w:bCs w:val="1"/>
                <w:color w:val="231F20"/>
                <w:w w:val="70"/>
                <w:shd w:val="clear" w:color="auto" w:fill="CFEDF9"/>
              </w:rPr>
              <w:t>$</w:t>
            </w:r>
          </w:p>
        </w:tc>
        <w:tc>
          <w:tcPr>
            <w:tcW w:w="780" w:type="dxa"/>
            <w:vAlign w:val="bottom"/>
            <w:tcBorders>
              <w:top w:val="single" w:sz="8" w:color="231F20"/>
              <w:bottom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shd w:val="clear" w:color="auto" w:fill="CFEDF9"/>
              </w:rPr>
              <w:t>59,779</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60" w:type="dxa"/>
            <w:vAlign w:val="bottom"/>
            <w:tcBorders>
              <w:top w:val="single" w:sz="8" w:color="231F20"/>
              <w:bottom w:val="single" w:sz="8" w:color="231F20"/>
            </w:tcBorders>
            <w:shd w:val="clear" w:color="auto" w:fill="CFEDF9"/>
          </w:tcPr>
          <w:p>
            <w:pPr>
              <w:jc w:val="right"/>
              <w:ind w:right="40"/>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680" w:type="dxa"/>
            <w:vAlign w:val="bottom"/>
            <w:tcBorders>
              <w:top w:val="single" w:sz="8" w:color="231F20"/>
              <w:bottom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rPr>
              <w:t>4,420</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80" w:type="dxa"/>
            <w:vAlign w:val="bottom"/>
            <w:tcBorders>
              <w:top w:val="single" w:sz="8" w:color="231F20"/>
              <w:bottom w:val="single" w:sz="8" w:color="231F20"/>
            </w:tcBorders>
            <w:shd w:val="clear" w:color="auto" w:fill="CFEDF9"/>
          </w:tcPr>
          <w:p>
            <w:pPr>
              <w:jc w:val="right"/>
              <w:ind w:right="20"/>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780" w:type="dxa"/>
            <w:vAlign w:val="bottom"/>
            <w:tcBorders>
              <w:top w:val="single" w:sz="8" w:color="231F20"/>
              <w:bottom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rPr>
              <w:t>(1,553)</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8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820" w:type="dxa"/>
            <w:vAlign w:val="bottom"/>
            <w:tcBorders>
              <w:top w:val="single" w:sz="8" w:color="231F20"/>
              <w:bottom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rPr>
              <w:t>8,054</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8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60" w:type="dxa"/>
            <w:vAlign w:val="bottom"/>
            <w:tcBorders>
              <w:top w:val="single" w:sz="8" w:color="231F20"/>
              <w:bottom w:val="single" w:sz="8" w:color="231F20"/>
            </w:tcBorders>
            <w:shd w:val="clear" w:color="auto" w:fill="CFEDF9"/>
          </w:tcPr>
          <w:p>
            <w:pPr>
              <w:ind w:left="480"/>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55</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260" w:type="dxa"/>
            <w:vAlign w:val="bottom"/>
            <w:tcBorders>
              <w:top w:val="single" w:sz="8" w:color="231F20"/>
              <w:bottom w:val="single" w:sz="8" w:color="231F20"/>
            </w:tcBorders>
            <w:shd w:val="clear" w:color="auto" w:fill="CFEDF9"/>
          </w:tcPr>
          <w:p>
            <w:pPr>
              <w:jc w:val="right"/>
              <w:ind w:right="100"/>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380" w:type="dxa"/>
            <w:vAlign w:val="bottom"/>
            <w:tcBorders>
              <w:top w:val="single" w:sz="8" w:color="231F20"/>
              <w:bottom w:val="single" w:sz="8" w:color="231F20"/>
            </w:tcBorders>
            <w:shd w:val="clear" w:color="auto" w:fill="CFEDF9"/>
          </w:tcPr>
          <w:p>
            <w:pPr>
              <w:ind w:left="200"/>
              <w:spacing w:after="0" w:line="197" w:lineRule="exact"/>
              <w:rPr>
                <w:sz w:val="20"/>
                <w:szCs w:val="20"/>
                <w:color w:val="auto"/>
              </w:rPr>
            </w:pPr>
            <w:r>
              <w:rPr>
                <w:rFonts w:ascii="Times New Roman" w:cs="Times New Roman" w:eastAsia="Times New Roman" w:hAnsi="Times New Roman"/>
                <w:sz w:val="18"/>
                <w:szCs w:val="18"/>
                <w:b w:val="1"/>
                <w:bCs w:val="1"/>
                <w:color w:val="231F20"/>
                <w:w w:val="88"/>
              </w:rPr>
              <w:t>—</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b w:val="1"/>
                <w:bCs w:val="1"/>
                <w:color w:val="231F20"/>
                <w:w w:val="70"/>
                <w:shd w:val="clear" w:color="auto" w:fill="CFEDF9"/>
              </w:rPr>
              <w:t>$</w:t>
            </w:r>
          </w:p>
        </w:tc>
        <w:tc>
          <w:tcPr>
            <w:tcW w:w="720" w:type="dxa"/>
            <w:vAlign w:val="bottom"/>
            <w:tcBorders>
              <w:top w:val="single" w:sz="8" w:color="231F20"/>
              <w:bottom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shd w:val="clear" w:color="auto" w:fill="CFEDF9"/>
              </w:rPr>
              <w:t>70,755</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8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500" w:type="dxa"/>
            <w:vAlign w:val="bottom"/>
            <w:tcBorders>
              <w:top w:val="single" w:sz="8" w:color="231F20"/>
              <w:bottom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rPr>
              <w:t>5</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1"/>
                <w:szCs w:val="11"/>
                <w:b w:val="1"/>
                <w:bCs w:val="1"/>
                <w:color w:val="231F20"/>
                <w:w w:val="71"/>
                <w:shd w:val="clear" w:color="auto" w:fill="CFEDF9"/>
              </w:rPr>
              <w:t>$</w:t>
            </w:r>
          </w:p>
        </w:tc>
        <w:tc>
          <w:tcPr>
            <w:tcW w:w="460" w:type="dxa"/>
            <w:vAlign w:val="bottom"/>
            <w:tcBorders>
              <w:top w:val="single" w:sz="8" w:color="231F20"/>
              <w:bottom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231F20"/>
                <w:shd w:val="clear" w:color="auto" w:fill="CFEDF9"/>
              </w:rPr>
              <w:t>5,064</w:t>
            </w:r>
          </w:p>
        </w:tc>
        <w:tc>
          <w:tcPr>
            <w:tcW w:w="100" w:type="dxa"/>
            <w:vAlign w:val="bottom"/>
            <w:tcBorders>
              <w:top w:val="single" w:sz="8" w:color="CFEDF9"/>
            </w:tcBorders>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983" w:right="40" w:hanging="494"/>
        <w:spacing w:after="0" w:line="254" w:lineRule="auto"/>
        <w:tabs>
          <w:tab w:leader="none" w:pos="983" w:val="left"/>
        </w:tabs>
        <w:numPr>
          <w:ilvl w:val="1"/>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Times New Roman" w:cs="Times New Roman" w:eastAsia="Times New Roman" w:hAnsi="Times New Roman"/>
          <w:sz w:val="20"/>
          <w:szCs w:val="20"/>
          <w:color w:val="231F20"/>
        </w:rPr>
      </w:pPr>
    </w:p>
    <w:p>
      <w:pPr>
        <w:ind w:left="983" w:right="640" w:hanging="494"/>
        <w:spacing w:after="0" w:line="242" w:lineRule="auto"/>
        <w:tabs>
          <w:tab w:leader="none" w:pos="983" w:val="left"/>
        </w:tabs>
        <w:numPr>
          <w:ilvl w:val="1"/>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1" w:lineRule="exact"/>
        <w:rPr>
          <w:rFonts w:ascii="Times New Roman" w:cs="Times New Roman" w:eastAsia="Times New Roman" w:hAnsi="Times New Roman"/>
          <w:sz w:val="20"/>
          <w:szCs w:val="20"/>
          <w:color w:val="231F20"/>
        </w:rPr>
      </w:pPr>
    </w:p>
    <w:p>
      <w:pPr>
        <w:ind w:left="483" w:right="520" w:hanging="483"/>
        <w:spacing w:after="0" w:line="254" w:lineRule="auto"/>
        <w:tabs>
          <w:tab w:leader="none" w:pos="483"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December 31, 2022, the estimated cost basis of investments for U.S. federal tax purposes was $2,787,005 resulting in estimated gross unrealized gains and losses of $109,609 and $105,786, respectively.</w:t>
      </w:r>
    </w:p>
    <w:p>
      <w:pPr>
        <w:spacing w:after="0" w:line="1" w:lineRule="exact"/>
        <w:rPr>
          <w:rFonts w:ascii="Times New Roman" w:cs="Times New Roman" w:eastAsia="Times New Roman" w:hAnsi="Times New Roman"/>
          <w:sz w:val="20"/>
          <w:szCs w:val="20"/>
          <w:color w:val="231F20"/>
        </w:rPr>
      </w:pPr>
    </w:p>
    <w:p>
      <w:pPr>
        <w:ind w:left="483" w:right="20" w:hanging="483"/>
        <w:spacing w:after="0"/>
        <w:tabs>
          <w:tab w:leader="none" w:pos="483"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 accordance with Financial Accounting Standards Board Accounting Standards Codification Topic 820, </w:t>
      </w:r>
      <w:r>
        <w:rPr>
          <w:rFonts w:ascii="Times New Roman" w:cs="Times New Roman" w:eastAsia="Times New Roman" w:hAnsi="Times New Roman"/>
          <w:sz w:val="20"/>
          <w:szCs w:val="20"/>
          <w:i w:val="1"/>
          <w:iCs w:val="1"/>
          <w:color w:val="231F20"/>
        </w:rPr>
        <w:t>Fair Value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Measurements </w:t>
      </w:r>
      <w:r>
        <w:rPr>
          <w:rFonts w:ascii="Times New Roman" w:cs="Times New Roman" w:eastAsia="Times New Roman" w:hAnsi="Times New Roman"/>
          <w:sz w:val="20"/>
          <w:szCs w:val="20"/>
          <w:color w:val="231F20"/>
        </w:rPr>
        <w:t>(“ASC Topic 820”), unless otherwise indicated, the fair values of all investments were determined using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significant unobservable inputs and are considered Level 3 investments. See Note 6 for further information related to investments at fair value.</w:t>
      </w:r>
    </w:p>
    <w:p>
      <w:pPr>
        <w:ind w:left="483" w:right="400" w:hanging="483"/>
        <w:spacing w:after="0"/>
        <w:tabs>
          <w:tab w:leader="none" w:pos="483"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investment is valued using observable inputs and is considered a Level 2 investment. See Note 6 for further information related to investments at fair value.</w:t>
      </w:r>
    </w:p>
    <w:p>
      <w:pPr>
        <w:ind w:left="483" w:right="400" w:hanging="483"/>
        <w:spacing w:after="0"/>
        <w:tabs>
          <w:tab w:leader="none" w:pos="483"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investment is valued using observable inputs and is considered a Level 1 investment. See Note 6 for further information related to investments at fair value.</w:t>
      </w:r>
    </w:p>
    <w:p>
      <w:pPr>
        <w:ind w:left="483" w:hanging="483"/>
        <w:spacing w:after="0"/>
        <w:tabs>
          <w:tab w:leader="none" w:pos="483"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investment is non-income producing.</w:t>
      </w:r>
    </w:p>
    <w:p>
      <w:pPr>
        <w:ind w:left="483" w:right="80" w:hanging="483"/>
        <w:spacing w:after="0"/>
        <w:tabs>
          <w:tab w:leader="none" w:pos="483"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All or a portion of this security was acquired in a transaction exempt from registration under the Securities Act of 1933, and may be deemed to be “restricted securities” under the Securities Act. As of December 31, 2022, the aggregate fair value of these securities is $47,288, or 3.5% of the Company’s net assets.</w:t>
      </w:r>
    </w:p>
    <w:p>
      <w:pPr>
        <w:ind w:left="483" w:hanging="483"/>
        <w:spacing w:after="0"/>
        <w:tabs>
          <w:tab w:leader="none" w:pos="483"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Ownership of equity investments may occur through a holding company or partnership.</w:t>
      </w:r>
    </w:p>
    <w:p>
      <w:pPr>
        <w:ind w:left="483" w:hanging="483"/>
        <w:spacing w:after="0" w:line="224" w:lineRule="auto"/>
        <w:tabs>
          <w:tab w:leader="none" w:pos="483"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Investment is on non-accrual status as of December 31, 2022.</w:t>
      </w:r>
    </w:p>
    <w:p>
      <w:pPr>
        <w:spacing w:after="0" w:line="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2240" w:h="15840" w:orient="portrait"/>
          <w:cols w:equalWidth="0" w:num="1">
            <w:col w:w="10883"/>
          </w:cols>
          <w:pgMar w:left="677" w:top="911" w:right="6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color w:val="231F20"/>
        </w:rPr>
        <w:t>F-17</w:t>
      </w:r>
    </w:p>
    <w:p>
      <w:pPr>
        <w:sectPr>
          <w:pgSz w:w="12240" w:h="15840" w:orient="portrait"/>
          <w:cols w:equalWidth="0" w:num="1">
            <w:col w:w="10883"/>
          </w:cols>
          <w:pgMar w:left="677" w:top="911" w:right="680" w:bottom="186"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231F20"/>
        </w:rPr>
        <w:t>Sixth Street Specialty Lending,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Changes in Net Assets</w:t>
      </w: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7"/>
          </w:tcPr>
          <w:p>
            <w:pPr>
              <w:jc w:val="right"/>
              <w:ind w:right="260"/>
              <w:spacing w:after="0"/>
              <w:rPr>
                <w:sz w:val="20"/>
                <w:szCs w:val="20"/>
                <w:color w:val="auto"/>
              </w:rPr>
            </w:pPr>
            <w:r>
              <w:rPr>
                <w:rFonts w:ascii="Times New Roman" w:cs="Times New Roman" w:eastAsia="Times New Roman" w:hAnsi="Times New Roman"/>
                <w:sz w:val="15"/>
                <w:szCs w:val="15"/>
                <w:b w:val="1"/>
                <w:bCs w:val="1"/>
                <w:color w:val="231F20"/>
              </w:rPr>
              <w:t>Common Stock</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11"/>
          </w:tcPr>
          <w:p>
            <w:pPr>
              <w:ind w:left="120"/>
              <w:spacing w:after="0"/>
              <w:rPr>
                <w:sz w:val="20"/>
                <w:szCs w:val="20"/>
                <w:color w:val="auto"/>
              </w:rPr>
            </w:pPr>
            <w:r>
              <w:rPr>
                <w:rFonts w:ascii="Times New Roman" w:cs="Times New Roman" w:eastAsia="Times New Roman" w:hAnsi="Times New Roman"/>
                <w:sz w:val="15"/>
                <w:szCs w:val="15"/>
                <w:b w:val="1"/>
                <w:bCs w:val="1"/>
                <w:color w:val="231F20"/>
              </w:rPr>
              <w:t>Treasury 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231F20"/>
                <w:w w:val="96"/>
              </w:rPr>
              <w:t>Paid in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231F20"/>
            </w:tcBorders>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10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42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480" w:type="dxa"/>
            <w:vAlign w:val="bottom"/>
            <w:tcBorders>
              <w:top w:val="single" w:sz="8" w:color="231F20"/>
            </w:tcBorders>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231F20"/>
              </w:rPr>
              <w:t>Par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231F20"/>
              </w:rPr>
              <w:t>Capital 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Distributable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231F20"/>
                <w:w w:val="99"/>
              </w:rPr>
              <w:t>Total Net</w:t>
            </w:r>
          </w:p>
        </w:tc>
        <w:tc>
          <w:tcPr>
            <w:tcW w:w="0" w:type="dxa"/>
            <w:vAlign w:val="bottom"/>
          </w:tcPr>
          <w:p>
            <w:pPr>
              <w:spacing w:after="0"/>
              <w:rPr>
                <w:sz w:val="1"/>
                <w:szCs w:val="1"/>
                <w:color w:val="auto"/>
              </w:rPr>
            </w:pPr>
          </w:p>
        </w:tc>
      </w:tr>
      <w:tr>
        <w:trPr>
          <w:trHeight w:val="172"/>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231F20"/>
              </w:rPr>
              <w:t>Excess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231F20"/>
                <w:w w:val="95"/>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231F20"/>
              </w:rPr>
              <w:t>of Par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231F20"/>
              </w:rPr>
              <w:t>Earnings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231F20"/>
              </w:rPr>
              <w:t>Assets</w:t>
            </w:r>
          </w:p>
        </w:tc>
        <w:tc>
          <w:tcPr>
            <w:tcW w:w="0" w:type="dxa"/>
            <w:vAlign w:val="bottom"/>
          </w:tcPr>
          <w:p>
            <w:pPr>
              <w:spacing w:after="0"/>
              <w:rPr>
                <w:sz w:val="1"/>
                <w:szCs w:val="1"/>
                <w:color w:val="auto"/>
              </w:rPr>
            </w:pPr>
          </w:p>
        </w:tc>
      </w:tr>
      <w:tr>
        <w:trPr>
          <w:trHeight w:val="162"/>
        </w:trPr>
        <w:tc>
          <w:tcPr>
            <w:tcW w:w="4760" w:type="dxa"/>
            <w:vAlign w:val="bottom"/>
            <w:tcBorders>
              <w:top w:val="single" w:sz="8" w:color="CFEDF9"/>
            </w:tcBorders>
            <w:shd w:val="clear" w:color="auto" w:fill="CFEDF9"/>
          </w:tcPr>
          <w:p>
            <w:pPr>
              <w:spacing w:after="0" w:line="163" w:lineRule="exact"/>
              <w:rPr>
                <w:sz w:val="20"/>
                <w:szCs w:val="20"/>
                <w:color w:val="auto"/>
              </w:rPr>
            </w:pPr>
            <w:r>
              <w:rPr>
                <w:rFonts w:ascii="Times New Roman" w:cs="Times New Roman" w:eastAsia="Times New Roman" w:hAnsi="Times New Roman"/>
                <w:sz w:val="15"/>
                <w:szCs w:val="15"/>
                <w:b w:val="1"/>
                <w:bCs w:val="1"/>
                <w:color w:val="231F20"/>
              </w:rPr>
              <w:t>Balance at December 31, 2020</w:t>
            </w:r>
          </w:p>
        </w:tc>
        <w:tc>
          <w:tcPr>
            <w:tcW w:w="8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740" w:type="dxa"/>
            <w:vAlign w:val="bottom"/>
            <w:tcBorders>
              <w:top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color w:val="231F20"/>
                <w:shd w:val="clear" w:color="auto" w:fill="CFEDF9"/>
              </w:rPr>
              <w:t>67,684,209</w:t>
            </w:r>
          </w:p>
        </w:tc>
        <w:tc>
          <w:tcPr>
            <w:tcW w:w="80" w:type="dxa"/>
            <w:vAlign w:val="bottom"/>
            <w:tcBorders>
              <w:top w:val="single" w:sz="8" w:color="CFEDF9"/>
            </w:tcBorders>
            <w:shd w:val="clear" w:color="auto" w:fill="CFEDF9"/>
          </w:tcPr>
          <w:p>
            <w:pPr>
              <w:spacing w:after="0"/>
              <w:rPr>
                <w:sz w:val="14"/>
                <w:szCs w:val="14"/>
                <w:color w:val="auto"/>
              </w:rPr>
            </w:pPr>
          </w:p>
        </w:tc>
        <w:tc>
          <w:tcPr>
            <w:tcW w:w="10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80" w:type="dxa"/>
            <w:vAlign w:val="bottom"/>
            <w:tcBorders>
              <w:top w:val="single" w:sz="8" w:color="231F20"/>
            </w:tcBorders>
            <w:shd w:val="clear" w:color="auto" w:fill="CFEDF9"/>
          </w:tcPr>
          <w:p>
            <w:pPr>
              <w:spacing w:after="0" w:line="163" w:lineRule="exact"/>
              <w:rPr>
                <w:sz w:val="20"/>
                <w:szCs w:val="20"/>
                <w:color w:val="auto"/>
              </w:rPr>
            </w:pPr>
            <w:r>
              <w:rPr>
                <w:rFonts w:ascii="Times New Roman" w:cs="Times New Roman" w:eastAsia="Times New Roman" w:hAnsi="Times New Roman"/>
                <w:sz w:val="15"/>
                <w:szCs w:val="15"/>
                <w:color w:val="231F20"/>
                <w:w w:val="79"/>
                <w:shd w:val="clear" w:color="auto" w:fill="CFEDF9"/>
              </w:rPr>
              <w:t>$</w:t>
            </w:r>
          </w:p>
        </w:tc>
        <w:tc>
          <w:tcPr>
            <w:tcW w:w="420" w:type="dxa"/>
            <w:vAlign w:val="bottom"/>
            <w:tcBorders>
              <w:top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color w:val="231F20"/>
                <w:shd w:val="clear" w:color="auto" w:fill="CFEDF9"/>
              </w:rPr>
              <w:t>680</w:t>
            </w:r>
          </w:p>
        </w:tc>
        <w:tc>
          <w:tcPr>
            <w:tcW w:w="20" w:type="dxa"/>
            <w:vAlign w:val="bottom"/>
            <w:tcBorders>
              <w:top w:val="single" w:sz="8" w:color="231F20"/>
            </w:tcBorders>
            <w:shd w:val="clear" w:color="auto" w:fill="CFEDF9"/>
          </w:tcPr>
          <w:p>
            <w:pPr>
              <w:spacing w:after="0"/>
              <w:rPr>
                <w:sz w:val="14"/>
                <w:szCs w:val="14"/>
                <w:color w:val="auto"/>
              </w:rPr>
            </w:pPr>
          </w:p>
        </w:tc>
        <w:tc>
          <w:tcPr>
            <w:tcW w:w="60" w:type="dxa"/>
            <w:vAlign w:val="bottom"/>
            <w:tcBorders>
              <w:top w:val="single" w:sz="8" w:color="CFEDF9"/>
            </w:tcBorders>
            <w:shd w:val="clear" w:color="auto" w:fill="CFEDF9"/>
          </w:tcPr>
          <w:p>
            <w:pPr>
              <w:spacing w:after="0"/>
              <w:rPr>
                <w:sz w:val="14"/>
                <w:szCs w:val="14"/>
                <w:color w:val="auto"/>
              </w:rPr>
            </w:pPr>
          </w:p>
        </w:tc>
        <w:tc>
          <w:tcPr>
            <w:tcW w:w="10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540" w:type="dxa"/>
            <w:vAlign w:val="bottom"/>
            <w:tcBorders>
              <w:top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color w:val="231F20"/>
              </w:rPr>
              <w:t>296,044</w:t>
            </w:r>
          </w:p>
        </w:tc>
        <w:tc>
          <w:tcPr>
            <w:tcW w:w="20" w:type="dxa"/>
            <w:vAlign w:val="bottom"/>
            <w:tcBorders>
              <w:top w:val="single" w:sz="8" w:color="231F20"/>
            </w:tcBorders>
            <w:shd w:val="clear" w:color="auto" w:fill="CFEDF9"/>
          </w:tcPr>
          <w:p>
            <w:pPr>
              <w:spacing w:after="0"/>
              <w:rPr>
                <w:sz w:val="14"/>
                <w:szCs w:val="14"/>
                <w:color w:val="auto"/>
              </w:rPr>
            </w:pPr>
          </w:p>
        </w:tc>
        <w:tc>
          <w:tcPr>
            <w:tcW w:w="8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6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6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CFEDF9"/>
              </w:rPr>
              <w:t>$</w:t>
            </w:r>
          </w:p>
        </w:tc>
        <w:tc>
          <w:tcPr>
            <w:tcW w:w="500" w:type="dxa"/>
            <w:vAlign w:val="bottom"/>
            <w:tcBorders>
              <w:top w:val="single" w:sz="8" w:color="231F20"/>
            </w:tcBorders>
            <w:gridSpan w:val="2"/>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color w:val="231F20"/>
                <w:shd w:val="clear" w:color="auto" w:fill="CFEDF9"/>
              </w:rPr>
              <w:t>(4,291</w:t>
            </w:r>
          </w:p>
        </w:tc>
        <w:tc>
          <w:tcPr>
            <w:tcW w:w="60" w:type="dxa"/>
            <w:vAlign w:val="bottom"/>
            <w:tcBorders>
              <w:top w:val="single" w:sz="8" w:color="CFEDF9"/>
            </w:tcBorders>
            <w:shd w:val="clear" w:color="auto" w:fill="CFEDF9"/>
          </w:tcPr>
          <w:p>
            <w:pPr>
              <w:jc w:val="right"/>
              <w:ind w:right="35"/>
              <w:spacing w:after="0"/>
              <w:rPr>
                <w:sz w:val="20"/>
                <w:szCs w:val="20"/>
                <w:color w:val="auto"/>
              </w:rPr>
            </w:pPr>
            <w:r>
              <w:rPr>
                <w:rFonts w:ascii="Times New Roman" w:cs="Times New Roman" w:eastAsia="Times New Roman" w:hAnsi="Times New Roman"/>
                <w:sz w:val="1"/>
                <w:szCs w:val="1"/>
                <w:color w:val="231F20"/>
                <w:w w:val="4294967281"/>
              </w:rPr>
              <w:t>)</w:t>
            </w:r>
          </w:p>
        </w:tc>
        <w:tc>
          <w:tcPr>
            <w:tcW w:w="20" w:type="dxa"/>
            <w:vAlign w:val="bottom"/>
            <w:tcBorders>
              <w:top w:val="single" w:sz="8" w:color="CFEDF9"/>
            </w:tcBorders>
            <w:shd w:val="clear" w:color="auto" w:fill="CFEDF9"/>
          </w:tcPr>
          <w:p>
            <w:pPr>
              <w:spacing w:after="0"/>
              <w:rPr>
                <w:sz w:val="14"/>
                <w:szCs w:val="14"/>
                <w:color w:val="auto"/>
              </w:rPr>
            </w:pPr>
          </w:p>
        </w:tc>
        <w:tc>
          <w:tcPr>
            <w:tcW w:w="60" w:type="dxa"/>
            <w:vAlign w:val="bottom"/>
            <w:tcBorders>
              <w:top w:val="single" w:sz="8" w:color="CFEDF9"/>
            </w:tcBorders>
            <w:shd w:val="clear" w:color="auto" w:fill="CFEDF9"/>
          </w:tcPr>
          <w:p>
            <w:pPr>
              <w:spacing w:after="0"/>
              <w:rPr>
                <w:sz w:val="14"/>
                <w:szCs w:val="14"/>
                <w:color w:val="auto"/>
              </w:rPr>
            </w:pPr>
          </w:p>
        </w:tc>
        <w:tc>
          <w:tcPr>
            <w:tcW w:w="120" w:type="dxa"/>
            <w:vAlign w:val="bottom"/>
            <w:tcBorders>
              <w:top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color w:val="231F20"/>
                <w:w w:val="79"/>
                <w:shd w:val="clear" w:color="auto" w:fill="CFEDF9"/>
              </w:rPr>
              <w:t>$</w:t>
            </w:r>
          </w:p>
        </w:tc>
        <w:tc>
          <w:tcPr>
            <w:tcW w:w="780" w:type="dxa"/>
            <w:vAlign w:val="bottom"/>
            <w:tcBorders>
              <w:top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color w:val="231F20"/>
                <w:shd w:val="clear" w:color="auto" w:fill="CFEDF9"/>
              </w:rPr>
              <w:t>1,025,676</w:t>
            </w:r>
          </w:p>
        </w:tc>
        <w:tc>
          <w:tcPr>
            <w:tcW w:w="20" w:type="dxa"/>
            <w:vAlign w:val="bottom"/>
            <w:tcBorders>
              <w:top w:val="single" w:sz="8" w:color="231F20"/>
            </w:tcBorders>
            <w:shd w:val="clear" w:color="auto" w:fill="CFEDF9"/>
          </w:tcPr>
          <w:p>
            <w:pPr>
              <w:spacing w:after="0"/>
              <w:rPr>
                <w:sz w:val="14"/>
                <w:szCs w:val="14"/>
                <w:color w:val="auto"/>
              </w:rPr>
            </w:pPr>
          </w:p>
        </w:tc>
        <w:tc>
          <w:tcPr>
            <w:tcW w:w="80" w:type="dxa"/>
            <w:vAlign w:val="bottom"/>
            <w:tcBorders>
              <w:top w:val="single" w:sz="8" w:color="CFEDF9"/>
            </w:tcBorders>
            <w:shd w:val="clear" w:color="auto" w:fill="CFEDF9"/>
          </w:tcPr>
          <w:p>
            <w:pPr>
              <w:spacing w:after="0"/>
              <w:rPr>
                <w:sz w:val="14"/>
                <w:szCs w:val="14"/>
                <w:color w:val="auto"/>
              </w:rPr>
            </w:pPr>
          </w:p>
        </w:tc>
        <w:tc>
          <w:tcPr>
            <w:tcW w:w="8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80" w:type="dxa"/>
            <w:vAlign w:val="bottom"/>
            <w:tcBorders>
              <w:top w:val="single" w:sz="8" w:color="231F20"/>
            </w:tcBorders>
            <w:shd w:val="clear" w:color="auto" w:fill="CFEDF9"/>
          </w:tcPr>
          <w:p>
            <w:pPr>
              <w:spacing w:after="0" w:line="163" w:lineRule="exact"/>
              <w:rPr>
                <w:sz w:val="20"/>
                <w:szCs w:val="20"/>
                <w:color w:val="auto"/>
              </w:rPr>
            </w:pPr>
            <w:r>
              <w:rPr>
                <w:rFonts w:ascii="Times New Roman" w:cs="Times New Roman" w:eastAsia="Times New Roman" w:hAnsi="Times New Roman"/>
                <w:sz w:val="15"/>
                <w:szCs w:val="15"/>
                <w:color w:val="231F20"/>
                <w:w w:val="79"/>
              </w:rPr>
              <w:t>$</w:t>
            </w:r>
          </w:p>
        </w:tc>
        <w:tc>
          <w:tcPr>
            <w:tcW w:w="760" w:type="dxa"/>
            <w:vAlign w:val="bottom"/>
            <w:tcBorders>
              <w:top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color w:val="231F20"/>
              </w:rPr>
              <w:t>139,250</w:t>
            </w:r>
          </w:p>
        </w:tc>
        <w:tc>
          <w:tcPr>
            <w:tcW w:w="20" w:type="dxa"/>
            <w:vAlign w:val="bottom"/>
            <w:tcBorders>
              <w:top w:val="single" w:sz="8" w:color="231F20"/>
            </w:tcBorders>
            <w:shd w:val="clear" w:color="auto" w:fill="CFEDF9"/>
          </w:tcPr>
          <w:p>
            <w:pPr>
              <w:spacing w:after="0"/>
              <w:rPr>
                <w:sz w:val="14"/>
                <w:szCs w:val="14"/>
                <w:color w:val="auto"/>
              </w:rPr>
            </w:pPr>
          </w:p>
        </w:tc>
        <w:tc>
          <w:tcPr>
            <w:tcW w:w="60" w:type="dxa"/>
            <w:vAlign w:val="bottom"/>
            <w:tcBorders>
              <w:top w:val="single" w:sz="8" w:color="CFEDF9"/>
            </w:tcBorders>
            <w:shd w:val="clear" w:color="auto" w:fill="CFEDF9"/>
          </w:tcPr>
          <w:p>
            <w:pPr>
              <w:spacing w:after="0"/>
              <w:rPr>
                <w:sz w:val="14"/>
                <w:szCs w:val="14"/>
                <w:color w:val="auto"/>
              </w:rPr>
            </w:pPr>
          </w:p>
        </w:tc>
        <w:tc>
          <w:tcPr>
            <w:tcW w:w="10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660" w:type="dxa"/>
            <w:vAlign w:val="bottom"/>
            <w:tcBorders>
              <w:top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color w:val="231F20"/>
                <w:w w:val="89"/>
                <w:shd w:val="clear" w:color="auto" w:fill="CFEDF9"/>
              </w:rPr>
              <w:t>$ 1,161,315</w:t>
            </w:r>
          </w:p>
        </w:tc>
        <w:tc>
          <w:tcPr>
            <w:tcW w:w="20" w:type="dxa"/>
            <w:vAlign w:val="bottom"/>
            <w:tcBorders>
              <w:top w:val="single" w:sz="8" w:color="231F20"/>
            </w:tcBorders>
            <w:shd w:val="clear" w:color="auto" w:fill="CFEDF9"/>
          </w:tcPr>
          <w:p>
            <w:pPr>
              <w:spacing w:after="0"/>
              <w:rPr>
                <w:sz w:val="14"/>
                <w:szCs w:val="14"/>
                <w:color w:val="auto"/>
              </w:rPr>
            </w:pPr>
          </w:p>
        </w:tc>
        <w:tc>
          <w:tcPr>
            <w:tcW w:w="80" w:type="dxa"/>
            <w:vAlign w:val="bottom"/>
            <w:tcBorders>
              <w:top w:val="single" w:sz="8" w:color="CFEDF9"/>
            </w:tcBorders>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100"/>
              <w:spacing w:after="0"/>
              <w:rPr>
                <w:sz w:val="20"/>
                <w:szCs w:val="20"/>
                <w:color w:val="auto"/>
              </w:rPr>
            </w:pPr>
            <w:r>
              <w:rPr>
                <w:rFonts w:ascii="Times New Roman" w:cs="Times New Roman" w:eastAsia="Times New Roman" w:hAnsi="Times New Roman"/>
                <w:sz w:val="15"/>
                <w:szCs w:val="15"/>
                <w:color w:val="231F20"/>
              </w:rPr>
              <w:t>Cumulative effect adjustment for the adoption of ASU 2020-06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(457)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(285)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15"/>
                <w:szCs w:val="15"/>
                <w:color w:val="231F20"/>
              </w:rPr>
              <w:t>Net increase (decrease) in net assets resulting from operations:</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7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2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4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4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7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7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Net investment income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142,359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142,359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60" w:type="dxa"/>
            <w:vAlign w:val="bottom"/>
            <w:shd w:val="clear" w:color="auto" w:fill="CFEDF9"/>
          </w:tcPr>
          <w:p>
            <w:pPr>
              <w:ind w:left="200"/>
              <w:spacing w:after="0" w:line="157" w:lineRule="exact"/>
              <w:rPr>
                <w:sz w:val="20"/>
                <w:szCs w:val="20"/>
                <w:color w:val="auto"/>
              </w:rPr>
            </w:pPr>
            <w:r>
              <w:rPr>
                <w:rFonts w:ascii="Times New Roman" w:cs="Times New Roman" w:eastAsia="Times New Roman" w:hAnsi="Times New Roman"/>
                <w:sz w:val="15"/>
                <w:szCs w:val="15"/>
                <w:color w:val="231F20"/>
              </w:rPr>
              <w:t>Net change in unrealized gains (losses) on investments and foreign</w:t>
            </w:r>
          </w:p>
        </w:tc>
        <w:tc>
          <w:tcPr>
            <w:tcW w:w="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20" w:type="dxa"/>
            <w:vAlign w:val="bottom"/>
            <w:gridSpan w:val="2"/>
            <w:vMerge w:val="restart"/>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440" w:type="dxa"/>
            <w:vAlign w:val="bottom"/>
            <w:gridSpan w:val="2"/>
            <w:vMerge w:val="restart"/>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560" w:type="dxa"/>
            <w:vAlign w:val="bottom"/>
            <w:gridSpan w:val="2"/>
            <w:vMerge w:val="restart"/>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6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60" w:type="dxa"/>
            <w:vAlign w:val="bottom"/>
            <w:shd w:val="clear" w:color="auto" w:fill="CFEDF9"/>
          </w:tcPr>
          <w:p>
            <w:pPr>
              <w:spacing w:after="0"/>
              <w:rPr>
                <w:sz w:val="13"/>
                <w:szCs w:val="13"/>
                <w:color w:val="auto"/>
              </w:rPr>
            </w:pPr>
          </w:p>
        </w:tc>
        <w:tc>
          <w:tcPr>
            <w:tcW w:w="580" w:type="dxa"/>
            <w:vAlign w:val="bottom"/>
            <w:gridSpan w:val="4"/>
            <w:vMerge w:val="restart"/>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880" w:type="dxa"/>
            <w:vAlign w:val="bottom"/>
            <w:gridSpan w:val="3"/>
            <w:vMerge w:val="restart"/>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76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40,546</w:t>
            </w:r>
          </w:p>
        </w:tc>
        <w:tc>
          <w:tcPr>
            <w:tcW w:w="20" w:type="dxa"/>
            <w:vAlign w:val="bottom"/>
            <w:shd w:val="clear" w:color="auto" w:fill="CFEDF9"/>
          </w:tcPr>
          <w:p>
            <w:pPr>
              <w:spacing w:after="0"/>
              <w:rPr>
                <w:sz w:val="13"/>
                <w:szCs w:val="13"/>
                <w:color w:val="auto"/>
              </w:rPr>
            </w:pPr>
          </w:p>
        </w:tc>
        <w:tc>
          <w:tcPr>
            <w:tcW w:w="60" w:type="dxa"/>
            <w:vAlign w:val="bottom"/>
            <w:shd w:val="clear" w:color="auto" w:fill="CFEDF9"/>
          </w:tcPr>
          <w:p>
            <w:pPr>
              <w:spacing w:after="0"/>
              <w:rPr>
                <w:sz w:val="13"/>
                <w:szCs w:val="13"/>
                <w:color w:val="auto"/>
              </w:rPr>
            </w:pPr>
          </w:p>
        </w:tc>
        <w:tc>
          <w:tcPr>
            <w:tcW w:w="780" w:type="dxa"/>
            <w:vAlign w:val="bottom"/>
            <w:gridSpan w:val="3"/>
            <w:vMerge w:val="restart"/>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40,546</w:t>
            </w: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currency translation</w:t>
            </w:r>
          </w:p>
        </w:tc>
        <w:tc>
          <w:tcPr>
            <w:tcW w:w="8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20" w:type="dxa"/>
            <w:vAlign w:val="bottom"/>
            <w:gridSpan w:val="2"/>
            <w:vMerge w:val="continue"/>
            <w:shd w:val="clear" w:color="auto" w:fill="CFEDF9"/>
          </w:tcPr>
          <w:p>
            <w:pPr>
              <w:spacing w:after="0"/>
              <w:rPr>
                <w:sz w:val="16"/>
                <w:szCs w:val="16"/>
                <w:color w:val="auto"/>
              </w:rPr>
            </w:pPr>
          </w:p>
        </w:tc>
        <w:tc>
          <w:tcPr>
            <w:tcW w:w="10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440" w:type="dxa"/>
            <w:vAlign w:val="bottom"/>
            <w:gridSpan w:val="2"/>
            <w:vMerge w:val="continue"/>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10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560" w:type="dxa"/>
            <w:vAlign w:val="bottom"/>
            <w:gridSpan w:val="2"/>
            <w:vMerge w:val="continue"/>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580" w:type="dxa"/>
            <w:vAlign w:val="bottom"/>
            <w:gridSpan w:val="4"/>
            <w:vMerge w:val="continue"/>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120" w:type="dxa"/>
            <w:vAlign w:val="bottom"/>
            <w:shd w:val="clear" w:color="auto" w:fill="CFEDF9"/>
          </w:tcPr>
          <w:p>
            <w:pPr>
              <w:spacing w:after="0"/>
              <w:rPr>
                <w:sz w:val="16"/>
                <w:szCs w:val="16"/>
                <w:color w:val="auto"/>
              </w:rPr>
            </w:pPr>
          </w:p>
        </w:tc>
        <w:tc>
          <w:tcPr>
            <w:tcW w:w="880" w:type="dxa"/>
            <w:vAlign w:val="bottom"/>
            <w:gridSpan w:val="3"/>
            <w:vMerge w:val="continue"/>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760" w:type="dxa"/>
            <w:vAlign w:val="bottom"/>
            <w:vMerge w:val="continue"/>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780" w:type="dxa"/>
            <w:vAlign w:val="bottom"/>
            <w:gridSpan w:val="3"/>
            <w:vMerge w:val="continue"/>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Net realized gain (loss) on investments and foreign currency transactions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28,875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28,875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15"/>
                <w:szCs w:val="15"/>
                <w:color w:val="231F20"/>
              </w:rPr>
              <w:t>Increase (decrease) in net assets resulting from capital share transactions</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7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2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4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4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7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7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Issuance of common stock, net of offering and underwriting costs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4,049,689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85,863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85,904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Common stock issued in settlement of convertible notes</w:t>
            </w:r>
          </w:p>
        </w:tc>
        <w:tc>
          <w:tcPr>
            <w:tcW w:w="84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2,324,820</w:t>
            </w: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24</w:t>
            </w: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7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42,249</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7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42,273</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100"/>
              <w:spacing w:after="0"/>
              <w:rPr>
                <w:sz w:val="20"/>
                <w:szCs w:val="20"/>
                <w:color w:val="auto"/>
              </w:rPr>
            </w:pPr>
            <w:r>
              <w:rPr>
                <w:rFonts w:ascii="Times New Roman" w:cs="Times New Roman" w:eastAsia="Times New Roman" w:hAnsi="Times New Roman"/>
                <w:sz w:val="15"/>
                <w:szCs w:val="15"/>
                <w:color w:val="231F20"/>
              </w:rPr>
              <w:t>Dividends to stockholders: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Stock issued in connection with dividend reinvestment plan</w:t>
            </w:r>
          </w:p>
        </w:tc>
        <w:tc>
          <w:tcPr>
            <w:tcW w:w="84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1,712,824</w:t>
            </w: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16</w:t>
            </w: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7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36,335</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7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36,351</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Dividends declared from distributable earnings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231F20"/>
              </w:rPr>
              <w:t>(261,490)</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231F20"/>
              </w:rPr>
              <w:t>(261,490)</w:t>
            </w: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100"/>
              <w:spacing w:after="0" w:line="173" w:lineRule="exact"/>
              <w:rPr>
                <w:sz w:val="20"/>
                <w:szCs w:val="20"/>
                <w:color w:val="auto"/>
              </w:rPr>
            </w:pPr>
            <w:r>
              <w:rPr>
                <w:rFonts w:ascii="Times New Roman" w:cs="Times New Roman" w:eastAsia="Times New Roman" w:hAnsi="Times New Roman"/>
                <w:sz w:val="14"/>
                <w:szCs w:val="14"/>
                <w:color w:val="231F20"/>
              </w:rPr>
              <w:t xml:space="preserve">Tax reclassification of stockholders' equity in accordance with GAAP </w:t>
            </w:r>
            <w:r>
              <w:rPr>
                <w:rFonts w:ascii="Times New Roman" w:cs="Times New Roman" w:eastAsia="Times New Roman" w:hAnsi="Times New Roman"/>
                <w:sz w:val="19"/>
                <w:szCs w:val="19"/>
                <w:color w:val="231F20"/>
                <w:vertAlign w:val="superscript"/>
              </w:rPr>
              <w:t>(1)</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2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88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5"/>
                <w:szCs w:val="15"/>
                <w:color w:val="231F20"/>
              </w:rPr>
              <w:t>(391)</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391</w:t>
            </w: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7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203"/>
        </w:trPr>
        <w:tc>
          <w:tcPr>
            <w:tcW w:w="4760" w:type="dxa"/>
            <w:vAlign w:val="bottom"/>
          </w:tcPr>
          <w:p>
            <w:pPr>
              <w:spacing w:after="0" w:line="163" w:lineRule="exact"/>
              <w:rPr>
                <w:sz w:val="20"/>
                <w:szCs w:val="20"/>
                <w:color w:val="auto"/>
              </w:rPr>
            </w:pPr>
            <w:r>
              <w:rPr>
                <w:rFonts w:ascii="Times New Roman" w:cs="Times New Roman" w:eastAsia="Times New Roman" w:hAnsi="Times New Roman"/>
                <w:sz w:val="15"/>
                <w:szCs w:val="15"/>
                <w:b w:val="1"/>
                <w:bCs w:val="1"/>
                <w:color w:val="231F20"/>
              </w:rPr>
              <w:t>Balance at December 31, 2021</w:t>
            </w:r>
          </w:p>
        </w:tc>
        <w:tc>
          <w:tcPr>
            <w:tcW w:w="80" w:type="dxa"/>
            <w:vAlign w:val="bottom"/>
          </w:tcPr>
          <w:p>
            <w:pPr>
              <w:spacing w:after="0"/>
              <w:rPr>
                <w:sz w:val="17"/>
                <w:szCs w:val="17"/>
                <w:color w:val="auto"/>
              </w:rPr>
            </w:pPr>
          </w:p>
        </w:tc>
        <w:tc>
          <w:tcPr>
            <w:tcW w:w="760" w:type="dxa"/>
            <w:vAlign w:val="bottom"/>
            <w:tcBorders>
              <w:top w:val="single" w:sz="8" w:color="231F20"/>
            </w:tcBorders>
            <w:gridSpan w:val="2"/>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75,771,542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231F20"/>
            </w:tcBorders>
            <w:gridSpan w:val="2"/>
          </w:tcPr>
          <w:p>
            <w:pPr>
              <w:spacing w:after="0" w:line="163" w:lineRule="exact"/>
              <w:rPr>
                <w:sz w:val="20"/>
                <w:szCs w:val="20"/>
                <w:color w:val="auto"/>
              </w:rPr>
            </w:pPr>
            <w:r>
              <w:rPr>
                <w:rFonts w:ascii="Times New Roman" w:cs="Times New Roman" w:eastAsia="Times New Roman" w:hAnsi="Times New Roman"/>
                <w:sz w:val="15"/>
                <w:szCs w:val="15"/>
                <w:b w:val="1"/>
                <w:bCs w:val="1"/>
                <w:color w:val="231F20"/>
              </w:rPr>
              <w:t>$</w:t>
            </w:r>
          </w:p>
        </w:tc>
        <w:tc>
          <w:tcPr>
            <w:tcW w:w="420" w:type="dxa"/>
            <w:vAlign w:val="bottom"/>
            <w:tcBorders>
              <w:top w:val="single" w:sz="8" w:color="231F20"/>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761</w:t>
            </w:r>
          </w:p>
        </w:tc>
        <w:tc>
          <w:tcPr>
            <w:tcW w:w="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560" w:type="dxa"/>
            <w:vAlign w:val="bottom"/>
            <w:tcBorders>
              <w:top w:val="single" w:sz="8" w:color="231F20"/>
            </w:tcBorders>
            <w:gridSpan w:val="2"/>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296,044</w:t>
            </w: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231F20"/>
            </w:tcBorders>
            <w:gridSpan w:val="2"/>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w w:val="79"/>
              </w:rPr>
              <w:t>$</w:t>
            </w:r>
          </w:p>
        </w:tc>
        <w:tc>
          <w:tcPr>
            <w:tcW w:w="480" w:type="dxa"/>
            <w:vAlign w:val="bottom"/>
            <w:tcBorders>
              <w:top w:val="single" w:sz="8" w:color="231F20"/>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(4,291</w:t>
            </w:r>
          </w:p>
        </w:tc>
        <w:tc>
          <w:tcPr>
            <w:tcW w:w="80" w:type="dxa"/>
            <w:vAlign w:val="bottom"/>
            <w:gridSpan w:val="2"/>
          </w:tcPr>
          <w:p>
            <w:pPr>
              <w:jc w:val="right"/>
              <w:ind w:right="35"/>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20" w:type="dxa"/>
            <w:vAlign w:val="bottom"/>
            <w:tcBorders>
              <w:top w:val="single" w:sz="8" w:color="231F20"/>
            </w:tcBorders>
          </w:tcPr>
          <w:p>
            <w:pPr>
              <w:spacing w:after="0"/>
              <w:rPr>
                <w:sz w:val="17"/>
                <w:szCs w:val="17"/>
                <w:color w:val="auto"/>
              </w:rPr>
            </w:pPr>
          </w:p>
        </w:tc>
        <w:tc>
          <w:tcPr>
            <w:tcW w:w="180" w:type="dxa"/>
            <w:vAlign w:val="bottom"/>
            <w:tcBorders>
              <w:top w:val="single" w:sz="8" w:color="231F20"/>
            </w:tcBorders>
            <w:gridSpan w:val="2"/>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w:t>
            </w:r>
          </w:p>
        </w:tc>
        <w:tc>
          <w:tcPr>
            <w:tcW w:w="780" w:type="dxa"/>
            <w:vAlign w:val="bottom"/>
            <w:tcBorders>
              <w:top w:val="single" w:sz="8" w:color="231F20"/>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1,189,275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231F20"/>
            </w:tcBorders>
            <w:gridSpan w:val="2"/>
          </w:tcPr>
          <w:p>
            <w:pPr>
              <w:spacing w:after="0" w:line="163" w:lineRule="exact"/>
              <w:rPr>
                <w:sz w:val="20"/>
                <w:szCs w:val="20"/>
                <w:color w:val="auto"/>
              </w:rPr>
            </w:pPr>
            <w:r>
              <w:rPr>
                <w:rFonts w:ascii="Times New Roman" w:cs="Times New Roman" w:eastAsia="Times New Roman" w:hAnsi="Times New Roman"/>
                <w:sz w:val="15"/>
                <w:szCs w:val="15"/>
                <w:b w:val="1"/>
                <w:bCs w:val="1"/>
                <w:color w:val="231F20"/>
              </w:rPr>
              <w:t>$</w:t>
            </w:r>
          </w:p>
        </w:tc>
        <w:tc>
          <w:tcPr>
            <w:tcW w:w="760" w:type="dxa"/>
            <w:vAlign w:val="bottom"/>
            <w:tcBorders>
              <w:top w:val="single" w:sz="8" w:color="231F20"/>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90,103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231F20"/>
            </w:tcBorders>
            <w:gridSpan w:val="2"/>
          </w:tcPr>
          <w:p>
            <w:pPr>
              <w:jc w:val="right"/>
              <w:spacing w:after="0" w:line="163" w:lineRule="exact"/>
              <w:rPr>
                <w:sz w:val="20"/>
                <w:szCs w:val="20"/>
                <w:color w:val="auto"/>
              </w:rPr>
            </w:pPr>
            <w:r>
              <w:rPr>
                <w:rFonts w:ascii="Times New Roman" w:cs="Times New Roman" w:eastAsia="Times New Roman" w:hAnsi="Times New Roman"/>
                <w:sz w:val="15"/>
                <w:szCs w:val="15"/>
                <w:b w:val="1"/>
                <w:bCs w:val="1"/>
                <w:u w:val="single" w:color="auto"/>
                <w:color w:val="231F20"/>
                <w:w w:val="92"/>
              </w:rPr>
              <w:t>$</w:t>
            </w:r>
            <w:r>
              <w:rPr>
                <w:rFonts w:ascii="Times New Roman" w:cs="Times New Roman" w:eastAsia="Times New Roman" w:hAnsi="Times New Roman"/>
                <w:sz w:val="15"/>
                <w:szCs w:val="15"/>
                <w:b w:val="1"/>
                <w:bCs w:val="1"/>
                <w:color w:val="231F20"/>
                <w:w w:val="92"/>
              </w:rPr>
              <w:t xml:space="preserve"> 1,275,848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760" w:type="dxa"/>
            <w:vAlign w:val="bottom"/>
            <w:tcBorders>
              <w:top w:val="single" w:sz="8" w:color="CFEDF9"/>
            </w:tcBorders>
            <w:shd w:val="clear" w:color="auto" w:fill="CFEDF9"/>
          </w:tcPr>
          <w:p>
            <w:pPr>
              <w:ind w:left="100"/>
              <w:spacing w:after="0" w:line="158" w:lineRule="exact"/>
              <w:rPr>
                <w:sz w:val="20"/>
                <w:szCs w:val="20"/>
                <w:color w:val="auto"/>
              </w:rPr>
            </w:pPr>
            <w:r>
              <w:rPr>
                <w:rFonts w:ascii="Times New Roman" w:cs="Times New Roman" w:eastAsia="Times New Roman" w:hAnsi="Times New Roman"/>
                <w:sz w:val="15"/>
                <w:szCs w:val="15"/>
                <w:color w:val="231F20"/>
              </w:rPr>
              <w:t>Net increase (decrease) in net assets resulting from operations:</w:t>
            </w:r>
          </w:p>
        </w:tc>
        <w:tc>
          <w:tcPr>
            <w:tcW w:w="80" w:type="dxa"/>
            <w:vAlign w:val="bottom"/>
            <w:tcBorders>
              <w:top w:val="single" w:sz="8" w:color="CFEDF9"/>
            </w:tcBorders>
            <w:shd w:val="clear" w:color="auto" w:fill="CFEDF9"/>
          </w:tcPr>
          <w:p>
            <w:pPr>
              <w:spacing w:after="0"/>
              <w:rPr>
                <w:sz w:val="13"/>
                <w:szCs w:val="13"/>
                <w:color w:val="auto"/>
              </w:rPr>
            </w:pPr>
          </w:p>
        </w:tc>
        <w:tc>
          <w:tcPr>
            <w:tcW w:w="20" w:type="dxa"/>
            <w:vAlign w:val="bottom"/>
            <w:tcBorders>
              <w:top w:val="single" w:sz="8" w:color="CFEDF9"/>
            </w:tcBorders>
            <w:shd w:val="clear" w:color="auto" w:fill="CFEDF9"/>
          </w:tcPr>
          <w:p>
            <w:pPr>
              <w:spacing w:after="0"/>
              <w:rPr>
                <w:sz w:val="13"/>
                <w:szCs w:val="13"/>
                <w:color w:val="auto"/>
              </w:rPr>
            </w:pPr>
          </w:p>
        </w:tc>
        <w:tc>
          <w:tcPr>
            <w:tcW w:w="740" w:type="dxa"/>
            <w:vAlign w:val="bottom"/>
            <w:tcBorders>
              <w:top w:val="single" w:sz="8" w:color="231F20"/>
            </w:tcBorders>
            <w:shd w:val="clear" w:color="auto" w:fill="CFEDF9"/>
          </w:tcPr>
          <w:p>
            <w:pPr>
              <w:spacing w:after="0"/>
              <w:rPr>
                <w:sz w:val="13"/>
                <w:szCs w:val="13"/>
                <w:color w:val="auto"/>
              </w:rPr>
            </w:pPr>
          </w:p>
        </w:tc>
        <w:tc>
          <w:tcPr>
            <w:tcW w:w="80" w:type="dxa"/>
            <w:vAlign w:val="bottom"/>
            <w:tcBorders>
              <w:top w:val="single" w:sz="8" w:color="CFEDF9"/>
            </w:tcBorders>
            <w:shd w:val="clear" w:color="auto" w:fill="CFEDF9"/>
          </w:tcPr>
          <w:p>
            <w:pPr>
              <w:spacing w:after="0"/>
              <w:rPr>
                <w:sz w:val="13"/>
                <w:szCs w:val="13"/>
                <w:color w:val="auto"/>
              </w:rPr>
            </w:pPr>
          </w:p>
        </w:tc>
        <w:tc>
          <w:tcPr>
            <w:tcW w:w="100" w:type="dxa"/>
            <w:vAlign w:val="bottom"/>
            <w:tcBorders>
              <w:top w:val="single" w:sz="8" w:color="CFEDF9"/>
            </w:tcBorders>
            <w:shd w:val="clear" w:color="auto" w:fill="CFEDF9"/>
          </w:tcPr>
          <w:p>
            <w:pPr>
              <w:spacing w:after="0"/>
              <w:rPr>
                <w:sz w:val="13"/>
                <w:szCs w:val="13"/>
                <w:color w:val="auto"/>
              </w:rPr>
            </w:pPr>
          </w:p>
        </w:tc>
        <w:tc>
          <w:tcPr>
            <w:tcW w:w="20" w:type="dxa"/>
            <w:vAlign w:val="bottom"/>
            <w:tcBorders>
              <w:top w:val="single" w:sz="8" w:color="CFEDF9"/>
            </w:tcBorders>
            <w:shd w:val="clear" w:color="auto" w:fill="CFEDF9"/>
          </w:tcPr>
          <w:p>
            <w:pPr>
              <w:spacing w:after="0"/>
              <w:rPr>
                <w:sz w:val="13"/>
                <w:szCs w:val="13"/>
                <w:color w:val="auto"/>
              </w:rPr>
            </w:pPr>
          </w:p>
        </w:tc>
        <w:tc>
          <w:tcPr>
            <w:tcW w:w="80" w:type="dxa"/>
            <w:vAlign w:val="bottom"/>
            <w:tcBorders>
              <w:top w:val="single" w:sz="8" w:color="231F20"/>
            </w:tcBorders>
            <w:shd w:val="clear" w:color="auto" w:fill="CFEDF9"/>
          </w:tcPr>
          <w:p>
            <w:pPr>
              <w:spacing w:after="0"/>
              <w:rPr>
                <w:sz w:val="13"/>
                <w:szCs w:val="13"/>
                <w:color w:val="auto"/>
              </w:rPr>
            </w:pPr>
          </w:p>
        </w:tc>
        <w:tc>
          <w:tcPr>
            <w:tcW w:w="420" w:type="dxa"/>
            <w:vAlign w:val="bottom"/>
            <w:tcBorders>
              <w:top w:val="single" w:sz="8" w:color="231F20"/>
            </w:tcBorders>
            <w:shd w:val="clear" w:color="auto" w:fill="CFEDF9"/>
          </w:tcPr>
          <w:p>
            <w:pPr>
              <w:spacing w:after="0"/>
              <w:rPr>
                <w:sz w:val="13"/>
                <w:szCs w:val="13"/>
                <w:color w:val="auto"/>
              </w:rPr>
            </w:pPr>
          </w:p>
        </w:tc>
        <w:tc>
          <w:tcPr>
            <w:tcW w:w="20" w:type="dxa"/>
            <w:vAlign w:val="bottom"/>
            <w:tcBorders>
              <w:top w:val="single" w:sz="8" w:color="231F20"/>
            </w:tcBorders>
            <w:shd w:val="clear" w:color="auto" w:fill="CFEDF9"/>
          </w:tcPr>
          <w:p>
            <w:pPr>
              <w:spacing w:after="0"/>
              <w:rPr>
                <w:sz w:val="13"/>
                <w:szCs w:val="13"/>
                <w:color w:val="auto"/>
              </w:rPr>
            </w:pPr>
          </w:p>
        </w:tc>
        <w:tc>
          <w:tcPr>
            <w:tcW w:w="60" w:type="dxa"/>
            <w:vAlign w:val="bottom"/>
            <w:tcBorders>
              <w:top w:val="single" w:sz="8" w:color="CFEDF9"/>
            </w:tcBorders>
            <w:shd w:val="clear" w:color="auto" w:fill="CFEDF9"/>
          </w:tcPr>
          <w:p>
            <w:pPr>
              <w:spacing w:after="0"/>
              <w:rPr>
                <w:sz w:val="13"/>
                <w:szCs w:val="13"/>
                <w:color w:val="auto"/>
              </w:rPr>
            </w:pPr>
          </w:p>
        </w:tc>
        <w:tc>
          <w:tcPr>
            <w:tcW w:w="100" w:type="dxa"/>
            <w:vAlign w:val="bottom"/>
            <w:tcBorders>
              <w:top w:val="single" w:sz="8" w:color="CFEDF9"/>
            </w:tcBorders>
            <w:shd w:val="clear" w:color="auto" w:fill="CFEDF9"/>
          </w:tcPr>
          <w:p>
            <w:pPr>
              <w:spacing w:after="0"/>
              <w:rPr>
                <w:sz w:val="13"/>
                <w:szCs w:val="13"/>
                <w:color w:val="auto"/>
              </w:rPr>
            </w:pPr>
          </w:p>
        </w:tc>
        <w:tc>
          <w:tcPr>
            <w:tcW w:w="20" w:type="dxa"/>
            <w:vAlign w:val="bottom"/>
            <w:tcBorders>
              <w:top w:val="single" w:sz="8" w:color="CFEDF9"/>
            </w:tcBorders>
            <w:shd w:val="clear" w:color="auto" w:fill="CFEDF9"/>
          </w:tcPr>
          <w:p>
            <w:pPr>
              <w:spacing w:after="0"/>
              <w:rPr>
                <w:sz w:val="13"/>
                <w:szCs w:val="13"/>
                <w:color w:val="auto"/>
              </w:rPr>
            </w:pPr>
          </w:p>
        </w:tc>
        <w:tc>
          <w:tcPr>
            <w:tcW w:w="540" w:type="dxa"/>
            <w:vAlign w:val="bottom"/>
            <w:tcBorders>
              <w:top w:val="single" w:sz="8" w:color="231F20"/>
            </w:tcBorders>
            <w:shd w:val="clear" w:color="auto" w:fill="CFEDF9"/>
          </w:tcPr>
          <w:p>
            <w:pPr>
              <w:spacing w:after="0"/>
              <w:rPr>
                <w:sz w:val="13"/>
                <w:szCs w:val="13"/>
                <w:color w:val="auto"/>
              </w:rPr>
            </w:pPr>
          </w:p>
        </w:tc>
        <w:tc>
          <w:tcPr>
            <w:tcW w:w="20" w:type="dxa"/>
            <w:vAlign w:val="bottom"/>
            <w:tcBorders>
              <w:top w:val="single" w:sz="8" w:color="231F20"/>
            </w:tcBorders>
            <w:shd w:val="clear" w:color="auto" w:fill="CFEDF9"/>
          </w:tcPr>
          <w:p>
            <w:pPr>
              <w:spacing w:after="0"/>
              <w:rPr>
                <w:sz w:val="13"/>
                <w:szCs w:val="13"/>
                <w:color w:val="auto"/>
              </w:rPr>
            </w:pPr>
          </w:p>
        </w:tc>
        <w:tc>
          <w:tcPr>
            <w:tcW w:w="80" w:type="dxa"/>
            <w:vAlign w:val="bottom"/>
            <w:tcBorders>
              <w:top w:val="single" w:sz="8" w:color="CFEDF9"/>
            </w:tcBorders>
            <w:shd w:val="clear" w:color="auto" w:fill="CFEDF9"/>
          </w:tcPr>
          <w:p>
            <w:pPr>
              <w:spacing w:after="0"/>
              <w:rPr>
                <w:sz w:val="13"/>
                <w:szCs w:val="13"/>
                <w:color w:val="auto"/>
              </w:rPr>
            </w:pPr>
          </w:p>
        </w:tc>
        <w:tc>
          <w:tcPr>
            <w:tcW w:w="20" w:type="dxa"/>
            <w:vAlign w:val="bottom"/>
            <w:tcBorders>
              <w:top w:val="single" w:sz="8" w:color="CFEDF9"/>
            </w:tcBorders>
            <w:shd w:val="clear" w:color="auto" w:fill="CFEDF9"/>
          </w:tcPr>
          <w:p>
            <w:pPr>
              <w:spacing w:after="0"/>
              <w:rPr>
                <w:sz w:val="13"/>
                <w:szCs w:val="13"/>
                <w:color w:val="auto"/>
              </w:rPr>
            </w:pPr>
          </w:p>
        </w:tc>
        <w:tc>
          <w:tcPr>
            <w:tcW w:w="60" w:type="dxa"/>
            <w:vAlign w:val="bottom"/>
            <w:tcBorders>
              <w:top w:val="single" w:sz="8" w:color="CFEDF9"/>
            </w:tcBorders>
            <w:shd w:val="clear" w:color="auto" w:fill="CFEDF9"/>
          </w:tcPr>
          <w:p>
            <w:pPr>
              <w:spacing w:after="0"/>
              <w:rPr>
                <w:sz w:val="13"/>
                <w:szCs w:val="13"/>
                <w:color w:val="auto"/>
              </w:rPr>
            </w:pPr>
          </w:p>
        </w:tc>
        <w:tc>
          <w:tcPr>
            <w:tcW w:w="20" w:type="dxa"/>
            <w:vAlign w:val="bottom"/>
            <w:tcBorders>
              <w:top w:val="single" w:sz="8" w:color="CFEDF9"/>
            </w:tcBorders>
            <w:shd w:val="clear" w:color="auto" w:fill="CFEDF9"/>
          </w:tcPr>
          <w:p>
            <w:pPr>
              <w:spacing w:after="0"/>
              <w:rPr>
                <w:sz w:val="13"/>
                <w:szCs w:val="13"/>
                <w:color w:val="auto"/>
              </w:rPr>
            </w:pPr>
          </w:p>
        </w:tc>
        <w:tc>
          <w:tcPr>
            <w:tcW w:w="60" w:type="dxa"/>
            <w:vAlign w:val="bottom"/>
            <w:tcBorders>
              <w:top w:val="single" w:sz="8" w:color="231F20"/>
            </w:tcBorders>
            <w:shd w:val="clear" w:color="auto" w:fill="CFEDF9"/>
          </w:tcPr>
          <w:p>
            <w:pPr>
              <w:spacing w:after="0"/>
              <w:rPr>
                <w:sz w:val="13"/>
                <w:szCs w:val="13"/>
                <w:color w:val="auto"/>
              </w:rPr>
            </w:pPr>
          </w:p>
        </w:tc>
        <w:tc>
          <w:tcPr>
            <w:tcW w:w="480" w:type="dxa"/>
            <w:vAlign w:val="bottom"/>
            <w:tcBorders>
              <w:top w:val="single" w:sz="8" w:color="231F20"/>
            </w:tcBorders>
            <w:shd w:val="clear" w:color="auto" w:fill="CFEDF9"/>
          </w:tcPr>
          <w:p>
            <w:pPr>
              <w:spacing w:after="0"/>
              <w:rPr>
                <w:sz w:val="13"/>
                <w:szCs w:val="13"/>
                <w:color w:val="auto"/>
              </w:rPr>
            </w:pPr>
          </w:p>
        </w:tc>
        <w:tc>
          <w:tcPr>
            <w:tcW w:w="20" w:type="dxa"/>
            <w:vAlign w:val="bottom"/>
            <w:tcBorders>
              <w:top w:val="single" w:sz="8" w:color="231F20"/>
            </w:tcBorders>
            <w:shd w:val="clear" w:color="auto" w:fill="CFEDF9"/>
          </w:tcPr>
          <w:p>
            <w:pPr>
              <w:spacing w:after="0"/>
              <w:rPr>
                <w:sz w:val="13"/>
                <w:szCs w:val="13"/>
                <w:color w:val="auto"/>
              </w:rPr>
            </w:pPr>
          </w:p>
        </w:tc>
        <w:tc>
          <w:tcPr>
            <w:tcW w:w="60" w:type="dxa"/>
            <w:vAlign w:val="bottom"/>
            <w:tcBorders>
              <w:top w:val="single" w:sz="8" w:color="CFEDF9"/>
            </w:tcBorders>
            <w:shd w:val="clear" w:color="auto" w:fill="CFEDF9"/>
          </w:tcPr>
          <w:p>
            <w:pPr>
              <w:spacing w:after="0"/>
              <w:rPr>
                <w:sz w:val="13"/>
                <w:szCs w:val="13"/>
                <w:color w:val="auto"/>
              </w:rPr>
            </w:pPr>
          </w:p>
        </w:tc>
        <w:tc>
          <w:tcPr>
            <w:tcW w:w="20" w:type="dxa"/>
            <w:vAlign w:val="bottom"/>
            <w:tcBorders>
              <w:top w:val="single" w:sz="8" w:color="CFEDF9"/>
            </w:tcBorders>
            <w:shd w:val="clear" w:color="auto" w:fill="CFEDF9"/>
          </w:tcPr>
          <w:p>
            <w:pPr>
              <w:spacing w:after="0"/>
              <w:rPr>
                <w:sz w:val="13"/>
                <w:szCs w:val="13"/>
                <w:color w:val="auto"/>
              </w:rPr>
            </w:pPr>
          </w:p>
        </w:tc>
        <w:tc>
          <w:tcPr>
            <w:tcW w:w="60" w:type="dxa"/>
            <w:vAlign w:val="bottom"/>
            <w:tcBorders>
              <w:top w:val="single" w:sz="8" w:color="231F20"/>
            </w:tcBorders>
            <w:shd w:val="clear" w:color="auto" w:fill="CFEDF9"/>
          </w:tcPr>
          <w:p>
            <w:pPr>
              <w:spacing w:after="0"/>
              <w:rPr>
                <w:sz w:val="13"/>
                <w:szCs w:val="13"/>
                <w:color w:val="auto"/>
              </w:rPr>
            </w:pPr>
          </w:p>
        </w:tc>
        <w:tc>
          <w:tcPr>
            <w:tcW w:w="120" w:type="dxa"/>
            <w:vAlign w:val="bottom"/>
            <w:tcBorders>
              <w:top w:val="single" w:sz="8" w:color="231F20"/>
            </w:tcBorders>
            <w:shd w:val="clear" w:color="auto" w:fill="CFEDF9"/>
          </w:tcPr>
          <w:p>
            <w:pPr>
              <w:spacing w:after="0"/>
              <w:rPr>
                <w:sz w:val="13"/>
                <w:szCs w:val="13"/>
                <w:color w:val="auto"/>
              </w:rPr>
            </w:pPr>
          </w:p>
        </w:tc>
        <w:tc>
          <w:tcPr>
            <w:tcW w:w="780" w:type="dxa"/>
            <w:vAlign w:val="bottom"/>
            <w:tcBorders>
              <w:top w:val="single" w:sz="8" w:color="231F20"/>
            </w:tcBorders>
            <w:shd w:val="clear" w:color="auto" w:fill="CFEDF9"/>
          </w:tcPr>
          <w:p>
            <w:pPr>
              <w:spacing w:after="0"/>
              <w:rPr>
                <w:sz w:val="13"/>
                <w:szCs w:val="13"/>
                <w:color w:val="auto"/>
              </w:rPr>
            </w:pPr>
          </w:p>
        </w:tc>
        <w:tc>
          <w:tcPr>
            <w:tcW w:w="20" w:type="dxa"/>
            <w:vAlign w:val="bottom"/>
            <w:tcBorders>
              <w:top w:val="single" w:sz="8" w:color="231F20"/>
            </w:tcBorders>
            <w:shd w:val="clear" w:color="auto" w:fill="CFEDF9"/>
          </w:tcPr>
          <w:p>
            <w:pPr>
              <w:spacing w:after="0"/>
              <w:rPr>
                <w:sz w:val="13"/>
                <w:szCs w:val="13"/>
                <w:color w:val="auto"/>
              </w:rPr>
            </w:pPr>
          </w:p>
        </w:tc>
        <w:tc>
          <w:tcPr>
            <w:tcW w:w="80" w:type="dxa"/>
            <w:vAlign w:val="bottom"/>
            <w:tcBorders>
              <w:top w:val="single" w:sz="8" w:color="CFEDF9"/>
            </w:tcBorders>
            <w:shd w:val="clear" w:color="auto" w:fill="CFEDF9"/>
          </w:tcPr>
          <w:p>
            <w:pPr>
              <w:spacing w:after="0"/>
              <w:rPr>
                <w:sz w:val="13"/>
                <w:szCs w:val="13"/>
                <w:color w:val="auto"/>
              </w:rPr>
            </w:pPr>
          </w:p>
        </w:tc>
        <w:tc>
          <w:tcPr>
            <w:tcW w:w="80" w:type="dxa"/>
            <w:vAlign w:val="bottom"/>
            <w:tcBorders>
              <w:top w:val="single" w:sz="8" w:color="CFEDF9"/>
            </w:tcBorders>
            <w:shd w:val="clear" w:color="auto" w:fill="CFEDF9"/>
          </w:tcPr>
          <w:p>
            <w:pPr>
              <w:spacing w:after="0"/>
              <w:rPr>
                <w:sz w:val="13"/>
                <w:szCs w:val="13"/>
                <w:color w:val="auto"/>
              </w:rPr>
            </w:pPr>
          </w:p>
        </w:tc>
        <w:tc>
          <w:tcPr>
            <w:tcW w:w="20" w:type="dxa"/>
            <w:vAlign w:val="bottom"/>
            <w:tcBorders>
              <w:top w:val="single" w:sz="8" w:color="CFEDF9"/>
            </w:tcBorders>
            <w:shd w:val="clear" w:color="auto" w:fill="CFEDF9"/>
          </w:tcPr>
          <w:p>
            <w:pPr>
              <w:spacing w:after="0"/>
              <w:rPr>
                <w:sz w:val="13"/>
                <w:szCs w:val="13"/>
                <w:color w:val="auto"/>
              </w:rPr>
            </w:pPr>
          </w:p>
        </w:tc>
        <w:tc>
          <w:tcPr>
            <w:tcW w:w="80" w:type="dxa"/>
            <w:vAlign w:val="bottom"/>
            <w:tcBorders>
              <w:top w:val="single" w:sz="8" w:color="231F20"/>
            </w:tcBorders>
            <w:shd w:val="clear" w:color="auto" w:fill="CFEDF9"/>
          </w:tcPr>
          <w:p>
            <w:pPr>
              <w:spacing w:after="0"/>
              <w:rPr>
                <w:sz w:val="13"/>
                <w:szCs w:val="13"/>
                <w:color w:val="auto"/>
              </w:rPr>
            </w:pPr>
          </w:p>
        </w:tc>
        <w:tc>
          <w:tcPr>
            <w:tcW w:w="760" w:type="dxa"/>
            <w:vAlign w:val="bottom"/>
            <w:tcBorders>
              <w:top w:val="single" w:sz="8" w:color="231F20"/>
            </w:tcBorders>
            <w:shd w:val="clear" w:color="auto" w:fill="CFEDF9"/>
          </w:tcPr>
          <w:p>
            <w:pPr>
              <w:spacing w:after="0"/>
              <w:rPr>
                <w:sz w:val="13"/>
                <w:szCs w:val="13"/>
                <w:color w:val="auto"/>
              </w:rPr>
            </w:pPr>
          </w:p>
        </w:tc>
        <w:tc>
          <w:tcPr>
            <w:tcW w:w="20" w:type="dxa"/>
            <w:vAlign w:val="bottom"/>
            <w:tcBorders>
              <w:top w:val="single" w:sz="8" w:color="231F20"/>
            </w:tcBorders>
            <w:shd w:val="clear" w:color="auto" w:fill="CFEDF9"/>
          </w:tcPr>
          <w:p>
            <w:pPr>
              <w:spacing w:after="0"/>
              <w:rPr>
                <w:sz w:val="13"/>
                <w:szCs w:val="13"/>
                <w:color w:val="auto"/>
              </w:rPr>
            </w:pPr>
          </w:p>
        </w:tc>
        <w:tc>
          <w:tcPr>
            <w:tcW w:w="60" w:type="dxa"/>
            <w:vAlign w:val="bottom"/>
            <w:tcBorders>
              <w:top w:val="single" w:sz="8" w:color="CFEDF9"/>
            </w:tcBorders>
            <w:shd w:val="clear" w:color="auto" w:fill="CFEDF9"/>
          </w:tcPr>
          <w:p>
            <w:pPr>
              <w:spacing w:after="0"/>
              <w:rPr>
                <w:sz w:val="13"/>
                <w:szCs w:val="13"/>
                <w:color w:val="auto"/>
              </w:rPr>
            </w:pPr>
          </w:p>
        </w:tc>
        <w:tc>
          <w:tcPr>
            <w:tcW w:w="100" w:type="dxa"/>
            <w:vAlign w:val="bottom"/>
            <w:tcBorders>
              <w:top w:val="single" w:sz="8" w:color="CFEDF9"/>
            </w:tcBorders>
            <w:shd w:val="clear" w:color="auto" w:fill="CFEDF9"/>
          </w:tcPr>
          <w:p>
            <w:pPr>
              <w:spacing w:after="0"/>
              <w:rPr>
                <w:sz w:val="13"/>
                <w:szCs w:val="13"/>
                <w:color w:val="auto"/>
              </w:rPr>
            </w:pPr>
          </w:p>
        </w:tc>
        <w:tc>
          <w:tcPr>
            <w:tcW w:w="20" w:type="dxa"/>
            <w:vAlign w:val="bottom"/>
            <w:tcBorders>
              <w:top w:val="single" w:sz="8" w:color="CFEDF9"/>
            </w:tcBorders>
            <w:shd w:val="clear" w:color="auto" w:fill="CFEDF9"/>
          </w:tcPr>
          <w:p>
            <w:pPr>
              <w:spacing w:after="0"/>
              <w:rPr>
                <w:sz w:val="13"/>
                <w:szCs w:val="13"/>
                <w:color w:val="auto"/>
              </w:rPr>
            </w:pPr>
          </w:p>
        </w:tc>
        <w:tc>
          <w:tcPr>
            <w:tcW w:w="660" w:type="dxa"/>
            <w:vAlign w:val="bottom"/>
            <w:tcBorders>
              <w:top w:val="single" w:sz="8" w:color="231F20"/>
            </w:tcBorders>
            <w:shd w:val="clear" w:color="auto" w:fill="CFEDF9"/>
          </w:tcPr>
          <w:p>
            <w:pPr>
              <w:spacing w:after="0"/>
              <w:rPr>
                <w:sz w:val="13"/>
                <w:szCs w:val="13"/>
                <w:color w:val="auto"/>
              </w:rPr>
            </w:pPr>
          </w:p>
        </w:tc>
        <w:tc>
          <w:tcPr>
            <w:tcW w:w="20" w:type="dxa"/>
            <w:vAlign w:val="bottom"/>
            <w:tcBorders>
              <w:top w:val="single" w:sz="8" w:color="231F20"/>
            </w:tcBorders>
            <w:shd w:val="clear" w:color="auto" w:fill="CFEDF9"/>
          </w:tcPr>
          <w:p>
            <w:pPr>
              <w:spacing w:after="0"/>
              <w:rPr>
                <w:sz w:val="13"/>
                <w:szCs w:val="13"/>
                <w:color w:val="auto"/>
              </w:rPr>
            </w:pPr>
          </w:p>
        </w:tc>
        <w:tc>
          <w:tcPr>
            <w:tcW w:w="80" w:type="dxa"/>
            <w:vAlign w:val="bottom"/>
            <w:tcBorders>
              <w:top w:val="single" w:sz="8" w:color="CFEDF9"/>
            </w:tcBorders>
            <w:shd w:val="clear" w:color="auto" w:fill="CFEDF9"/>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Net investment income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166,327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166,327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60" w:type="dxa"/>
            <w:vAlign w:val="bottom"/>
            <w:shd w:val="clear" w:color="auto" w:fill="CFEDF9"/>
          </w:tcPr>
          <w:p>
            <w:pPr>
              <w:ind w:left="200"/>
              <w:spacing w:after="0" w:line="157" w:lineRule="exact"/>
              <w:rPr>
                <w:sz w:val="20"/>
                <w:szCs w:val="20"/>
                <w:color w:val="auto"/>
              </w:rPr>
            </w:pPr>
            <w:r>
              <w:rPr>
                <w:rFonts w:ascii="Times New Roman" w:cs="Times New Roman" w:eastAsia="Times New Roman" w:hAnsi="Times New Roman"/>
                <w:sz w:val="15"/>
                <w:szCs w:val="15"/>
                <w:color w:val="231F20"/>
              </w:rPr>
              <w:t>Net change in unrealized gains (losses) on investments and foreign</w:t>
            </w:r>
          </w:p>
        </w:tc>
        <w:tc>
          <w:tcPr>
            <w:tcW w:w="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20" w:type="dxa"/>
            <w:vAlign w:val="bottom"/>
            <w:gridSpan w:val="2"/>
            <w:vMerge w:val="restart"/>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440" w:type="dxa"/>
            <w:vAlign w:val="bottom"/>
            <w:gridSpan w:val="2"/>
            <w:vMerge w:val="restart"/>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3"/>
                <w:szCs w:val="13"/>
                <w:color w:val="auto"/>
              </w:rPr>
            </w:pPr>
          </w:p>
        </w:tc>
        <w:tc>
          <w:tcPr>
            <w:tcW w:w="10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560" w:type="dxa"/>
            <w:vAlign w:val="bottom"/>
            <w:gridSpan w:val="2"/>
            <w:vMerge w:val="restart"/>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6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60" w:type="dxa"/>
            <w:vAlign w:val="bottom"/>
            <w:shd w:val="clear" w:color="auto" w:fill="CFEDF9"/>
          </w:tcPr>
          <w:p>
            <w:pPr>
              <w:spacing w:after="0"/>
              <w:rPr>
                <w:sz w:val="13"/>
                <w:szCs w:val="13"/>
                <w:color w:val="auto"/>
              </w:rPr>
            </w:pPr>
          </w:p>
        </w:tc>
        <w:tc>
          <w:tcPr>
            <w:tcW w:w="580" w:type="dxa"/>
            <w:vAlign w:val="bottom"/>
            <w:gridSpan w:val="4"/>
            <w:vMerge w:val="restart"/>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3"/>
                <w:szCs w:val="13"/>
                <w:color w:val="auto"/>
              </w:rPr>
            </w:pPr>
          </w:p>
        </w:tc>
        <w:tc>
          <w:tcPr>
            <w:tcW w:w="120" w:type="dxa"/>
            <w:vAlign w:val="bottom"/>
            <w:shd w:val="clear" w:color="auto" w:fill="CFEDF9"/>
          </w:tcPr>
          <w:p>
            <w:pPr>
              <w:spacing w:after="0"/>
              <w:rPr>
                <w:sz w:val="13"/>
                <w:szCs w:val="13"/>
                <w:color w:val="auto"/>
              </w:rPr>
            </w:pPr>
          </w:p>
        </w:tc>
        <w:tc>
          <w:tcPr>
            <w:tcW w:w="880" w:type="dxa"/>
            <w:vAlign w:val="bottom"/>
            <w:gridSpan w:val="3"/>
            <w:vMerge w:val="restart"/>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3"/>
                <w:szCs w:val="13"/>
                <w:color w:val="auto"/>
              </w:rPr>
            </w:pPr>
          </w:p>
        </w:tc>
        <w:tc>
          <w:tcPr>
            <w:tcW w:w="20" w:type="dxa"/>
            <w:vAlign w:val="bottom"/>
            <w:shd w:val="clear" w:color="auto" w:fill="CFEDF9"/>
          </w:tcPr>
          <w:p>
            <w:pPr>
              <w:spacing w:after="0"/>
              <w:rPr>
                <w:sz w:val="13"/>
                <w:szCs w:val="13"/>
                <w:color w:val="auto"/>
              </w:rPr>
            </w:pPr>
          </w:p>
        </w:tc>
        <w:tc>
          <w:tcPr>
            <w:tcW w:w="80" w:type="dxa"/>
            <w:vAlign w:val="bottom"/>
            <w:shd w:val="clear" w:color="auto" w:fill="CFEDF9"/>
          </w:tcPr>
          <w:p>
            <w:pPr>
              <w:spacing w:after="0"/>
              <w:rPr>
                <w:sz w:val="13"/>
                <w:szCs w:val="13"/>
                <w:color w:val="auto"/>
              </w:rPr>
            </w:pPr>
          </w:p>
        </w:tc>
        <w:tc>
          <w:tcPr>
            <w:tcW w:w="840" w:type="dxa"/>
            <w:vAlign w:val="bottom"/>
            <w:gridSpan w:val="3"/>
            <w:vMerge w:val="restart"/>
            <w:shd w:val="clear" w:color="auto" w:fill="CFEDF9"/>
          </w:tcPr>
          <w:p>
            <w:pPr>
              <w:jc w:val="right"/>
              <w:ind w:right="40"/>
              <w:spacing w:after="0"/>
              <w:rPr>
                <w:sz w:val="20"/>
                <w:szCs w:val="20"/>
                <w:color w:val="auto"/>
              </w:rPr>
            </w:pPr>
            <w:r>
              <w:rPr>
                <w:rFonts w:ascii="Times New Roman" w:cs="Times New Roman" w:eastAsia="Times New Roman" w:hAnsi="Times New Roman"/>
                <w:sz w:val="15"/>
                <w:szCs w:val="15"/>
                <w:color w:val="231F20"/>
              </w:rPr>
              <w:t>(74,969)</w:t>
            </w:r>
          </w:p>
        </w:tc>
        <w:tc>
          <w:tcPr>
            <w:tcW w:w="880" w:type="dxa"/>
            <w:vAlign w:val="bottom"/>
            <w:gridSpan w:val="5"/>
            <w:vMerge w:val="restart"/>
            <w:shd w:val="clear" w:color="auto" w:fill="CFEDF9"/>
          </w:tcPr>
          <w:p>
            <w:pPr>
              <w:jc w:val="right"/>
              <w:ind w:right="40"/>
              <w:spacing w:after="0"/>
              <w:rPr>
                <w:sz w:val="20"/>
                <w:szCs w:val="20"/>
                <w:color w:val="auto"/>
              </w:rPr>
            </w:pPr>
            <w:r>
              <w:rPr>
                <w:rFonts w:ascii="Times New Roman" w:cs="Times New Roman" w:eastAsia="Times New Roman" w:hAnsi="Times New Roman"/>
                <w:sz w:val="15"/>
                <w:szCs w:val="15"/>
                <w:color w:val="231F20"/>
              </w:rPr>
              <w:t>(74,969)</w:t>
            </w:r>
          </w:p>
        </w:tc>
        <w:tc>
          <w:tcPr>
            <w:tcW w:w="0" w:type="dxa"/>
            <w:vAlign w:val="bottom"/>
          </w:tcPr>
          <w:p>
            <w:pPr>
              <w:spacing w:after="0"/>
              <w:rPr>
                <w:sz w:val="1"/>
                <w:szCs w:val="1"/>
                <w:color w:val="auto"/>
              </w:rPr>
            </w:pPr>
          </w:p>
        </w:tc>
      </w:tr>
      <w:tr>
        <w:trPr>
          <w:trHeight w:val="188"/>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currency translation</w:t>
            </w:r>
          </w:p>
        </w:tc>
        <w:tc>
          <w:tcPr>
            <w:tcW w:w="8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20" w:type="dxa"/>
            <w:vAlign w:val="bottom"/>
            <w:gridSpan w:val="2"/>
            <w:vMerge w:val="continue"/>
            <w:shd w:val="clear" w:color="auto" w:fill="CFEDF9"/>
          </w:tcPr>
          <w:p>
            <w:pPr>
              <w:spacing w:after="0"/>
              <w:rPr>
                <w:sz w:val="16"/>
                <w:szCs w:val="16"/>
                <w:color w:val="auto"/>
              </w:rPr>
            </w:pPr>
          </w:p>
        </w:tc>
        <w:tc>
          <w:tcPr>
            <w:tcW w:w="10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440" w:type="dxa"/>
            <w:vAlign w:val="bottom"/>
            <w:gridSpan w:val="2"/>
            <w:vMerge w:val="continue"/>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10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560" w:type="dxa"/>
            <w:vAlign w:val="bottom"/>
            <w:gridSpan w:val="2"/>
            <w:vMerge w:val="continue"/>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580" w:type="dxa"/>
            <w:vAlign w:val="bottom"/>
            <w:gridSpan w:val="4"/>
            <w:vMerge w:val="continue"/>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120" w:type="dxa"/>
            <w:vAlign w:val="bottom"/>
            <w:shd w:val="clear" w:color="auto" w:fill="CFEDF9"/>
          </w:tcPr>
          <w:p>
            <w:pPr>
              <w:spacing w:after="0"/>
              <w:rPr>
                <w:sz w:val="16"/>
                <w:szCs w:val="16"/>
                <w:color w:val="auto"/>
              </w:rPr>
            </w:pPr>
          </w:p>
        </w:tc>
        <w:tc>
          <w:tcPr>
            <w:tcW w:w="880" w:type="dxa"/>
            <w:vAlign w:val="bottom"/>
            <w:gridSpan w:val="3"/>
            <w:vMerge w:val="continue"/>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840" w:type="dxa"/>
            <w:vAlign w:val="bottom"/>
            <w:gridSpan w:val="3"/>
            <w:vMerge w:val="continue"/>
            <w:shd w:val="clear" w:color="auto" w:fill="CFEDF9"/>
          </w:tcPr>
          <w:p>
            <w:pPr>
              <w:spacing w:after="0"/>
              <w:rPr>
                <w:sz w:val="16"/>
                <w:szCs w:val="16"/>
                <w:color w:val="auto"/>
              </w:rPr>
            </w:pPr>
          </w:p>
        </w:tc>
        <w:tc>
          <w:tcPr>
            <w:tcW w:w="880" w:type="dxa"/>
            <w:vAlign w:val="bottom"/>
            <w:gridSpan w:val="5"/>
            <w:vMerge w:val="continue"/>
            <w:shd w:val="clear" w:color="auto" w:fill="CFEDF9"/>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Net realized gain (loss) on investments and foreign currency transactions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16,695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16,695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15"/>
                <w:szCs w:val="15"/>
                <w:color w:val="231F20"/>
              </w:rPr>
              <w:t>Increase (decrease) in net assets resulting from capital share transactions</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7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2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4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4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7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7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Issuance of common stock, net of offering and underwriting costs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Common stock issued in settlement of convertible notes</w:t>
            </w:r>
          </w:p>
        </w:tc>
        <w:tc>
          <w:tcPr>
            <w:tcW w:w="84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4,360,125</w:t>
            </w: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44</w:t>
            </w: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7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77,598</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7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77,642</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Purchases of treasury stock</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231F20"/>
              </w:rPr>
              <w:t>(368,206)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231F20"/>
              </w:rPr>
              <w:t>368,206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jc w:val="right"/>
              <w:ind w:right="35"/>
              <w:spacing w:after="0"/>
              <w:rPr>
                <w:sz w:val="20"/>
                <w:szCs w:val="20"/>
                <w:color w:val="auto"/>
              </w:rPr>
            </w:pPr>
            <w:r>
              <w:rPr>
                <w:rFonts w:ascii="Times New Roman" w:cs="Times New Roman" w:eastAsia="Times New Roman" w:hAnsi="Times New Roman"/>
                <w:sz w:val="15"/>
                <w:szCs w:val="15"/>
                <w:color w:val="231F20"/>
              </w:rPr>
              <w:t>(6,168)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231F20"/>
              </w:rPr>
              <w:t>(6,168)</w:t>
            </w: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15"/>
                <w:szCs w:val="15"/>
                <w:color w:val="231F20"/>
              </w:rPr>
              <w:t>Dividends to stockholders:</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7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2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4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4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7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7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Stock issued in connection with dividend reinvestment plan</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1,625,826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30,500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30,516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Dividends declared from distributable earnings</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2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88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4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5"/>
                <w:szCs w:val="15"/>
                <w:color w:val="231F20"/>
              </w:rPr>
              <w:t>(144,322)</w:t>
            </w:r>
          </w:p>
        </w:tc>
        <w:tc>
          <w:tcPr>
            <w:tcW w:w="880" w:type="dxa"/>
            <w:vAlign w:val="bottom"/>
            <w:gridSpan w:val="5"/>
            <w:shd w:val="clear" w:color="auto" w:fill="CFEDF9"/>
          </w:tcPr>
          <w:p>
            <w:pPr>
              <w:jc w:val="right"/>
              <w:ind w:right="40"/>
              <w:spacing w:after="0"/>
              <w:rPr>
                <w:sz w:val="20"/>
                <w:szCs w:val="20"/>
                <w:color w:val="auto"/>
              </w:rPr>
            </w:pPr>
            <w:r>
              <w:rPr>
                <w:rFonts w:ascii="Times New Roman" w:cs="Times New Roman" w:eastAsia="Times New Roman" w:hAnsi="Times New Roman"/>
                <w:sz w:val="15"/>
                <w:szCs w:val="15"/>
                <w:color w:val="231F20"/>
              </w:rPr>
              <w:t>(144,322)</w:t>
            </w:r>
          </w:p>
        </w:tc>
        <w:tc>
          <w:tcPr>
            <w:tcW w:w="0" w:type="dxa"/>
            <w:vAlign w:val="bottom"/>
          </w:tcPr>
          <w:p>
            <w:pPr>
              <w:spacing w:after="0"/>
              <w:rPr>
                <w:sz w:val="1"/>
                <w:szCs w:val="1"/>
                <w:color w:val="auto"/>
              </w:rPr>
            </w:pPr>
          </w:p>
        </w:tc>
      </w:tr>
      <w:tr>
        <w:trPr>
          <w:trHeight w:val="172"/>
        </w:trPr>
        <w:tc>
          <w:tcPr>
            <w:tcW w:w="4760" w:type="dxa"/>
            <w:vAlign w:val="bottom"/>
          </w:tcPr>
          <w:p>
            <w:pPr>
              <w:ind w:left="100"/>
              <w:spacing w:after="0" w:line="173" w:lineRule="exact"/>
              <w:rPr>
                <w:sz w:val="20"/>
                <w:szCs w:val="20"/>
                <w:color w:val="auto"/>
              </w:rPr>
            </w:pPr>
            <w:r>
              <w:rPr>
                <w:rFonts w:ascii="Times New Roman" w:cs="Times New Roman" w:eastAsia="Times New Roman" w:hAnsi="Times New Roman"/>
                <w:sz w:val="14"/>
                <w:szCs w:val="14"/>
                <w:color w:val="231F20"/>
              </w:rPr>
              <w:t xml:space="preserve">Tax reclassification of stockholders' equity in accordance with GAAP </w:t>
            </w:r>
            <w:r>
              <w:rPr>
                <w:rFonts w:ascii="Times New Roman" w:cs="Times New Roman" w:eastAsia="Times New Roman" w:hAnsi="Times New Roman"/>
                <w:sz w:val="19"/>
                <w:szCs w:val="19"/>
                <w:color w:val="231F20"/>
                <w:vertAlign w:val="superscript"/>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231F20"/>
              </w:rPr>
              <w:t>(2,622)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2,622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62"/>
        </w:trPr>
        <w:tc>
          <w:tcPr>
            <w:tcW w:w="4760" w:type="dxa"/>
            <w:vAlign w:val="bottom"/>
            <w:tcBorders>
              <w:top w:val="single" w:sz="8" w:color="CFEDF9"/>
            </w:tcBorders>
            <w:shd w:val="clear" w:color="auto" w:fill="CFEDF9"/>
          </w:tcPr>
          <w:p>
            <w:pPr>
              <w:spacing w:after="0" w:line="163" w:lineRule="exact"/>
              <w:rPr>
                <w:sz w:val="20"/>
                <w:szCs w:val="20"/>
                <w:color w:val="auto"/>
              </w:rPr>
            </w:pPr>
            <w:r>
              <w:rPr>
                <w:rFonts w:ascii="Times New Roman" w:cs="Times New Roman" w:eastAsia="Times New Roman" w:hAnsi="Times New Roman"/>
                <w:sz w:val="15"/>
                <w:szCs w:val="15"/>
                <w:b w:val="1"/>
                <w:bCs w:val="1"/>
                <w:color w:val="231F20"/>
              </w:rPr>
              <w:t>Balance at December 31, 2022</w:t>
            </w:r>
          </w:p>
        </w:tc>
        <w:tc>
          <w:tcPr>
            <w:tcW w:w="8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740" w:type="dxa"/>
            <w:vAlign w:val="bottom"/>
            <w:tcBorders>
              <w:top w:val="single" w:sz="8" w:color="231F20"/>
              <w:bottom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shd w:val="clear" w:color="auto" w:fill="CFEDF9"/>
              </w:rPr>
              <w:t>81,389,287</w:t>
            </w:r>
          </w:p>
        </w:tc>
        <w:tc>
          <w:tcPr>
            <w:tcW w:w="80" w:type="dxa"/>
            <w:vAlign w:val="bottom"/>
            <w:tcBorders>
              <w:top w:val="single" w:sz="8" w:color="CFEDF9"/>
            </w:tcBorders>
            <w:shd w:val="clear" w:color="auto" w:fill="CFEDF9"/>
          </w:tcPr>
          <w:p>
            <w:pPr>
              <w:spacing w:after="0"/>
              <w:rPr>
                <w:sz w:val="14"/>
                <w:szCs w:val="14"/>
                <w:color w:val="auto"/>
              </w:rPr>
            </w:pPr>
          </w:p>
        </w:tc>
        <w:tc>
          <w:tcPr>
            <w:tcW w:w="10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80" w:type="dxa"/>
            <w:vAlign w:val="bottom"/>
            <w:tcBorders>
              <w:top w:val="single" w:sz="8" w:color="231F20"/>
              <w:bottom w:val="single" w:sz="8" w:color="231F20"/>
            </w:tcBorders>
            <w:shd w:val="clear" w:color="auto" w:fill="CFEDF9"/>
          </w:tcPr>
          <w:p>
            <w:pPr>
              <w:spacing w:after="0" w:line="163" w:lineRule="exact"/>
              <w:rPr>
                <w:sz w:val="20"/>
                <w:szCs w:val="20"/>
                <w:color w:val="auto"/>
              </w:rPr>
            </w:pPr>
            <w:r>
              <w:rPr>
                <w:rFonts w:ascii="Times New Roman" w:cs="Times New Roman" w:eastAsia="Times New Roman" w:hAnsi="Times New Roman"/>
                <w:sz w:val="15"/>
                <w:szCs w:val="15"/>
                <w:b w:val="1"/>
                <w:bCs w:val="1"/>
                <w:color w:val="231F20"/>
                <w:w w:val="79"/>
                <w:shd w:val="clear" w:color="auto" w:fill="CFEDF9"/>
              </w:rPr>
              <w:t>$</w:t>
            </w:r>
          </w:p>
        </w:tc>
        <w:tc>
          <w:tcPr>
            <w:tcW w:w="420" w:type="dxa"/>
            <w:vAlign w:val="bottom"/>
            <w:tcBorders>
              <w:top w:val="single" w:sz="8" w:color="231F20"/>
              <w:bottom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shd w:val="clear" w:color="auto" w:fill="CFEDF9"/>
              </w:rPr>
              <w:t>821</w:t>
            </w:r>
          </w:p>
        </w:tc>
        <w:tc>
          <w:tcPr>
            <w:tcW w:w="20" w:type="dxa"/>
            <w:vAlign w:val="bottom"/>
            <w:tcBorders>
              <w:top w:val="single" w:sz="8" w:color="231F20"/>
              <w:bottom w:val="single" w:sz="8" w:color="231F20"/>
            </w:tcBorders>
            <w:shd w:val="clear" w:color="auto" w:fill="CFEDF9"/>
          </w:tcPr>
          <w:p>
            <w:pPr>
              <w:spacing w:after="0"/>
              <w:rPr>
                <w:sz w:val="14"/>
                <w:szCs w:val="14"/>
                <w:color w:val="auto"/>
              </w:rPr>
            </w:pPr>
          </w:p>
        </w:tc>
        <w:tc>
          <w:tcPr>
            <w:tcW w:w="60" w:type="dxa"/>
            <w:vAlign w:val="bottom"/>
            <w:tcBorders>
              <w:top w:val="single" w:sz="8" w:color="CFEDF9"/>
            </w:tcBorders>
            <w:shd w:val="clear" w:color="auto" w:fill="CFEDF9"/>
          </w:tcPr>
          <w:p>
            <w:pPr>
              <w:spacing w:after="0"/>
              <w:rPr>
                <w:sz w:val="14"/>
                <w:szCs w:val="14"/>
                <w:color w:val="auto"/>
              </w:rPr>
            </w:pPr>
          </w:p>
        </w:tc>
        <w:tc>
          <w:tcPr>
            <w:tcW w:w="10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540" w:type="dxa"/>
            <w:vAlign w:val="bottom"/>
            <w:tcBorders>
              <w:top w:val="single" w:sz="8" w:color="231F20"/>
              <w:bottom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664,250</w:t>
            </w:r>
          </w:p>
        </w:tc>
        <w:tc>
          <w:tcPr>
            <w:tcW w:w="20" w:type="dxa"/>
            <w:vAlign w:val="bottom"/>
            <w:tcBorders>
              <w:top w:val="single" w:sz="8" w:color="231F20"/>
              <w:bottom w:val="single" w:sz="8" w:color="231F20"/>
            </w:tcBorders>
            <w:shd w:val="clear" w:color="auto" w:fill="CFEDF9"/>
          </w:tcPr>
          <w:p>
            <w:pPr>
              <w:spacing w:after="0"/>
              <w:rPr>
                <w:sz w:val="14"/>
                <w:szCs w:val="14"/>
                <w:color w:val="auto"/>
              </w:rPr>
            </w:pPr>
          </w:p>
        </w:tc>
        <w:tc>
          <w:tcPr>
            <w:tcW w:w="8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6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231F20"/>
                <w:w w:val="71"/>
              </w:rPr>
              <w:t>$</w:t>
            </w:r>
          </w:p>
        </w:tc>
        <w:tc>
          <w:tcPr>
            <w:tcW w:w="500" w:type="dxa"/>
            <w:vAlign w:val="bottom"/>
            <w:tcBorders>
              <w:top w:val="single" w:sz="8" w:color="231F20"/>
              <w:bottom w:val="single" w:sz="8" w:color="231F20"/>
            </w:tcBorders>
            <w:gridSpan w:val="2"/>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w w:val="99"/>
              </w:rPr>
              <w:t>(10,459</w:t>
            </w:r>
          </w:p>
        </w:tc>
        <w:tc>
          <w:tcPr>
            <w:tcW w:w="60" w:type="dxa"/>
            <w:vAlign w:val="bottom"/>
            <w:tcBorders>
              <w:top w:val="single" w:sz="8" w:color="CFEDF9"/>
            </w:tcBorders>
            <w:shd w:val="clear" w:color="auto" w:fill="CFEDF9"/>
          </w:tcPr>
          <w:p>
            <w:pPr>
              <w:jc w:val="right"/>
              <w:ind w:right="35"/>
              <w:spacing w:after="0"/>
              <w:rPr>
                <w:sz w:val="20"/>
                <w:szCs w:val="20"/>
                <w:color w:val="auto"/>
              </w:rPr>
            </w:pPr>
            <w:r>
              <w:rPr>
                <w:rFonts w:ascii="Times New Roman" w:cs="Times New Roman" w:eastAsia="Times New Roman" w:hAnsi="Times New Roman"/>
                <w:sz w:val="1"/>
                <w:szCs w:val="1"/>
                <w:b w:val="1"/>
                <w:bCs w:val="1"/>
                <w:color w:val="231F20"/>
                <w:w w:val="4294967281"/>
                <w:shd w:val="clear" w:color="auto" w:fill="CFEDF9"/>
              </w:rPr>
              <w:t>)</w:t>
            </w:r>
          </w:p>
        </w:tc>
        <w:tc>
          <w:tcPr>
            <w:tcW w:w="20" w:type="dxa"/>
            <w:vAlign w:val="bottom"/>
            <w:tcBorders>
              <w:top w:val="single" w:sz="8" w:color="CFEDF9"/>
            </w:tcBorders>
            <w:shd w:val="clear" w:color="auto" w:fill="CFEDF9"/>
          </w:tcPr>
          <w:p>
            <w:pPr>
              <w:spacing w:after="0"/>
              <w:rPr>
                <w:sz w:val="14"/>
                <w:szCs w:val="14"/>
                <w:color w:val="auto"/>
              </w:rPr>
            </w:pPr>
          </w:p>
        </w:tc>
        <w:tc>
          <w:tcPr>
            <w:tcW w:w="180" w:type="dxa"/>
            <w:vAlign w:val="bottom"/>
            <w:tcBorders>
              <w:top w:val="single" w:sz="8" w:color="231F20"/>
              <w:bottom w:val="single" w:sz="8" w:color="231F20"/>
            </w:tcBorders>
            <w:gridSpan w:val="2"/>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w:t>
            </w:r>
          </w:p>
        </w:tc>
        <w:tc>
          <w:tcPr>
            <w:tcW w:w="780" w:type="dxa"/>
            <w:vAlign w:val="bottom"/>
            <w:tcBorders>
              <w:top w:val="single" w:sz="8" w:color="231F20"/>
              <w:bottom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1,294,751</w:t>
            </w:r>
          </w:p>
        </w:tc>
        <w:tc>
          <w:tcPr>
            <w:tcW w:w="20" w:type="dxa"/>
            <w:vAlign w:val="bottom"/>
            <w:tcBorders>
              <w:top w:val="single" w:sz="8" w:color="231F20"/>
              <w:bottom w:val="single" w:sz="8" w:color="231F20"/>
            </w:tcBorders>
            <w:shd w:val="clear" w:color="auto" w:fill="CFEDF9"/>
          </w:tcPr>
          <w:p>
            <w:pPr>
              <w:spacing w:after="0"/>
              <w:rPr>
                <w:sz w:val="14"/>
                <w:szCs w:val="14"/>
                <w:color w:val="auto"/>
              </w:rPr>
            </w:pPr>
          </w:p>
        </w:tc>
        <w:tc>
          <w:tcPr>
            <w:tcW w:w="80" w:type="dxa"/>
            <w:vAlign w:val="bottom"/>
            <w:tcBorders>
              <w:top w:val="single" w:sz="8" w:color="CFEDF9"/>
            </w:tcBorders>
            <w:shd w:val="clear" w:color="auto" w:fill="CFEDF9"/>
          </w:tcPr>
          <w:p>
            <w:pPr>
              <w:spacing w:after="0"/>
              <w:rPr>
                <w:sz w:val="14"/>
                <w:szCs w:val="14"/>
                <w:color w:val="auto"/>
              </w:rPr>
            </w:pPr>
          </w:p>
        </w:tc>
        <w:tc>
          <w:tcPr>
            <w:tcW w:w="8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80" w:type="dxa"/>
            <w:vAlign w:val="bottom"/>
            <w:tcBorders>
              <w:top w:val="single" w:sz="8" w:color="231F20"/>
              <w:bottom w:val="single" w:sz="8" w:color="231F20"/>
            </w:tcBorders>
            <w:shd w:val="clear" w:color="auto" w:fill="CFEDF9"/>
          </w:tcPr>
          <w:p>
            <w:pPr>
              <w:spacing w:after="0" w:line="163" w:lineRule="exact"/>
              <w:rPr>
                <w:sz w:val="20"/>
                <w:szCs w:val="20"/>
                <w:color w:val="auto"/>
              </w:rPr>
            </w:pPr>
            <w:r>
              <w:rPr>
                <w:rFonts w:ascii="Times New Roman" w:cs="Times New Roman" w:eastAsia="Times New Roman" w:hAnsi="Times New Roman"/>
                <w:sz w:val="15"/>
                <w:szCs w:val="15"/>
                <w:b w:val="1"/>
                <w:bCs w:val="1"/>
                <w:color w:val="231F20"/>
                <w:w w:val="79"/>
              </w:rPr>
              <w:t>$</w:t>
            </w:r>
          </w:p>
        </w:tc>
        <w:tc>
          <w:tcPr>
            <w:tcW w:w="760" w:type="dxa"/>
            <w:vAlign w:val="bottom"/>
            <w:tcBorders>
              <w:top w:val="single" w:sz="8" w:color="231F20"/>
              <w:bottom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231F20"/>
              </w:rPr>
              <w:t>56,456</w:t>
            </w:r>
          </w:p>
        </w:tc>
        <w:tc>
          <w:tcPr>
            <w:tcW w:w="20" w:type="dxa"/>
            <w:vAlign w:val="bottom"/>
            <w:tcBorders>
              <w:top w:val="single" w:sz="8" w:color="231F20"/>
              <w:bottom w:val="single" w:sz="8" w:color="231F20"/>
            </w:tcBorders>
            <w:shd w:val="clear" w:color="auto" w:fill="CFEDF9"/>
          </w:tcPr>
          <w:p>
            <w:pPr>
              <w:spacing w:after="0"/>
              <w:rPr>
                <w:sz w:val="14"/>
                <w:szCs w:val="14"/>
                <w:color w:val="auto"/>
              </w:rPr>
            </w:pPr>
          </w:p>
        </w:tc>
        <w:tc>
          <w:tcPr>
            <w:tcW w:w="60" w:type="dxa"/>
            <w:vAlign w:val="bottom"/>
            <w:tcBorders>
              <w:top w:val="single" w:sz="8" w:color="CFEDF9"/>
            </w:tcBorders>
            <w:shd w:val="clear" w:color="auto" w:fill="CFEDF9"/>
          </w:tcPr>
          <w:p>
            <w:pPr>
              <w:spacing w:after="0"/>
              <w:rPr>
                <w:sz w:val="14"/>
                <w:szCs w:val="14"/>
                <w:color w:val="auto"/>
              </w:rPr>
            </w:pPr>
          </w:p>
        </w:tc>
        <w:tc>
          <w:tcPr>
            <w:tcW w:w="100" w:type="dxa"/>
            <w:vAlign w:val="bottom"/>
            <w:tcBorders>
              <w:top w:val="single" w:sz="8" w:color="CFEDF9"/>
            </w:tcBorders>
            <w:shd w:val="clear" w:color="auto" w:fill="CFEDF9"/>
          </w:tcPr>
          <w:p>
            <w:pPr>
              <w:spacing w:after="0"/>
              <w:rPr>
                <w:sz w:val="14"/>
                <w:szCs w:val="14"/>
                <w:color w:val="auto"/>
              </w:rPr>
            </w:pPr>
          </w:p>
        </w:tc>
        <w:tc>
          <w:tcPr>
            <w:tcW w:w="20" w:type="dxa"/>
            <w:vAlign w:val="bottom"/>
            <w:tcBorders>
              <w:top w:val="single" w:sz="8" w:color="CFEDF9"/>
            </w:tcBorders>
            <w:shd w:val="clear" w:color="auto" w:fill="CFEDF9"/>
          </w:tcPr>
          <w:p>
            <w:pPr>
              <w:spacing w:after="0"/>
              <w:rPr>
                <w:sz w:val="14"/>
                <w:szCs w:val="14"/>
                <w:color w:val="auto"/>
              </w:rPr>
            </w:pPr>
          </w:p>
        </w:tc>
        <w:tc>
          <w:tcPr>
            <w:tcW w:w="660" w:type="dxa"/>
            <w:vAlign w:val="bottom"/>
            <w:tcBorders>
              <w:top w:val="single" w:sz="8" w:color="231F20"/>
              <w:bottom w:val="single" w:sz="8" w:color="231F20"/>
            </w:tcBorders>
            <w:shd w:val="clear" w:color="auto" w:fill="CFEDF9"/>
          </w:tcPr>
          <w:p>
            <w:pPr>
              <w:jc w:val="right"/>
              <w:spacing w:after="0" w:line="163" w:lineRule="exact"/>
              <w:rPr>
                <w:sz w:val="20"/>
                <w:szCs w:val="20"/>
                <w:color w:val="auto"/>
              </w:rPr>
            </w:pPr>
            <w:r>
              <w:rPr>
                <w:rFonts w:ascii="Times New Roman" w:cs="Times New Roman" w:eastAsia="Times New Roman" w:hAnsi="Times New Roman"/>
                <w:sz w:val="15"/>
                <w:szCs w:val="15"/>
                <w:b w:val="1"/>
                <w:bCs w:val="1"/>
                <w:u w:val="single" w:color="auto"/>
                <w:color w:val="231F20"/>
                <w:w w:val="89"/>
                <w:shd w:val="clear" w:color="auto" w:fill="CFEDF9"/>
              </w:rPr>
              <w:t>$</w:t>
            </w:r>
            <w:r>
              <w:rPr>
                <w:rFonts w:ascii="Times New Roman" w:cs="Times New Roman" w:eastAsia="Times New Roman" w:hAnsi="Times New Roman"/>
                <w:sz w:val="15"/>
                <w:szCs w:val="15"/>
                <w:b w:val="1"/>
                <w:bCs w:val="1"/>
                <w:color w:val="231F20"/>
                <w:w w:val="89"/>
                <w:shd w:val="clear" w:color="auto" w:fill="CFEDF9"/>
              </w:rPr>
              <w:t xml:space="preserve"> 1,341,569</w:t>
            </w:r>
          </w:p>
        </w:tc>
        <w:tc>
          <w:tcPr>
            <w:tcW w:w="20" w:type="dxa"/>
            <w:vAlign w:val="bottom"/>
            <w:tcBorders>
              <w:top w:val="single" w:sz="8" w:color="231F20"/>
              <w:bottom w:val="single" w:sz="8" w:color="231F20"/>
            </w:tcBorders>
            <w:shd w:val="clear" w:color="auto" w:fill="CFEDF9"/>
          </w:tcPr>
          <w:p>
            <w:pPr>
              <w:spacing w:after="0"/>
              <w:rPr>
                <w:sz w:val="14"/>
                <w:szCs w:val="14"/>
                <w:color w:val="auto"/>
              </w:rPr>
            </w:pPr>
          </w:p>
        </w:tc>
        <w:tc>
          <w:tcPr>
            <w:tcW w:w="80" w:type="dxa"/>
            <w:vAlign w:val="bottom"/>
            <w:tcBorders>
              <w:top w:val="single" w:sz="8" w:color="CFEDF9"/>
            </w:tcBorders>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231F20"/>
              </w:rPr>
              <w:t>Net increase (decrease) in net assets resulting from operations: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Net investment income</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2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88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196,399</w:t>
            </w: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7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196,399</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60" w:type="dxa"/>
            <w:vAlign w:val="bottom"/>
          </w:tcPr>
          <w:p>
            <w:pPr>
              <w:ind w:left="200"/>
              <w:spacing w:after="0" w:line="157" w:lineRule="exact"/>
              <w:rPr>
                <w:sz w:val="20"/>
                <w:szCs w:val="20"/>
                <w:color w:val="auto"/>
              </w:rPr>
            </w:pPr>
            <w:r>
              <w:rPr>
                <w:rFonts w:ascii="Times New Roman" w:cs="Times New Roman" w:eastAsia="Times New Roman" w:hAnsi="Times New Roman"/>
                <w:sz w:val="15"/>
                <w:szCs w:val="15"/>
                <w:color w:val="231F20"/>
              </w:rPr>
              <w:t>Net change in unrealized gains (losses) on investments and foreign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13,191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231F20"/>
              </w:rPr>
              <w:t>13,191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currency translation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Net realized gain (loss) on investments and foreign currency transactions</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2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88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12,433</w:t>
            </w: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7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12,433</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100"/>
              <w:spacing w:after="0"/>
              <w:rPr>
                <w:sz w:val="20"/>
                <w:szCs w:val="20"/>
                <w:color w:val="auto"/>
              </w:rPr>
            </w:pPr>
            <w:r>
              <w:rPr>
                <w:rFonts w:ascii="Times New Roman" w:cs="Times New Roman" w:eastAsia="Times New Roman" w:hAnsi="Times New Roman"/>
                <w:sz w:val="15"/>
                <w:szCs w:val="15"/>
                <w:color w:val="231F20"/>
              </w:rPr>
              <w:t>Increase (decrease) in net assets resulting from capital share transactions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Issuance of common stock, net of offering and underwriting costs</w:t>
            </w:r>
          </w:p>
        </w:tc>
        <w:tc>
          <w:tcPr>
            <w:tcW w:w="84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5,175,000</w:t>
            </w: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52</w:t>
            </w: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7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89,152</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7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89,204</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Common stock issued in settlement of convertible notes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Purchases of treasury stock</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2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88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7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72"/>
        </w:trPr>
        <w:tc>
          <w:tcPr>
            <w:tcW w:w="4760" w:type="dxa"/>
            <w:vAlign w:val="bottom"/>
          </w:tcPr>
          <w:p>
            <w:pPr>
              <w:ind w:left="100"/>
              <w:spacing w:after="0"/>
              <w:rPr>
                <w:sz w:val="20"/>
                <w:szCs w:val="20"/>
                <w:color w:val="auto"/>
              </w:rPr>
            </w:pPr>
            <w:r>
              <w:rPr>
                <w:rFonts w:ascii="Times New Roman" w:cs="Times New Roman" w:eastAsia="Times New Roman" w:hAnsi="Times New Roman"/>
                <w:sz w:val="15"/>
                <w:szCs w:val="15"/>
                <w:color w:val="231F20"/>
              </w:rPr>
              <w:t>Dividends to stockholders: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5"/>
                <w:szCs w:val="15"/>
                <w:color w:val="231F20"/>
              </w:rPr>
              <w:t>Stock issued in connection with dividend reinvestment plan</w:t>
            </w:r>
          </w:p>
        </w:tc>
        <w:tc>
          <w:tcPr>
            <w:tcW w:w="84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1,265,212</w:t>
            </w: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4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12</w:t>
            </w: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7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23,533</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40" w:type="dxa"/>
            <w:vAlign w:val="bottom"/>
            <w:gridSpan w:val="3"/>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7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23,545</w:t>
            </w:r>
          </w:p>
        </w:tc>
        <w:tc>
          <w:tcPr>
            <w:tcW w:w="2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Dividends declared from distributable earnings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231F20"/>
              </w:rPr>
              <w:t>(179,966)</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231F20"/>
              </w:rPr>
              <w:t>(179,966)</w:t>
            </w:r>
          </w:p>
        </w:tc>
        <w:tc>
          <w:tcPr>
            <w:tcW w:w="0" w:type="dxa"/>
            <w:vAlign w:val="bottom"/>
          </w:tcPr>
          <w:p>
            <w:pPr>
              <w:spacing w:after="0"/>
              <w:rPr>
                <w:sz w:val="1"/>
                <w:szCs w:val="1"/>
                <w:color w:val="auto"/>
              </w:rPr>
            </w:pPr>
          </w:p>
        </w:tc>
      </w:tr>
      <w:tr>
        <w:trPr>
          <w:trHeight w:val="192"/>
        </w:trPr>
        <w:tc>
          <w:tcPr>
            <w:tcW w:w="4760" w:type="dxa"/>
            <w:vAlign w:val="bottom"/>
            <w:shd w:val="clear" w:color="auto" w:fill="CFEDF9"/>
          </w:tcPr>
          <w:p>
            <w:pPr>
              <w:ind w:left="100"/>
              <w:spacing w:after="0" w:line="173" w:lineRule="exact"/>
              <w:rPr>
                <w:sz w:val="20"/>
                <w:szCs w:val="20"/>
                <w:color w:val="auto"/>
              </w:rPr>
            </w:pPr>
            <w:r>
              <w:rPr>
                <w:rFonts w:ascii="Times New Roman" w:cs="Times New Roman" w:eastAsia="Times New Roman" w:hAnsi="Times New Roman"/>
                <w:sz w:val="14"/>
                <w:szCs w:val="14"/>
                <w:color w:val="231F20"/>
              </w:rPr>
              <w:t xml:space="preserve">Tax reclassification of stockholders' equity in accordance with GAAP </w:t>
            </w:r>
            <w:r>
              <w:rPr>
                <w:rFonts w:ascii="Times New Roman" w:cs="Times New Roman" w:eastAsia="Times New Roman" w:hAnsi="Times New Roman"/>
                <w:sz w:val="19"/>
                <w:szCs w:val="19"/>
                <w:color w:val="231F20"/>
                <w:vertAlign w:val="superscript"/>
              </w:rPr>
              <w:t>(1)</w:t>
            </w:r>
          </w:p>
        </w:tc>
        <w:tc>
          <w:tcPr>
            <w:tcW w:w="8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2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4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6"/>
                <w:szCs w:val="16"/>
                <w:color w:val="auto"/>
              </w:rPr>
            </w:pPr>
          </w:p>
        </w:tc>
        <w:tc>
          <w:tcPr>
            <w:tcW w:w="10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5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580" w:type="dxa"/>
            <w:vAlign w:val="bottom"/>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shd w:val="clear" w:color="auto" w:fill="CFEDF9"/>
          </w:tcPr>
          <w:p>
            <w:pPr>
              <w:spacing w:after="0"/>
              <w:rPr>
                <w:sz w:val="16"/>
                <w:szCs w:val="16"/>
                <w:color w:val="auto"/>
              </w:rPr>
            </w:pPr>
          </w:p>
        </w:tc>
        <w:tc>
          <w:tcPr>
            <w:tcW w:w="120" w:type="dxa"/>
            <w:vAlign w:val="bottom"/>
            <w:shd w:val="clear" w:color="auto" w:fill="CFEDF9"/>
          </w:tcPr>
          <w:p>
            <w:pPr>
              <w:spacing w:after="0"/>
              <w:rPr>
                <w:sz w:val="16"/>
                <w:szCs w:val="16"/>
                <w:color w:val="auto"/>
              </w:rPr>
            </w:pPr>
          </w:p>
        </w:tc>
        <w:tc>
          <w:tcPr>
            <w:tcW w:w="88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5"/>
                <w:szCs w:val="15"/>
                <w:color w:val="231F20"/>
              </w:rPr>
              <w:t>(2,263)</w:t>
            </w:r>
          </w:p>
        </w:tc>
        <w:tc>
          <w:tcPr>
            <w:tcW w:w="8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80" w:type="dxa"/>
            <w:vAlign w:val="bottom"/>
            <w:shd w:val="clear" w:color="auto" w:fill="CFEDF9"/>
          </w:tcPr>
          <w:p>
            <w:pPr>
              <w:spacing w:after="0"/>
              <w:rPr>
                <w:sz w:val="16"/>
                <w:szCs w:val="16"/>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5"/>
                <w:szCs w:val="15"/>
                <w:color w:val="231F20"/>
              </w:rPr>
              <w:t>2,263</w:t>
            </w:r>
          </w:p>
        </w:tc>
        <w:tc>
          <w:tcPr>
            <w:tcW w:w="20" w:type="dxa"/>
            <w:vAlign w:val="bottom"/>
            <w:shd w:val="clear" w:color="auto" w:fill="CFEDF9"/>
          </w:tcPr>
          <w:p>
            <w:pPr>
              <w:spacing w:after="0"/>
              <w:rPr>
                <w:sz w:val="16"/>
                <w:szCs w:val="16"/>
                <w:color w:val="auto"/>
              </w:rPr>
            </w:pPr>
          </w:p>
        </w:tc>
        <w:tc>
          <w:tcPr>
            <w:tcW w:w="60" w:type="dxa"/>
            <w:vAlign w:val="bottom"/>
            <w:shd w:val="clear" w:color="auto" w:fill="CFEDF9"/>
          </w:tcPr>
          <w:p>
            <w:pPr>
              <w:spacing w:after="0"/>
              <w:rPr>
                <w:sz w:val="16"/>
                <w:szCs w:val="16"/>
                <w:color w:val="auto"/>
              </w:rPr>
            </w:pPr>
          </w:p>
        </w:tc>
        <w:tc>
          <w:tcPr>
            <w:tcW w:w="100" w:type="dxa"/>
            <w:vAlign w:val="bottom"/>
            <w:shd w:val="clear" w:color="auto" w:fill="CFEDF9"/>
          </w:tcPr>
          <w:p>
            <w:pPr>
              <w:spacing w:after="0"/>
              <w:rPr>
                <w:sz w:val="16"/>
                <w:szCs w:val="16"/>
                <w:color w:val="auto"/>
              </w:rPr>
            </w:pPr>
          </w:p>
        </w:tc>
        <w:tc>
          <w:tcPr>
            <w:tcW w:w="20" w:type="dxa"/>
            <w:vAlign w:val="bottom"/>
            <w:shd w:val="clear" w:color="auto" w:fill="CFEDF9"/>
          </w:tcPr>
          <w:p>
            <w:pPr>
              <w:spacing w:after="0"/>
              <w:rPr>
                <w:sz w:val="16"/>
                <w:szCs w:val="16"/>
                <w:color w:val="auto"/>
              </w:rPr>
            </w:pPr>
          </w:p>
        </w:tc>
        <w:tc>
          <w:tcPr>
            <w:tcW w:w="76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42"/>
        </w:trPr>
        <w:tc>
          <w:tcPr>
            <w:tcW w:w="476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231F20"/>
              </w:rPr>
              <w:t>Balance at December 31, 2023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231F20"/>
              <w:bottom w:val="single" w:sz="8" w:color="231F20"/>
            </w:tcBorders>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231F20"/>
              </w:rPr>
              <w:t>87,829,499</w:t>
            </w:r>
          </w:p>
        </w:tc>
        <w:tc>
          <w:tcPr>
            <w:tcW w:w="80" w:type="dxa"/>
            <w:vAlign w:val="bottom"/>
          </w:tcPr>
          <w:p>
            <w:pPr>
              <w:spacing w:after="0"/>
              <w:rPr>
                <w:sz w:val="12"/>
                <w:szCs w:val="12"/>
                <w:color w:val="auto"/>
              </w:rPr>
            </w:pPr>
          </w:p>
        </w:tc>
        <w:tc>
          <w:tcPr>
            <w:tcW w:w="200" w:type="dxa"/>
            <w:vAlign w:val="bottom"/>
            <w:tcBorders>
              <w:top w:val="single" w:sz="8" w:color="231F20"/>
              <w:bottom w:val="single" w:sz="8" w:color="231F20"/>
            </w:tcBorders>
            <w:gridSpan w:val="3"/>
          </w:tcPr>
          <w:p>
            <w:pPr>
              <w:ind w:left="100"/>
              <w:spacing w:after="0" w:line="143" w:lineRule="exact"/>
              <w:rPr>
                <w:sz w:val="20"/>
                <w:szCs w:val="20"/>
                <w:color w:val="auto"/>
              </w:rPr>
            </w:pPr>
            <w:r>
              <w:rPr>
                <w:rFonts w:ascii="Times New Roman" w:cs="Times New Roman" w:eastAsia="Times New Roman" w:hAnsi="Times New Roman"/>
                <w:sz w:val="15"/>
                <w:szCs w:val="15"/>
                <w:b w:val="1"/>
                <w:bCs w:val="1"/>
                <w:color w:val="231F20"/>
              </w:rPr>
              <w:t>$</w:t>
            </w:r>
          </w:p>
        </w:tc>
        <w:tc>
          <w:tcPr>
            <w:tcW w:w="420" w:type="dxa"/>
            <w:vAlign w:val="bottom"/>
            <w:tcBorders>
              <w:top w:val="single" w:sz="8" w:color="231F20"/>
              <w:bottom w:val="single" w:sz="8" w:color="231F20"/>
            </w:tcBorders>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231F20"/>
              </w:rPr>
              <w:t>885</w:t>
            </w:r>
          </w:p>
        </w:tc>
        <w:tc>
          <w:tcPr>
            <w:tcW w:w="20" w:type="dxa"/>
            <w:vAlign w:val="bottom"/>
            <w:tcBorders>
              <w:top w:val="single" w:sz="8" w:color="231F20"/>
              <w:bottom w:val="single" w:sz="8" w:color="231F20"/>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231F20"/>
              <w:bottom w:val="single" w:sz="8" w:color="231F20"/>
            </w:tcBorders>
            <w:gridSpan w:val="3"/>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231F20"/>
              </w:rPr>
              <w:t>664,250</w:t>
            </w:r>
          </w:p>
        </w:tc>
        <w:tc>
          <w:tcPr>
            <w:tcW w:w="20" w:type="dxa"/>
            <w:vAlign w:val="bottom"/>
            <w:tcBorders>
              <w:top w:val="single" w:sz="8" w:color="231F20"/>
              <w:bottom w:val="single" w:sz="8" w:color="231F20"/>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CFEDF9"/>
            </w:tcBorders>
          </w:tcPr>
          <w:p>
            <w:pPr>
              <w:spacing w:after="0"/>
              <w:rPr>
                <w:sz w:val="12"/>
                <w:szCs w:val="12"/>
                <w:color w:val="auto"/>
              </w:rPr>
            </w:pPr>
          </w:p>
        </w:tc>
        <w:tc>
          <w:tcPr>
            <w:tcW w:w="140" w:type="dxa"/>
            <w:vAlign w:val="bottom"/>
            <w:tcBorders>
              <w:top w:val="single" w:sz="8" w:color="231F20"/>
              <w:bottom w:val="single" w:sz="8" w:color="231F20"/>
            </w:tcBorders>
            <w:gridSpan w:val="3"/>
          </w:tcPr>
          <w:p>
            <w:pPr>
              <w:jc w:val="right"/>
              <w:spacing w:after="0" w:line="143" w:lineRule="exact"/>
              <w:rPr>
                <w:sz w:val="20"/>
                <w:szCs w:val="20"/>
                <w:color w:val="auto"/>
              </w:rPr>
            </w:pPr>
            <w:r>
              <w:rPr>
                <w:rFonts w:ascii="Times New Roman" w:cs="Times New Roman" w:eastAsia="Times New Roman" w:hAnsi="Times New Roman"/>
                <w:sz w:val="15"/>
                <w:szCs w:val="15"/>
                <w:b w:val="1"/>
                <w:bCs w:val="1"/>
                <w:u w:val="single" w:color="auto"/>
                <w:color w:val="231F20"/>
              </w:rPr>
              <w:t>$</w:t>
            </w:r>
          </w:p>
        </w:tc>
        <w:tc>
          <w:tcPr>
            <w:tcW w:w="500" w:type="dxa"/>
            <w:vAlign w:val="bottom"/>
            <w:tcBorders>
              <w:top w:val="single" w:sz="8" w:color="231F20"/>
              <w:bottom w:val="single" w:sz="8" w:color="231F20"/>
            </w:tcBorders>
            <w:gridSpan w:val="2"/>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231F20"/>
                <w:w w:val="99"/>
              </w:rPr>
              <w:t>(10,459</w:t>
            </w: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1"/>
                <w:szCs w:val="1"/>
                <w:b w:val="1"/>
                <w:bCs w:val="1"/>
                <w:color w:val="231F20"/>
                <w:highlight w:val="white"/>
                <w:w w:val="4294967281"/>
              </w:rPr>
              <w:t>)</w:t>
            </w:r>
          </w:p>
        </w:tc>
        <w:tc>
          <w:tcPr>
            <w:tcW w:w="20" w:type="dxa"/>
            <w:vAlign w:val="bottom"/>
          </w:tcPr>
          <w:p>
            <w:pPr>
              <w:spacing w:after="0"/>
              <w:rPr>
                <w:sz w:val="12"/>
                <w:szCs w:val="12"/>
                <w:color w:val="auto"/>
              </w:rPr>
            </w:pPr>
          </w:p>
        </w:tc>
        <w:tc>
          <w:tcPr>
            <w:tcW w:w="180" w:type="dxa"/>
            <w:vAlign w:val="bottom"/>
            <w:tcBorders>
              <w:top w:val="single" w:sz="8" w:color="231F20"/>
              <w:bottom w:val="single" w:sz="8" w:color="231F20"/>
            </w:tcBorders>
            <w:gridSpan w:val="2"/>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231F20"/>
              </w:rPr>
              <w:t>$</w:t>
            </w:r>
          </w:p>
        </w:tc>
        <w:tc>
          <w:tcPr>
            <w:tcW w:w="780" w:type="dxa"/>
            <w:vAlign w:val="bottom"/>
            <w:tcBorders>
              <w:top w:val="single" w:sz="8" w:color="231F20"/>
              <w:bottom w:val="single" w:sz="8" w:color="231F20"/>
            </w:tcBorders>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231F20"/>
              </w:rPr>
              <w:t>1,405,173</w:t>
            </w:r>
          </w:p>
        </w:tc>
        <w:tc>
          <w:tcPr>
            <w:tcW w:w="20" w:type="dxa"/>
            <w:vAlign w:val="bottom"/>
            <w:tcBorders>
              <w:top w:val="single" w:sz="8" w:color="231F20"/>
              <w:bottom w:val="single" w:sz="8" w:color="231F20"/>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231F20"/>
              <w:bottom w:val="single" w:sz="8" w:color="231F20"/>
            </w:tcBorders>
            <w:gridSpan w:val="3"/>
          </w:tcPr>
          <w:p>
            <w:pPr>
              <w:ind w:left="80"/>
              <w:spacing w:after="0" w:line="143" w:lineRule="exact"/>
              <w:rPr>
                <w:sz w:val="20"/>
                <w:szCs w:val="20"/>
                <w:color w:val="auto"/>
              </w:rPr>
            </w:pPr>
            <w:r>
              <w:rPr>
                <w:rFonts w:ascii="Times New Roman" w:cs="Times New Roman" w:eastAsia="Times New Roman" w:hAnsi="Times New Roman"/>
                <w:sz w:val="15"/>
                <w:szCs w:val="15"/>
                <w:b w:val="1"/>
                <w:bCs w:val="1"/>
                <w:color w:val="231F20"/>
              </w:rPr>
              <w:t>$</w:t>
            </w:r>
          </w:p>
        </w:tc>
        <w:tc>
          <w:tcPr>
            <w:tcW w:w="760" w:type="dxa"/>
            <w:vAlign w:val="bottom"/>
            <w:tcBorders>
              <w:top w:val="single" w:sz="8" w:color="231F20"/>
              <w:bottom w:val="single" w:sz="8" w:color="231F20"/>
            </w:tcBorders>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231F20"/>
              </w:rPr>
              <w:t>100,776</w:t>
            </w:r>
          </w:p>
        </w:tc>
        <w:tc>
          <w:tcPr>
            <w:tcW w:w="20" w:type="dxa"/>
            <w:vAlign w:val="bottom"/>
            <w:tcBorders>
              <w:top w:val="single" w:sz="8" w:color="231F20"/>
              <w:bottom w:val="single" w:sz="8" w:color="231F20"/>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231F20"/>
              <w:bottom w:val="single" w:sz="8" w:color="231F20"/>
            </w:tcBorders>
            <w:gridSpan w:val="3"/>
          </w:tcPr>
          <w:p>
            <w:pPr>
              <w:jc w:val="right"/>
              <w:spacing w:after="0" w:line="143" w:lineRule="exact"/>
              <w:rPr>
                <w:sz w:val="20"/>
                <w:szCs w:val="20"/>
                <w:color w:val="auto"/>
              </w:rPr>
            </w:pPr>
            <w:r>
              <w:rPr>
                <w:rFonts w:ascii="Times New Roman" w:cs="Times New Roman" w:eastAsia="Times New Roman" w:hAnsi="Times New Roman"/>
                <w:sz w:val="15"/>
                <w:szCs w:val="15"/>
                <w:b w:val="1"/>
                <w:bCs w:val="1"/>
                <w:u w:val="single" w:color="auto"/>
                <w:color w:val="231F20"/>
                <w:highlight w:val="white"/>
              </w:rPr>
              <w:t>$</w:t>
            </w:r>
            <w:r>
              <w:rPr>
                <w:rFonts w:ascii="Times New Roman" w:cs="Times New Roman" w:eastAsia="Times New Roman" w:hAnsi="Times New Roman"/>
                <w:sz w:val="15"/>
                <w:szCs w:val="15"/>
                <w:b w:val="1"/>
                <w:bCs w:val="1"/>
                <w:color w:val="231F20"/>
                <w:highlight w:val="white"/>
              </w:rPr>
              <w:t xml:space="preserve"> 1,496,375</w:t>
            </w:r>
          </w:p>
        </w:tc>
        <w:tc>
          <w:tcPr>
            <w:tcW w:w="20" w:type="dxa"/>
            <w:vAlign w:val="bottom"/>
            <w:tcBorders>
              <w:top w:val="single" w:sz="8" w:color="231F20"/>
              <w:bottom w:val="single" w:sz="8" w:color="231F20"/>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right="340" w:hanging="494"/>
        <w:spacing w:after="0" w:line="272" w:lineRule="auto"/>
        <w:tabs>
          <w:tab w:leader="none" w:pos="50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Company's tax year end is currently March 31, however the Company intends to change its tax year end to December 31 during calendar year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2240" w:h="15840" w:orient="portrait"/>
          <w:cols w:equalWidth="0" w:num="1">
            <w:col w:w="10840"/>
          </w:cols>
          <w:pgMar w:left="700" w:top="926" w:right="7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F-18</w:t>
      </w:r>
    </w:p>
    <w:p>
      <w:pPr>
        <w:sectPr>
          <w:pgSz w:w="12240" w:h="15840" w:orient="portrait"/>
          <w:cols w:equalWidth="0" w:num="1">
            <w:col w:w="10840"/>
          </w:cols>
          <w:pgMar w:left="700" w:top="926" w:right="700" w:bottom="186"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231F20"/>
        </w:rPr>
        <w:t>Sixth Street Specialty Lending,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32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20" w:type="dxa"/>
            <w:vAlign w:val="bottom"/>
          </w:tcPr>
          <w:p>
            <w:pPr>
              <w:spacing w:after="0"/>
              <w:rPr>
                <w:sz w:val="17"/>
                <w:szCs w:val="17"/>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December 31, 2021</w:t>
            </w:r>
          </w:p>
        </w:tc>
        <w:tc>
          <w:tcPr>
            <w:tcW w:w="0" w:type="dxa"/>
            <w:vAlign w:val="bottom"/>
          </w:tcPr>
          <w:p>
            <w:pPr>
              <w:spacing w:after="0"/>
              <w:rPr>
                <w:sz w:val="1"/>
                <w:szCs w:val="1"/>
                <w:color w:val="auto"/>
              </w:rPr>
            </w:pPr>
          </w:p>
        </w:tc>
      </w:tr>
      <w:tr>
        <w:trPr>
          <w:trHeight w:val="174"/>
        </w:trPr>
        <w:tc>
          <w:tcPr>
            <w:tcW w:w="5840" w:type="dxa"/>
            <w:vAlign w:val="bottom"/>
            <w:tcBorders>
              <w:top w:val="single" w:sz="8" w:color="CFEDF9"/>
            </w:tcBorders>
            <w:shd w:val="clear" w:color="auto" w:fill="CFEDF9"/>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Cash Flows from Operating Activities</w:t>
            </w:r>
          </w:p>
        </w:tc>
        <w:tc>
          <w:tcPr>
            <w:tcW w:w="100" w:type="dxa"/>
            <w:vAlign w:val="bottom"/>
            <w:tcBorders>
              <w:top w:val="single" w:sz="8" w:color="CFEDF9"/>
            </w:tcBorders>
            <w:shd w:val="clear" w:color="auto" w:fill="CFEDF9"/>
          </w:tcPr>
          <w:p>
            <w:pPr>
              <w:spacing w:after="0"/>
              <w:rPr>
                <w:sz w:val="15"/>
                <w:szCs w:val="15"/>
                <w:color w:val="auto"/>
              </w:rPr>
            </w:pPr>
          </w:p>
        </w:tc>
        <w:tc>
          <w:tcPr>
            <w:tcW w:w="200" w:type="dxa"/>
            <w:vAlign w:val="bottom"/>
            <w:tcBorders>
              <w:top w:val="single" w:sz="8" w:color="231F20"/>
            </w:tcBorders>
            <w:shd w:val="clear" w:color="auto" w:fill="CFEDF9"/>
          </w:tcPr>
          <w:p>
            <w:pPr>
              <w:spacing w:after="0"/>
              <w:rPr>
                <w:sz w:val="15"/>
                <w:szCs w:val="15"/>
                <w:color w:val="auto"/>
              </w:rPr>
            </w:pPr>
          </w:p>
        </w:tc>
        <w:tc>
          <w:tcPr>
            <w:tcW w:w="1240" w:type="dxa"/>
            <w:vAlign w:val="bottom"/>
            <w:tcBorders>
              <w:top w:val="single" w:sz="8" w:color="231F20"/>
            </w:tcBorders>
            <w:shd w:val="clear" w:color="auto" w:fill="CFEDF9"/>
          </w:tcPr>
          <w:p>
            <w:pPr>
              <w:spacing w:after="0"/>
              <w:rPr>
                <w:sz w:val="15"/>
                <w:szCs w:val="15"/>
                <w:color w:val="auto"/>
              </w:rPr>
            </w:pPr>
          </w:p>
        </w:tc>
        <w:tc>
          <w:tcPr>
            <w:tcW w:w="120" w:type="dxa"/>
            <w:vAlign w:val="bottom"/>
            <w:tcBorders>
              <w:top w:val="single" w:sz="8" w:color="CFEDF9"/>
            </w:tcBorders>
            <w:shd w:val="clear" w:color="auto" w:fill="CFEDF9"/>
          </w:tcPr>
          <w:p>
            <w:pPr>
              <w:spacing w:after="0"/>
              <w:rPr>
                <w:sz w:val="15"/>
                <w:szCs w:val="15"/>
                <w:color w:val="auto"/>
              </w:rPr>
            </w:pPr>
          </w:p>
        </w:tc>
        <w:tc>
          <w:tcPr>
            <w:tcW w:w="120" w:type="dxa"/>
            <w:vAlign w:val="bottom"/>
            <w:tcBorders>
              <w:top w:val="single" w:sz="8" w:color="CFEDF9"/>
            </w:tcBorders>
            <w:shd w:val="clear" w:color="auto" w:fill="CFEDF9"/>
          </w:tcPr>
          <w:p>
            <w:pPr>
              <w:spacing w:after="0"/>
              <w:rPr>
                <w:sz w:val="15"/>
                <w:szCs w:val="15"/>
                <w:color w:val="auto"/>
              </w:rPr>
            </w:pPr>
          </w:p>
        </w:tc>
        <w:tc>
          <w:tcPr>
            <w:tcW w:w="200" w:type="dxa"/>
            <w:vAlign w:val="bottom"/>
            <w:tcBorders>
              <w:top w:val="single" w:sz="8" w:color="231F20"/>
            </w:tcBorders>
            <w:shd w:val="clear" w:color="auto" w:fill="CFEDF9"/>
          </w:tcPr>
          <w:p>
            <w:pPr>
              <w:spacing w:after="0"/>
              <w:rPr>
                <w:sz w:val="15"/>
                <w:szCs w:val="15"/>
                <w:color w:val="auto"/>
              </w:rPr>
            </w:pPr>
          </w:p>
        </w:tc>
        <w:tc>
          <w:tcPr>
            <w:tcW w:w="1240" w:type="dxa"/>
            <w:vAlign w:val="bottom"/>
            <w:tcBorders>
              <w:top w:val="single" w:sz="8" w:color="231F20"/>
            </w:tcBorders>
            <w:shd w:val="clear" w:color="auto" w:fill="CFEDF9"/>
          </w:tcPr>
          <w:p>
            <w:pPr>
              <w:spacing w:after="0"/>
              <w:rPr>
                <w:sz w:val="15"/>
                <w:szCs w:val="15"/>
                <w:color w:val="auto"/>
              </w:rPr>
            </w:pPr>
          </w:p>
        </w:tc>
        <w:tc>
          <w:tcPr>
            <w:tcW w:w="120" w:type="dxa"/>
            <w:vAlign w:val="bottom"/>
            <w:tcBorders>
              <w:top w:val="single" w:sz="8" w:color="CFEDF9"/>
            </w:tcBorders>
            <w:shd w:val="clear" w:color="auto" w:fill="CFEDF9"/>
          </w:tcPr>
          <w:p>
            <w:pPr>
              <w:spacing w:after="0"/>
              <w:rPr>
                <w:sz w:val="15"/>
                <w:szCs w:val="15"/>
                <w:color w:val="auto"/>
              </w:rPr>
            </w:pPr>
          </w:p>
        </w:tc>
        <w:tc>
          <w:tcPr>
            <w:tcW w:w="320" w:type="dxa"/>
            <w:vAlign w:val="bottom"/>
            <w:tcBorders>
              <w:top w:val="single" w:sz="8" w:color="231F20"/>
            </w:tcBorders>
            <w:shd w:val="clear" w:color="auto" w:fill="CFEDF9"/>
          </w:tcPr>
          <w:p>
            <w:pPr>
              <w:spacing w:after="0"/>
              <w:rPr>
                <w:sz w:val="15"/>
                <w:szCs w:val="15"/>
                <w:color w:val="auto"/>
              </w:rPr>
            </w:pPr>
          </w:p>
        </w:tc>
        <w:tc>
          <w:tcPr>
            <w:tcW w:w="1200" w:type="dxa"/>
            <w:vAlign w:val="bottom"/>
            <w:tcBorders>
              <w:top w:val="single" w:sz="8" w:color="231F20"/>
            </w:tcBorders>
            <w:shd w:val="clear" w:color="auto" w:fill="CFEDF9"/>
          </w:tcPr>
          <w:p>
            <w:pPr>
              <w:spacing w:after="0"/>
              <w:rPr>
                <w:sz w:val="15"/>
                <w:szCs w:val="15"/>
                <w:color w:val="auto"/>
              </w:rPr>
            </w:pPr>
          </w:p>
        </w:tc>
        <w:tc>
          <w:tcPr>
            <w:tcW w:w="100" w:type="dxa"/>
            <w:vAlign w:val="bottom"/>
            <w:tcBorders>
              <w:top w:val="single" w:sz="8" w:color="CFEDF9"/>
            </w:tcBorders>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231F20"/>
              </w:rPr>
              <w:t>Increase (decrease) in net assets resulting from operations</w:t>
            </w:r>
          </w:p>
        </w:tc>
        <w:tc>
          <w:tcPr>
            <w:tcW w:w="100" w:type="dxa"/>
            <w:vAlign w:val="bottom"/>
          </w:tcPr>
          <w:p>
            <w:pPr>
              <w:spacing w:after="0"/>
              <w:rPr>
                <w:sz w:val="15"/>
                <w:szCs w:val="15"/>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108,053</w:t>
            </w:r>
          </w:p>
        </w:tc>
        <w:tc>
          <w:tcPr>
            <w:tcW w:w="120" w:type="dxa"/>
            <w:vAlign w:val="bottom"/>
          </w:tcPr>
          <w:p>
            <w:pPr>
              <w:spacing w:after="0"/>
              <w:rPr>
                <w:sz w:val="15"/>
                <w:szCs w:val="15"/>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211,780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40" w:type="dxa"/>
            <w:vAlign w:val="bottom"/>
            <w:shd w:val="clear" w:color="auto" w:fill="CFEDF9"/>
          </w:tcPr>
          <w:p>
            <w:pPr>
              <w:spacing w:after="0" w:line="169" w:lineRule="exact"/>
              <w:rPr>
                <w:sz w:val="20"/>
                <w:szCs w:val="20"/>
                <w:color w:val="auto"/>
              </w:rPr>
            </w:pPr>
            <w:r>
              <w:rPr>
                <w:rFonts w:ascii="Times New Roman" w:cs="Times New Roman" w:eastAsia="Times New Roman" w:hAnsi="Times New Roman"/>
                <w:sz w:val="16"/>
                <w:szCs w:val="16"/>
                <w:color w:val="231F20"/>
              </w:rPr>
              <w:t>Adjustments to reconcile increase (decrease) in net assets resulting from operations to net</w:t>
            </w:r>
          </w:p>
        </w:tc>
        <w:tc>
          <w:tcPr>
            <w:tcW w:w="100" w:type="dxa"/>
            <w:vAlign w:val="bottom"/>
            <w:shd w:val="clear" w:color="auto" w:fill="CFEDF9"/>
          </w:tcPr>
          <w:p>
            <w:pPr>
              <w:spacing w:after="0"/>
              <w:rPr>
                <w:sz w:val="14"/>
                <w:szCs w:val="14"/>
                <w:color w:val="auto"/>
              </w:rPr>
            </w:pPr>
          </w:p>
        </w:tc>
        <w:tc>
          <w:tcPr>
            <w:tcW w:w="200" w:type="dxa"/>
            <w:vAlign w:val="bottom"/>
            <w:shd w:val="clear" w:color="auto" w:fill="CFEDF9"/>
          </w:tcPr>
          <w:p>
            <w:pPr>
              <w:spacing w:after="0"/>
              <w:rPr>
                <w:sz w:val="14"/>
                <w:szCs w:val="14"/>
                <w:color w:val="auto"/>
              </w:rPr>
            </w:pPr>
          </w:p>
        </w:tc>
        <w:tc>
          <w:tcPr>
            <w:tcW w:w="124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200" w:type="dxa"/>
            <w:vAlign w:val="bottom"/>
            <w:shd w:val="clear" w:color="auto" w:fill="CFEDF9"/>
          </w:tcPr>
          <w:p>
            <w:pPr>
              <w:spacing w:after="0"/>
              <w:rPr>
                <w:sz w:val="14"/>
                <w:szCs w:val="14"/>
                <w:color w:val="auto"/>
              </w:rPr>
            </w:pPr>
          </w:p>
        </w:tc>
        <w:tc>
          <w:tcPr>
            <w:tcW w:w="1240" w:type="dxa"/>
            <w:vAlign w:val="bottom"/>
            <w:shd w:val="clear" w:color="auto" w:fill="CFEDF9"/>
          </w:tcPr>
          <w:p>
            <w:pPr>
              <w:spacing w:after="0"/>
              <w:rPr>
                <w:sz w:val="14"/>
                <w:szCs w:val="14"/>
                <w:color w:val="auto"/>
              </w:rPr>
            </w:pPr>
          </w:p>
        </w:tc>
        <w:tc>
          <w:tcPr>
            <w:tcW w:w="120" w:type="dxa"/>
            <w:vAlign w:val="bottom"/>
            <w:shd w:val="clear" w:color="auto" w:fill="CFEDF9"/>
          </w:tcPr>
          <w:p>
            <w:pPr>
              <w:spacing w:after="0"/>
              <w:rPr>
                <w:sz w:val="14"/>
                <w:szCs w:val="14"/>
                <w:color w:val="auto"/>
              </w:rPr>
            </w:pPr>
          </w:p>
        </w:tc>
        <w:tc>
          <w:tcPr>
            <w:tcW w:w="320" w:type="dxa"/>
            <w:vAlign w:val="bottom"/>
            <w:shd w:val="clear" w:color="auto" w:fill="CFEDF9"/>
          </w:tcPr>
          <w:p>
            <w:pPr>
              <w:spacing w:after="0"/>
              <w:rPr>
                <w:sz w:val="14"/>
                <w:szCs w:val="14"/>
                <w:color w:val="auto"/>
              </w:rPr>
            </w:pPr>
          </w:p>
        </w:tc>
        <w:tc>
          <w:tcPr>
            <w:tcW w:w="120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4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cash provided by (used in) operating activities:</w:t>
            </w:r>
          </w:p>
        </w:tc>
        <w:tc>
          <w:tcPr>
            <w:tcW w:w="100" w:type="dxa"/>
            <w:vAlign w:val="bottom"/>
            <w:shd w:val="clear" w:color="auto" w:fill="CFEDF9"/>
          </w:tcPr>
          <w:p>
            <w:pPr>
              <w:spacing w:after="0"/>
              <w:rPr>
                <w:sz w:val="17"/>
                <w:szCs w:val="17"/>
                <w:color w:val="auto"/>
              </w:rPr>
            </w:pPr>
          </w:p>
        </w:tc>
        <w:tc>
          <w:tcPr>
            <w:tcW w:w="200" w:type="dxa"/>
            <w:vAlign w:val="bottom"/>
            <w:shd w:val="clear" w:color="auto" w:fill="CFEDF9"/>
          </w:tcPr>
          <w:p>
            <w:pPr>
              <w:spacing w:after="0"/>
              <w:rPr>
                <w:sz w:val="17"/>
                <w:szCs w:val="17"/>
                <w:color w:val="auto"/>
              </w:rPr>
            </w:pPr>
          </w:p>
        </w:tc>
        <w:tc>
          <w:tcPr>
            <w:tcW w:w="12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200" w:type="dxa"/>
            <w:vAlign w:val="bottom"/>
            <w:shd w:val="clear" w:color="auto" w:fill="CFEDF9"/>
          </w:tcPr>
          <w:p>
            <w:pPr>
              <w:spacing w:after="0"/>
              <w:rPr>
                <w:sz w:val="17"/>
                <w:szCs w:val="17"/>
                <w:color w:val="auto"/>
              </w:rPr>
            </w:pPr>
          </w:p>
        </w:tc>
        <w:tc>
          <w:tcPr>
            <w:tcW w:w="12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320" w:type="dxa"/>
            <w:vAlign w:val="bottom"/>
            <w:shd w:val="clear" w:color="auto" w:fill="CFEDF9"/>
          </w:tcPr>
          <w:p>
            <w:pPr>
              <w:spacing w:after="0"/>
              <w:rPr>
                <w:sz w:val="17"/>
                <w:szCs w:val="17"/>
                <w:color w:val="auto"/>
              </w:rPr>
            </w:pPr>
          </w:p>
        </w:tc>
        <w:tc>
          <w:tcPr>
            <w:tcW w:w="1200" w:type="dxa"/>
            <w:vAlign w:val="bottom"/>
            <w:shd w:val="clear" w:color="auto" w:fill="CFEDF9"/>
          </w:tcPr>
          <w:p>
            <w:pPr>
              <w:spacing w:after="0"/>
              <w:rPr>
                <w:sz w:val="17"/>
                <w:szCs w:val="17"/>
                <w:color w:val="auto"/>
              </w:rPr>
            </w:pPr>
          </w:p>
        </w:tc>
        <w:tc>
          <w:tcPr>
            <w:tcW w:w="100" w:type="dxa"/>
            <w:vAlign w:val="bottom"/>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Net change in unrealized (gains) losses on investments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(18,854)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76,381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(49,738)</w:t>
            </w: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Net change in unrealized (gains) losses on foreign currency transactions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6,393</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(8,721)</w:t>
            </w:r>
          </w:p>
        </w:tc>
        <w:tc>
          <w:tcPr>
            <w:tcW w:w="32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591</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Net change in unrealized (gains) losses on interest rate swaps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(174)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6,748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Net realized (gains) losses on investments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(12,253)</w:t>
            </w: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(14,735)</w:t>
            </w:r>
          </w:p>
        </w:tc>
        <w:tc>
          <w:tcPr>
            <w:tcW w:w="320" w:type="dxa"/>
            <w:vAlign w:val="bottom"/>
            <w:shd w:val="clear" w:color="auto" w:fill="CFEDF9"/>
          </w:tcPr>
          <w:p>
            <w:pPr>
              <w:spacing w:after="0"/>
              <w:rPr>
                <w:sz w:val="15"/>
                <w:szCs w:val="15"/>
                <w:color w:val="auto"/>
              </w:rPr>
            </w:pPr>
          </w:p>
        </w:tc>
        <w:tc>
          <w:tcPr>
            <w:tcW w:w="130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(28,816)</w:t>
            </w: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Net realized (gains) losses on foreign currency transactions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(335)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509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Net realized (gains) losses on interest rate swaps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(2,251)</w:t>
            </w:r>
          </w:p>
        </w:tc>
        <w:tc>
          <w:tcPr>
            <w:tcW w:w="320" w:type="dxa"/>
            <w:vAlign w:val="bottom"/>
            <w:shd w:val="clear" w:color="auto" w:fill="CFEDF9"/>
          </w:tcPr>
          <w:p>
            <w:pPr>
              <w:spacing w:after="0"/>
              <w:rPr>
                <w:sz w:val="15"/>
                <w:szCs w:val="15"/>
                <w:color w:val="auto"/>
              </w:rPr>
            </w:pPr>
          </w:p>
        </w:tc>
        <w:tc>
          <w:tcPr>
            <w:tcW w:w="13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Net amortization of discount on investments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(17,596)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(19,387)</w:t>
            </w:r>
          </w:p>
        </w:tc>
        <w:tc>
          <w:tcPr>
            <w:tcW w:w="32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(27,816)</w:t>
            </w: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Amortization of deferred financing costs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5,245</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5,683</w:t>
            </w: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6,053</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Amortization of discount on debt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Purchases and originations of investments, net</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(943,451)</w:t>
            </w: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(995,620)</w:t>
            </w:r>
          </w:p>
        </w:tc>
        <w:tc>
          <w:tcPr>
            <w:tcW w:w="320" w:type="dxa"/>
            <w:vAlign w:val="bottom"/>
            <w:shd w:val="clear" w:color="auto" w:fill="CFEDF9"/>
          </w:tcPr>
          <w:p>
            <w:pPr>
              <w:spacing w:after="0"/>
              <w:rPr>
                <w:sz w:val="15"/>
                <w:szCs w:val="15"/>
                <w:color w:val="auto"/>
              </w:rPr>
            </w:pPr>
          </w:p>
        </w:tc>
        <w:tc>
          <w:tcPr>
            <w:tcW w:w="130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(1,198,944)</w:t>
            </w: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Proceeds from investments, net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42,152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23,468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92,869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Repayments on investments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472,536</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675,787</w:t>
            </w: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995,903</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Paid-in-kind interest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(18,161)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(12,881)</w:t>
            </w:r>
          </w:p>
        </w:tc>
        <w:tc>
          <w:tcPr>
            <w:tcW w:w="32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(9,639)</w:t>
            </w: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6"/>
                <w:szCs w:val="16"/>
                <w:color w:val="231F20"/>
              </w:rPr>
              <w:t>Changes in operating assets and liabilities: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spacing w:after="0"/>
              <w:rPr>
                <w:sz w:val="15"/>
                <w:szCs w:val="15"/>
                <w:color w:val="auto"/>
              </w:rPr>
            </w:pPr>
          </w:p>
        </w:tc>
        <w:tc>
          <w:tcPr>
            <w:tcW w:w="120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Interest receivable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(7,605)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(8,430)</w:t>
            </w:r>
          </w:p>
        </w:tc>
        <w:tc>
          <w:tcPr>
            <w:tcW w:w="32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(1,550)</w:t>
            </w: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Interest receivable paid-in-kind</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(1,518)</w:t>
            </w: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359</w:t>
            </w: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spacing w:after="0"/>
              <w:rPr>
                <w:sz w:val="15"/>
                <w:szCs w:val="15"/>
                <w:color w:val="auto"/>
              </w:rPr>
            </w:pPr>
          </w:p>
        </w:tc>
        <w:tc>
          <w:tcPr>
            <w:tcW w:w="130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(642)</w:t>
            </w: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Prepaid expenses and other assets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(3,049)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(1,011)</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12,136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Management fees payable to affiliate</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1,436</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1,146</w:t>
            </w: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945</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Incentive fees on net investment income payable to affiliate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Incentive fees on net capital gains accrued to affiliate</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4,382</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(8,864)</w:t>
            </w:r>
          </w:p>
        </w:tc>
        <w:tc>
          <w:tcPr>
            <w:tcW w:w="32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13,507</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Payable to affiliate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(463)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Other liabilities</w:t>
            </w:r>
          </w:p>
        </w:tc>
        <w:tc>
          <w:tcPr>
            <w:tcW w:w="100" w:type="dxa"/>
            <w:vAlign w:val="bottom"/>
            <w:shd w:val="clear" w:color="auto" w:fill="CFEDF9"/>
          </w:tcPr>
          <w:p>
            <w:pPr>
              <w:spacing w:after="0"/>
              <w:rPr>
                <w:sz w:val="17"/>
                <w:szCs w:val="17"/>
                <w:color w:val="auto"/>
              </w:rPr>
            </w:pPr>
          </w:p>
        </w:tc>
        <w:tc>
          <w:tcPr>
            <w:tcW w:w="200" w:type="dxa"/>
            <w:vAlign w:val="bottom"/>
            <w:shd w:val="clear" w:color="auto" w:fill="CFEDF9"/>
          </w:tcPr>
          <w:p>
            <w:pPr>
              <w:spacing w:after="0"/>
              <w:rPr>
                <w:sz w:val="17"/>
                <w:szCs w:val="17"/>
                <w:color w:val="auto"/>
              </w:rPr>
            </w:pP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31,072</w:t>
            </w:r>
          </w:p>
        </w:tc>
        <w:tc>
          <w:tcPr>
            <w:tcW w:w="12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200" w:type="dxa"/>
            <w:vAlign w:val="bottom"/>
            <w:shd w:val="clear" w:color="auto" w:fill="CFEDF9"/>
          </w:tcPr>
          <w:p>
            <w:pPr>
              <w:spacing w:after="0"/>
              <w:rPr>
                <w:sz w:val="17"/>
                <w:szCs w:val="17"/>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(52,777)</w:t>
            </w:r>
          </w:p>
        </w:tc>
        <w:tc>
          <w:tcPr>
            <w:tcW w:w="320" w:type="dxa"/>
            <w:vAlign w:val="bottom"/>
            <w:shd w:val="clear" w:color="auto" w:fill="CFEDF9"/>
          </w:tcPr>
          <w:p>
            <w:pPr>
              <w:spacing w:after="0"/>
              <w:rPr>
                <w:sz w:val="17"/>
                <w:szCs w:val="17"/>
                <w:color w:val="auto"/>
              </w:rPr>
            </w:pPr>
          </w:p>
        </w:tc>
        <w:tc>
          <w:tcPr>
            <w:tcW w:w="130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(24,703)</w:t>
            </w:r>
          </w:p>
        </w:tc>
        <w:tc>
          <w:tcPr>
            <w:tcW w:w="0" w:type="dxa"/>
            <w:vAlign w:val="bottom"/>
          </w:tcPr>
          <w:p>
            <w:pPr>
              <w:spacing w:after="0"/>
              <w:rPr>
                <w:sz w:val="1"/>
                <w:szCs w:val="1"/>
                <w:color w:val="auto"/>
              </w:rPr>
            </w:pPr>
          </w:p>
        </w:tc>
      </w:tr>
      <w:tr>
        <w:trPr>
          <w:trHeight w:val="154"/>
        </w:trPr>
        <w:tc>
          <w:tcPr>
            <w:tcW w:w="5840" w:type="dxa"/>
            <w:vAlign w:val="bottom"/>
            <w:tcBorders>
              <w:top w:val="single" w:sz="8" w:color="CFEDF9"/>
              <w:bottom w:val="single" w:sz="8" w:color="CFEDF9"/>
            </w:tcBorders>
          </w:tcPr>
          <w:p>
            <w:pPr>
              <w:ind w:left="400"/>
              <w:spacing w:after="0" w:line="154" w:lineRule="exact"/>
              <w:rPr>
                <w:sz w:val="20"/>
                <w:szCs w:val="20"/>
                <w:color w:val="auto"/>
              </w:rPr>
            </w:pPr>
            <w:r>
              <w:rPr>
                <w:rFonts w:ascii="Times New Roman" w:cs="Times New Roman" w:eastAsia="Times New Roman" w:hAnsi="Times New Roman"/>
                <w:sz w:val="16"/>
                <w:szCs w:val="16"/>
                <w:b w:val="1"/>
                <w:bCs w:val="1"/>
                <w:color w:val="231F20"/>
              </w:rPr>
              <w:t>Net Cash Provided by (Used in) Operating Activities</w:t>
            </w:r>
          </w:p>
        </w:tc>
        <w:tc>
          <w:tcPr>
            <w:tcW w:w="100" w:type="dxa"/>
            <w:vAlign w:val="bottom"/>
            <w:tcBorders>
              <w:top w:val="single" w:sz="8" w:color="CFEDF9"/>
              <w:bottom w:val="single" w:sz="8" w:color="CFEDF9"/>
            </w:tcBorders>
          </w:tcPr>
          <w:p>
            <w:pPr>
              <w:spacing w:after="0"/>
              <w:rPr>
                <w:sz w:val="13"/>
                <w:szCs w:val="13"/>
                <w:color w:val="auto"/>
              </w:rPr>
            </w:pPr>
          </w:p>
        </w:tc>
        <w:tc>
          <w:tcPr>
            <w:tcW w:w="200" w:type="dxa"/>
            <w:vAlign w:val="bottom"/>
            <w:tcBorders>
              <w:top w:val="single" w:sz="8" w:color="231F20"/>
              <w:bottom w:val="single" w:sz="8" w:color="231F20"/>
            </w:tcBorders>
          </w:tcPr>
          <w:p>
            <w:pPr>
              <w:spacing w:after="0"/>
              <w:rPr>
                <w:sz w:val="13"/>
                <w:szCs w:val="13"/>
                <w:color w:val="auto"/>
              </w:rPr>
            </w:pPr>
          </w:p>
        </w:tc>
        <w:tc>
          <w:tcPr>
            <w:tcW w:w="124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(236,788)</w:t>
            </w:r>
          </w:p>
        </w:tc>
        <w:tc>
          <w:tcPr>
            <w:tcW w:w="120" w:type="dxa"/>
            <w:vAlign w:val="bottom"/>
            <w:tcBorders>
              <w:top w:val="single" w:sz="8" w:color="CFEDF9"/>
              <w:bottom w:val="single" w:sz="8" w:color="CFEDF9"/>
            </w:tcBorders>
          </w:tcPr>
          <w:p>
            <w:pPr>
              <w:spacing w:after="0"/>
              <w:rPr>
                <w:sz w:val="13"/>
                <w:szCs w:val="13"/>
                <w:color w:val="auto"/>
              </w:rPr>
            </w:pPr>
          </w:p>
        </w:tc>
        <w:tc>
          <w:tcPr>
            <w:tcW w:w="120" w:type="dxa"/>
            <w:vAlign w:val="bottom"/>
            <w:tcBorders>
              <w:top w:val="single" w:sz="8" w:color="231F20"/>
              <w:bottom w:val="single" w:sz="8" w:color="231F20"/>
            </w:tcBorders>
          </w:tcPr>
          <w:p>
            <w:pPr>
              <w:spacing w:after="0"/>
              <w:rPr>
                <w:sz w:val="13"/>
                <w:szCs w:val="13"/>
                <w:color w:val="auto"/>
              </w:rPr>
            </w:pPr>
          </w:p>
        </w:tc>
        <w:tc>
          <w:tcPr>
            <w:tcW w:w="200" w:type="dxa"/>
            <w:vAlign w:val="bottom"/>
            <w:tcBorders>
              <w:top w:val="single" w:sz="8" w:color="231F20"/>
              <w:bottom w:val="single" w:sz="8" w:color="231F20"/>
            </w:tcBorders>
          </w:tcPr>
          <w:p>
            <w:pPr>
              <w:spacing w:after="0"/>
              <w:rPr>
                <w:sz w:val="13"/>
                <w:szCs w:val="13"/>
                <w:color w:val="auto"/>
              </w:rPr>
            </w:pPr>
          </w:p>
        </w:tc>
        <w:tc>
          <w:tcPr>
            <w:tcW w:w="124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(224,532)</w:t>
            </w:r>
          </w:p>
        </w:tc>
        <w:tc>
          <w:tcPr>
            <w:tcW w:w="120" w:type="dxa"/>
            <w:vAlign w:val="bottom"/>
            <w:tcBorders>
              <w:top w:val="single" w:sz="8" w:color="CFEDF9"/>
              <w:bottom w:val="single" w:sz="8" w:color="CFEDF9"/>
            </w:tcBorders>
          </w:tcPr>
          <w:p>
            <w:pPr>
              <w:spacing w:after="0"/>
              <w:rPr>
                <w:sz w:val="13"/>
                <w:szCs w:val="13"/>
                <w:color w:val="auto"/>
              </w:rPr>
            </w:pPr>
          </w:p>
        </w:tc>
        <w:tc>
          <w:tcPr>
            <w:tcW w:w="320" w:type="dxa"/>
            <w:vAlign w:val="bottom"/>
            <w:tcBorders>
              <w:top w:val="single" w:sz="8" w:color="231F20"/>
              <w:bottom w:val="single" w:sz="8" w:color="231F20"/>
            </w:tcBorders>
          </w:tcPr>
          <w:p>
            <w:pPr>
              <w:spacing w:after="0"/>
              <w:rPr>
                <w:sz w:val="13"/>
                <w:szCs w:val="13"/>
                <w:color w:val="auto"/>
              </w:rPr>
            </w:pPr>
          </w:p>
        </w:tc>
        <w:tc>
          <w:tcPr>
            <w:tcW w:w="120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2,452</w:t>
            </w:r>
          </w:p>
        </w:tc>
        <w:tc>
          <w:tcPr>
            <w:tcW w:w="100" w:type="dxa"/>
            <w:vAlign w:val="bottom"/>
            <w:tcBorders>
              <w:top w:val="single" w:sz="8" w:color="CFEDF9"/>
              <w:bottom w:val="single" w:sz="8" w:color="CFEDF9"/>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40" w:type="dxa"/>
            <w:vAlign w:val="bottom"/>
            <w:shd w:val="clear" w:color="auto" w:fill="CFEDF9"/>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Cash Flows from Financing Activities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spacing w:after="0"/>
              <w:rPr>
                <w:sz w:val="15"/>
                <w:szCs w:val="15"/>
                <w:color w:val="auto"/>
              </w:rPr>
            </w:pPr>
          </w:p>
        </w:tc>
        <w:tc>
          <w:tcPr>
            <w:tcW w:w="120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231F20"/>
              </w:rPr>
              <w:t>Borrowings on debt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1,546,233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1,329,868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1,616,739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Repayments on debt</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(1,233,264)</w:t>
            </w: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(918,113)</w:t>
            </w:r>
          </w:p>
        </w:tc>
        <w:tc>
          <w:tcPr>
            <w:tcW w:w="320" w:type="dxa"/>
            <w:vAlign w:val="bottom"/>
            <w:shd w:val="clear" w:color="auto" w:fill="CFEDF9"/>
          </w:tcPr>
          <w:p>
            <w:pPr>
              <w:spacing w:after="0"/>
              <w:rPr>
                <w:sz w:val="15"/>
                <w:szCs w:val="15"/>
                <w:color w:val="auto"/>
              </w:rPr>
            </w:pPr>
          </w:p>
        </w:tc>
        <w:tc>
          <w:tcPr>
            <w:tcW w:w="130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(1,471,961)</w:t>
            </w:r>
          </w:p>
        </w:tc>
        <w:tc>
          <w:tcPr>
            <w:tcW w:w="0" w:type="dxa"/>
            <w:vAlign w:val="bottom"/>
          </w:tcPr>
          <w:p>
            <w:pPr>
              <w:spacing w:after="0"/>
              <w:rPr>
                <w:sz w:val="1"/>
                <w:szCs w:val="1"/>
                <w:color w:val="auto"/>
              </w:rPr>
            </w:pPr>
          </w:p>
        </w:tc>
      </w:tr>
      <w:tr>
        <w:trPr>
          <w:trHeight w:val="18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231F20"/>
              </w:rPr>
              <w:t>Deferred financing costs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(9,415)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(4,296)</w:t>
            </w:r>
          </w:p>
        </w:tc>
        <w:tc>
          <w:tcPr>
            <w:tcW w:w="32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(7,953)</w:t>
            </w: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Settlement of convertible notes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shd w:val="clear" w:color="auto" w:fill="CFEDF9"/>
          </w:tcPr>
          <w:p>
            <w:pPr>
              <w:spacing w:after="0"/>
              <w:rPr>
                <w:sz w:val="15"/>
                <w:szCs w:val="15"/>
                <w:color w:val="auto"/>
              </w:rPr>
            </w:pPr>
          </w:p>
        </w:tc>
        <w:tc>
          <w:tcPr>
            <w:tcW w:w="130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(547)</w:t>
            </w:r>
          </w:p>
        </w:tc>
        <w:tc>
          <w:tcPr>
            <w:tcW w:w="0" w:type="dxa"/>
            <w:vAlign w:val="bottom"/>
          </w:tcPr>
          <w:p>
            <w:pPr>
              <w:spacing w:after="0"/>
              <w:rPr>
                <w:sz w:val="1"/>
                <w:szCs w:val="1"/>
                <w:color w:val="auto"/>
              </w:rPr>
            </w:pPr>
          </w:p>
        </w:tc>
      </w:tr>
      <w:tr>
        <w:trPr>
          <w:trHeight w:val="169"/>
        </w:trPr>
        <w:tc>
          <w:tcPr>
            <w:tcW w:w="58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231F20"/>
              </w:rPr>
              <w:t>Proceeds from issuance of common stock, net of offering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89,204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85,904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underwriting costs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Conversion of convertible notes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(22,348)</w:t>
            </w:r>
          </w:p>
        </w:tc>
        <w:tc>
          <w:tcPr>
            <w:tcW w:w="320" w:type="dxa"/>
            <w:vAlign w:val="bottom"/>
            <w:shd w:val="clear" w:color="auto" w:fill="CFEDF9"/>
          </w:tcPr>
          <w:p>
            <w:pPr>
              <w:spacing w:after="0"/>
              <w:rPr>
                <w:sz w:val="15"/>
                <w:szCs w:val="15"/>
                <w:color w:val="auto"/>
              </w:rPr>
            </w:pPr>
          </w:p>
        </w:tc>
        <w:tc>
          <w:tcPr>
            <w:tcW w:w="13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231F20"/>
              </w:rPr>
              <w:t>Purchases of treasury 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(6,168)</w:t>
            </w:r>
          </w:p>
        </w:tc>
        <w:tc>
          <w:tcPr>
            <w:tcW w:w="32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04"/>
        </w:trPr>
        <w:tc>
          <w:tcPr>
            <w:tcW w:w="584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Dividends paid to stockholders</w:t>
            </w:r>
          </w:p>
        </w:tc>
        <w:tc>
          <w:tcPr>
            <w:tcW w:w="100" w:type="dxa"/>
            <w:vAlign w:val="bottom"/>
            <w:shd w:val="clear" w:color="auto" w:fill="CFEDF9"/>
          </w:tcPr>
          <w:p>
            <w:pPr>
              <w:spacing w:after="0"/>
              <w:rPr>
                <w:sz w:val="17"/>
                <w:szCs w:val="17"/>
                <w:color w:val="auto"/>
              </w:rPr>
            </w:pPr>
          </w:p>
        </w:tc>
        <w:tc>
          <w:tcPr>
            <w:tcW w:w="200" w:type="dxa"/>
            <w:vAlign w:val="bottom"/>
            <w:shd w:val="clear" w:color="auto" w:fill="CFEDF9"/>
          </w:tcPr>
          <w:p>
            <w:pPr>
              <w:spacing w:after="0"/>
              <w:rPr>
                <w:sz w:val="17"/>
                <w:szCs w:val="17"/>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(156,421)</w:t>
            </w:r>
          </w:p>
        </w:tc>
        <w:tc>
          <w:tcPr>
            <w:tcW w:w="120" w:type="dxa"/>
            <w:vAlign w:val="bottom"/>
            <w:shd w:val="clear" w:color="auto" w:fill="CFEDF9"/>
          </w:tcPr>
          <w:p>
            <w:pPr>
              <w:spacing w:after="0"/>
              <w:rPr>
                <w:sz w:val="17"/>
                <w:szCs w:val="17"/>
                <w:color w:val="auto"/>
              </w:rPr>
            </w:pPr>
          </w:p>
        </w:tc>
        <w:tc>
          <w:tcPr>
            <w:tcW w:w="200" w:type="dxa"/>
            <w:vAlign w:val="bottom"/>
            <w:shd w:val="clear" w:color="auto" w:fill="CFEDF9"/>
          </w:tcPr>
          <w:p>
            <w:pPr>
              <w:spacing w:after="0"/>
              <w:rPr>
                <w:sz w:val="17"/>
                <w:szCs w:val="17"/>
                <w:color w:val="auto"/>
              </w:rPr>
            </w:pPr>
          </w:p>
        </w:tc>
        <w:tc>
          <w:tcPr>
            <w:tcW w:w="13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(144,731)</w:t>
            </w:r>
          </w:p>
        </w:tc>
        <w:tc>
          <w:tcPr>
            <w:tcW w:w="320" w:type="dxa"/>
            <w:vAlign w:val="bottom"/>
            <w:shd w:val="clear" w:color="auto" w:fill="CFEDF9"/>
          </w:tcPr>
          <w:p>
            <w:pPr>
              <w:spacing w:after="0"/>
              <w:rPr>
                <w:sz w:val="17"/>
                <w:szCs w:val="17"/>
                <w:color w:val="auto"/>
              </w:rPr>
            </w:pPr>
          </w:p>
        </w:tc>
        <w:tc>
          <w:tcPr>
            <w:tcW w:w="130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6"/>
                <w:szCs w:val="16"/>
                <w:color w:val="231F20"/>
              </w:rPr>
              <w:t>(221,941)</w:t>
            </w:r>
          </w:p>
        </w:tc>
        <w:tc>
          <w:tcPr>
            <w:tcW w:w="0" w:type="dxa"/>
            <w:vAlign w:val="bottom"/>
          </w:tcPr>
          <w:p>
            <w:pPr>
              <w:spacing w:after="0"/>
              <w:rPr>
                <w:sz w:val="1"/>
                <w:szCs w:val="1"/>
                <w:color w:val="auto"/>
              </w:rPr>
            </w:pPr>
          </w:p>
        </w:tc>
      </w:tr>
      <w:tr>
        <w:trPr>
          <w:trHeight w:val="154"/>
        </w:trPr>
        <w:tc>
          <w:tcPr>
            <w:tcW w:w="5840" w:type="dxa"/>
            <w:vAlign w:val="bottom"/>
            <w:tcBorders>
              <w:top w:val="single" w:sz="8" w:color="CFEDF9"/>
              <w:bottom w:val="single" w:sz="8" w:color="CFEDF9"/>
            </w:tcBorders>
          </w:tcPr>
          <w:p>
            <w:pPr>
              <w:ind w:left="400"/>
              <w:spacing w:after="0" w:line="154" w:lineRule="exact"/>
              <w:rPr>
                <w:sz w:val="20"/>
                <w:szCs w:val="20"/>
                <w:color w:val="auto"/>
              </w:rPr>
            </w:pPr>
            <w:r>
              <w:rPr>
                <w:rFonts w:ascii="Times New Roman" w:cs="Times New Roman" w:eastAsia="Times New Roman" w:hAnsi="Times New Roman"/>
                <w:sz w:val="16"/>
                <w:szCs w:val="16"/>
                <w:b w:val="1"/>
                <w:bCs w:val="1"/>
                <w:color w:val="231F20"/>
              </w:rPr>
              <w:t>Net Cash Provided by (Used in) Financing Activities</w:t>
            </w:r>
          </w:p>
        </w:tc>
        <w:tc>
          <w:tcPr>
            <w:tcW w:w="100" w:type="dxa"/>
            <w:vAlign w:val="bottom"/>
            <w:tcBorders>
              <w:top w:val="single" w:sz="8" w:color="CFEDF9"/>
              <w:bottom w:val="single" w:sz="8" w:color="CFEDF9"/>
            </w:tcBorders>
          </w:tcPr>
          <w:p>
            <w:pPr>
              <w:spacing w:after="0"/>
              <w:rPr>
                <w:sz w:val="13"/>
                <w:szCs w:val="13"/>
                <w:color w:val="auto"/>
              </w:rPr>
            </w:pPr>
          </w:p>
        </w:tc>
        <w:tc>
          <w:tcPr>
            <w:tcW w:w="200" w:type="dxa"/>
            <w:vAlign w:val="bottom"/>
            <w:tcBorders>
              <w:top w:val="single" w:sz="8" w:color="231F20"/>
              <w:bottom w:val="single" w:sz="8" w:color="231F20"/>
            </w:tcBorders>
          </w:tcPr>
          <w:p>
            <w:pPr>
              <w:spacing w:after="0"/>
              <w:rPr>
                <w:sz w:val="13"/>
                <w:szCs w:val="13"/>
                <w:color w:val="auto"/>
              </w:rPr>
            </w:pPr>
          </w:p>
        </w:tc>
        <w:tc>
          <w:tcPr>
            <w:tcW w:w="124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236,337</w:t>
            </w:r>
          </w:p>
        </w:tc>
        <w:tc>
          <w:tcPr>
            <w:tcW w:w="120" w:type="dxa"/>
            <w:vAlign w:val="bottom"/>
            <w:tcBorders>
              <w:top w:val="single" w:sz="8" w:color="CFEDF9"/>
              <w:bottom w:val="single" w:sz="8" w:color="CFEDF9"/>
            </w:tcBorders>
          </w:tcPr>
          <w:p>
            <w:pPr>
              <w:spacing w:after="0"/>
              <w:rPr>
                <w:sz w:val="13"/>
                <w:szCs w:val="13"/>
                <w:color w:val="auto"/>
              </w:rPr>
            </w:pPr>
          </w:p>
        </w:tc>
        <w:tc>
          <w:tcPr>
            <w:tcW w:w="120" w:type="dxa"/>
            <w:vAlign w:val="bottom"/>
            <w:tcBorders>
              <w:top w:val="single" w:sz="8" w:color="231F20"/>
              <w:bottom w:val="single" w:sz="8" w:color="231F20"/>
            </w:tcBorders>
          </w:tcPr>
          <w:p>
            <w:pPr>
              <w:spacing w:after="0"/>
              <w:rPr>
                <w:sz w:val="13"/>
                <w:szCs w:val="13"/>
                <w:color w:val="auto"/>
              </w:rPr>
            </w:pPr>
          </w:p>
        </w:tc>
        <w:tc>
          <w:tcPr>
            <w:tcW w:w="200" w:type="dxa"/>
            <w:vAlign w:val="bottom"/>
            <w:tcBorders>
              <w:top w:val="single" w:sz="8" w:color="231F20"/>
              <w:bottom w:val="single" w:sz="8" w:color="231F20"/>
            </w:tcBorders>
          </w:tcPr>
          <w:p>
            <w:pPr>
              <w:spacing w:after="0"/>
              <w:rPr>
                <w:sz w:val="13"/>
                <w:szCs w:val="13"/>
                <w:color w:val="auto"/>
              </w:rPr>
            </w:pPr>
          </w:p>
        </w:tc>
        <w:tc>
          <w:tcPr>
            <w:tcW w:w="124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234,212</w:t>
            </w:r>
          </w:p>
        </w:tc>
        <w:tc>
          <w:tcPr>
            <w:tcW w:w="120" w:type="dxa"/>
            <w:vAlign w:val="bottom"/>
            <w:tcBorders>
              <w:top w:val="single" w:sz="8" w:color="CFEDF9"/>
              <w:bottom w:val="single" w:sz="8" w:color="CFEDF9"/>
            </w:tcBorders>
          </w:tcPr>
          <w:p>
            <w:pPr>
              <w:spacing w:after="0"/>
              <w:rPr>
                <w:sz w:val="13"/>
                <w:szCs w:val="13"/>
                <w:color w:val="auto"/>
              </w:rPr>
            </w:pPr>
          </w:p>
        </w:tc>
        <w:tc>
          <w:tcPr>
            <w:tcW w:w="320" w:type="dxa"/>
            <w:vAlign w:val="bottom"/>
            <w:tcBorders>
              <w:top w:val="single" w:sz="8" w:color="231F20"/>
              <w:bottom w:val="single" w:sz="8" w:color="231F20"/>
            </w:tcBorders>
          </w:tcPr>
          <w:p>
            <w:pPr>
              <w:spacing w:after="0"/>
              <w:rPr>
                <w:sz w:val="13"/>
                <w:szCs w:val="13"/>
                <w:color w:val="auto"/>
              </w:rPr>
            </w:pPr>
          </w:p>
        </w:tc>
        <w:tc>
          <w:tcPr>
            <w:tcW w:w="1200" w:type="dxa"/>
            <w:vAlign w:val="bottom"/>
            <w:tcBorders>
              <w:top w:val="single" w:sz="8" w:color="231F20"/>
              <w:bottom w:val="single" w:sz="8" w:color="231F20"/>
            </w:tcBorders>
          </w:tcPr>
          <w:p>
            <w:pPr>
              <w:jc w:val="right"/>
              <w:spacing w:after="0" w:line="154" w:lineRule="exact"/>
              <w:rPr>
                <w:sz w:val="20"/>
                <w:szCs w:val="20"/>
                <w:color w:val="auto"/>
              </w:rPr>
            </w:pPr>
            <w:r>
              <w:rPr>
                <w:rFonts w:ascii="Times New Roman" w:cs="Times New Roman" w:eastAsia="Times New Roman" w:hAnsi="Times New Roman"/>
                <w:sz w:val="16"/>
                <w:szCs w:val="16"/>
                <w:color w:val="231F20"/>
              </w:rPr>
              <w:t>241</w:t>
            </w:r>
          </w:p>
        </w:tc>
        <w:tc>
          <w:tcPr>
            <w:tcW w:w="100" w:type="dxa"/>
            <w:vAlign w:val="bottom"/>
            <w:tcBorders>
              <w:top w:val="single" w:sz="8" w:color="CFEDF9"/>
              <w:bottom w:val="single" w:sz="8" w:color="CFEDF9"/>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40" w:type="dxa"/>
            <w:vAlign w:val="bottom"/>
            <w:shd w:val="clear" w:color="auto" w:fill="CFEDF9"/>
          </w:tcPr>
          <w:p>
            <w:pPr>
              <w:ind w:left="400"/>
              <w:spacing w:after="0" w:line="174" w:lineRule="exact"/>
              <w:rPr>
                <w:sz w:val="20"/>
                <w:szCs w:val="20"/>
                <w:color w:val="auto"/>
              </w:rPr>
            </w:pPr>
            <w:r>
              <w:rPr>
                <w:rFonts w:ascii="Times New Roman" w:cs="Times New Roman" w:eastAsia="Times New Roman" w:hAnsi="Times New Roman"/>
                <w:sz w:val="16"/>
                <w:szCs w:val="16"/>
                <w:b w:val="1"/>
                <w:bCs w:val="1"/>
                <w:color w:val="231F20"/>
              </w:rPr>
              <w:t>Net Increase (Decrease) in Cash, Cash Equivalents, and Restricted Cash</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(451)</w:t>
            </w: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9,680</w:t>
            </w: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spacing w:after="0"/>
              <w:rPr>
                <w:sz w:val="15"/>
                <w:szCs w:val="15"/>
                <w:color w:val="auto"/>
              </w:rPr>
            </w:pPr>
          </w:p>
        </w:tc>
        <w:tc>
          <w:tcPr>
            <w:tcW w:w="120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2,693</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6"/>
                <w:szCs w:val="16"/>
                <w:color w:val="231F20"/>
              </w:rPr>
              <w:t>Cash, cash equivalents, and restricted cash, beginning of period</w:t>
            </w:r>
          </w:p>
        </w:tc>
        <w:tc>
          <w:tcPr>
            <w:tcW w:w="100" w:type="dxa"/>
            <w:vAlign w:val="bottom"/>
            <w:tcBorders>
              <w:bottom w:val="single" w:sz="8" w:color="CFEDF9"/>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25,647</w:t>
            </w:r>
          </w:p>
        </w:tc>
        <w:tc>
          <w:tcPr>
            <w:tcW w:w="120" w:type="dxa"/>
            <w:vAlign w:val="bottom"/>
            <w:tcBorders>
              <w:bottom w:val="single" w:sz="8" w:color="CFEDF9"/>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15,967</w:t>
            </w:r>
          </w:p>
        </w:tc>
        <w:tc>
          <w:tcPr>
            <w:tcW w:w="120" w:type="dxa"/>
            <w:vAlign w:val="bottom"/>
            <w:tcBorders>
              <w:bottom w:val="single" w:sz="8" w:color="CFEDF9"/>
            </w:tcBorders>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13,274</w:t>
            </w:r>
          </w:p>
        </w:tc>
        <w:tc>
          <w:tcPr>
            <w:tcW w:w="100" w:type="dxa"/>
            <w:vAlign w:val="bottom"/>
            <w:tcBorders>
              <w:bottom w:val="single" w:sz="8" w:color="CFEDF9"/>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shd w:val="clear" w:color="auto" w:fill="CFEDF9"/>
          </w:tcPr>
          <w:p>
            <w:pPr>
              <w:ind w:left="400"/>
              <w:spacing w:after="0" w:line="174" w:lineRule="exact"/>
              <w:rPr>
                <w:sz w:val="20"/>
                <w:szCs w:val="20"/>
                <w:color w:val="auto"/>
              </w:rPr>
            </w:pPr>
            <w:r>
              <w:rPr>
                <w:rFonts w:ascii="Times New Roman" w:cs="Times New Roman" w:eastAsia="Times New Roman" w:hAnsi="Times New Roman"/>
                <w:sz w:val="16"/>
                <w:szCs w:val="16"/>
                <w:b w:val="1"/>
                <w:bCs w:val="1"/>
                <w:color w:val="231F20"/>
              </w:rPr>
              <w:t>Cash, Cash Equivalents, and Restricted Cash, End of Period</w:t>
            </w:r>
          </w:p>
        </w:tc>
        <w:tc>
          <w:tcPr>
            <w:tcW w:w="100" w:type="dxa"/>
            <w:vAlign w:val="bottom"/>
            <w:shd w:val="clear" w:color="auto" w:fill="CFEDF9"/>
          </w:tcPr>
          <w:p>
            <w:pPr>
              <w:spacing w:after="0"/>
              <w:rPr>
                <w:sz w:val="15"/>
                <w:szCs w:val="15"/>
                <w:color w:val="auto"/>
              </w:rPr>
            </w:pPr>
          </w:p>
        </w:tc>
        <w:tc>
          <w:tcPr>
            <w:tcW w:w="200" w:type="dxa"/>
            <w:vAlign w:val="bottom"/>
            <w:tcBorders>
              <w:bottom w:val="single" w:sz="8" w:color="231F20"/>
            </w:tcBorders>
            <w:shd w:val="clear" w:color="auto" w:fill="CFEDF9"/>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25,196</w:t>
            </w:r>
          </w:p>
        </w:tc>
        <w:tc>
          <w:tcPr>
            <w:tcW w:w="120" w:type="dxa"/>
            <w:vAlign w:val="bottom"/>
            <w:shd w:val="clear" w:color="auto" w:fill="CFEDF9"/>
          </w:tcPr>
          <w:p>
            <w:pPr>
              <w:spacing w:after="0"/>
              <w:rPr>
                <w:sz w:val="15"/>
                <w:szCs w:val="15"/>
                <w:color w:val="auto"/>
              </w:rPr>
            </w:pPr>
          </w:p>
        </w:tc>
        <w:tc>
          <w:tcPr>
            <w:tcW w:w="320" w:type="dxa"/>
            <w:vAlign w:val="bottom"/>
            <w:tcBorders>
              <w:bottom w:val="single" w:sz="8" w:color="231F20"/>
            </w:tcBorders>
            <w:gridSpan w:val="2"/>
            <w:shd w:val="clear" w:color="auto" w:fill="CFEDF9"/>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24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25,647</w:t>
            </w:r>
          </w:p>
        </w:tc>
        <w:tc>
          <w:tcPr>
            <w:tcW w:w="120" w:type="dxa"/>
            <w:vAlign w:val="bottom"/>
            <w:shd w:val="clear" w:color="auto" w:fill="CFEDF9"/>
          </w:tcPr>
          <w:p>
            <w:pPr>
              <w:spacing w:after="0"/>
              <w:rPr>
                <w:sz w:val="15"/>
                <w:szCs w:val="15"/>
                <w:color w:val="auto"/>
              </w:rPr>
            </w:pPr>
          </w:p>
        </w:tc>
        <w:tc>
          <w:tcPr>
            <w:tcW w:w="320" w:type="dxa"/>
            <w:vAlign w:val="bottom"/>
            <w:tcBorders>
              <w:bottom w:val="single" w:sz="8" w:color="231F20"/>
            </w:tcBorders>
            <w:shd w:val="clear" w:color="auto" w:fill="CFEDF9"/>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20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15,967</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color w:val="231F20"/>
              </w:rPr>
              <w:t>Supplemental Information:</w:t>
            </w: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Interest paid during the period</w:t>
            </w:r>
          </w:p>
        </w:tc>
        <w:tc>
          <w:tcPr>
            <w:tcW w:w="30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119,396</w:t>
            </w:r>
          </w:p>
        </w:tc>
        <w:tc>
          <w:tcPr>
            <w:tcW w:w="120" w:type="dxa"/>
            <w:vAlign w:val="bottom"/>
            <w:shd w:val="clear" w:color="auto" w:fill="CFEDF9"/>
          </w:tcPr>
          <w:p>
            <w:pPr>
              <w:spacing w:after="0"/>
              <w:rPr>
                <w:sz w:val="15"/>
                <w:szCs w:val="15"/>
                <w:color w:val="auto"/>
              </w:rPr>
            </w:pPr>
          </w:p>
        </w:tc>
        <w:tc>
          <w:tcPr>
            <w:tcW w:w="32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55,584</w:t>
            </w: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29,327</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Excise and other taxes paid during the period</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2,437</w:t>
            </w:r>
          </w:p>
        </w:tc>
        <w:tc>
          <w:tcPr>
            <w:tcW w:w="12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1,672</w:t>
            </w:r>
          </w:p>
        </w:tc>
        <w:tc>
          <w:tcPr>
            <w:tcW w:w="120" w:type="dxa"/>
            <w:vAlign w:val="bottom"/>
          </w:tcPr>
          <w:p>
            <w:pPr>
              <w:spacing w:after="0"/>
              <w:rPr>
                <w:sz w:val="15"/>
                <w:szCs w:val="15"/>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Dividends declared during the period</w:t>
            </w:r>
          </w:p>
        </w:tc>
        <w:tc>
          <w:tcPr>
            <w:tcW w:w="30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179,966</w:t>
            </w:r>
          </w:p>
        </w:tc>
        <w:tc>
          <w:tcPr>
            <w:tcW w:w="120" w:type="dxa"/>
            <w:vAlign w:val="bottom"/>
            <w:shd w:val="clear" w:color="auto" w:fill="CFEDF9"/>
          </w:tcPr>
          <w:p>
            <w:pPr>
              <w:spacing w:after="0"/>
              <w:rPr>
                <w:sz w:val="15"/>
                <w:szCs w:val="15"/>
                <w:color w:val="auto"/>
              </w:rPr>
            </w:pPr>
          </w:p>
        </w:tc>
        <w:tc>
          <w:tcPr>
            <w:tcW w:w="32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144,322</w:t>
            </w: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261,490</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spacing w:after="0"/>
              <w:rPr>
                <w:sz w:val="20"/>
                <w:szCs w:val="20"/>
                <w:color w:val="auto"/>
              </w:rPr>
            </w:pPr>
            <w:r>
              <w:rPr>
                <w:rFonts w:ascii="Times New Roman" w:cs="Times New Roman" w:eastAsia="Times New Roman" w:hAnsi="Times New Roman"/>
                <w:sz w:val="16"/>
                <w:szCs w:val="16"/>
                <w:color w:val="231F20"/>
              </w:rPr>
              <w:t>Non-Cash Financing Activities:</w:t>
            </w:r>
          </w:p>
        </w:tc>
        <w:tc>
          <w:tcPr>
            <w:tcW w:w="10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124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spacing w:after="0"/>
              <w:rPr>
                <w:sz w:val="15"/>
                <w:szCs w:val="15"/>
                <w:color w:val="auto"/>
              </w:rPr>
            </w:pPr>
          </w:p>
        </w:tc>
        <w:tc>
          <w:tcPr>
            <w:tcW w:w="120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0"/>
              <w:spacing w:after="0"/>
              <w:rPr>
                <w:sz w:val="20"/>
                <w:szCs w:val="20"/>
                <w:color w:val="auto"/>
              </w:rPr>
            </w:pPr>
            <w:r>
              <w:rPr>
                <w:rFonts w:ascii="Times New Roman" w:cs="Times New Roman" w:eastAsia="Times New Roman" w:hAnsi="Times New Roman"/>
                <w:sz w:val="16"/>
                <w:szCs w:val="16"/>
                <w:color w:val="231F20"/>
              </w:rPr>
              <w:t>Reinvestment of dividends during the period</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23,545</w:t>
            </w:r>
          </w:p>
        </w:tc>
        <w:tc>
          <w:tcPr>
            <w:tcW w:w="12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30,516</w:t>
            </w:r>
          </w:p>
        </w:tc>
        <w:tc>
          <w:tcPr>
            <w:tcW w:w="120" w:type="dxa"/>
            <w:vAlign w:val="bottom"/>
          </w:tcPr>
          <w:p>
            <w:pPr>
              <w:spacing w:after="0"/>
              <w:rPr>
                <w:sz w:val="15"/>
                <w:szCs w:val="15"/>
                <w:color w:val="auto"/>
              </w:rPr>
            </w:pP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36,351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6"/>
                <w:szCs w:val="16"/>
                <w:color w:val="231F20"/>
              </w:rPr>
              <w:t>Common stock issued in settlement of convertible notes during the period</w:t>
            </w:r>
          </w:p>
        </w:tc>
        <w:tc>
          <w:tcPr>
            <w:tcW w:w="30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3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77,642</w:t>
            </w:r>
          </w:p>
        </w:tc>
        <w:tc>
          <w:tcPr>
            <w:tcW w:w="120" w:type="dxa"/>
            <w:vAlign w:val="bottom"/>
            <w:shd w:val="clear" w:color="auto" w:fill="CFEDF9"/>
          </w:tcPr>
          <w:p>
            <w:pPr>
              <w:spacing w:after="0"/>
              <w:rPr>
                <w:sz w:val="15"/>
                <w:szCs w:val="15"/>
                <w:color w:val="auto"/>
              </w:rPr>
            </w:pPr>
          </w:p>
        </w:tc>
        <w:tc>
          <w:tcPr>
            <w:tcW w:w="3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42,273</w:t>
            </w:r>
          </w:p>
        </w:tc>
        <w:tc>
          <w:tcPr>
            <w:tcW w:w="10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2240" w:h="15840" w:orient="portrait"/>
          <w:cols w:equalWidth="0" w:num="1">
            <w:col w:w="10800"/>
          </w:cols>
          <w:pgMar w:left="720" w:top="92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F-19</w:t>
      </w:r>
    </w:p>
    <w:p>
      <w:pPr>
        <w:sectPr>
          <w:pgSz w:w="12240" w:h="15840" w:orient="portrait"/>
          <w:cols w:equalWidth="0" w:num="1">
            <w:col w:w="10800"/>
          </w:cols>
          <w:pgMar w:left="720" w:top="926" w:right="720" w:bottom="186" w:gutter="0" w:footer="0" w:header="0"/>
          <w:type w:val="continuous"/>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Sixth Street Specialty Lending,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(Amounts in thousands, unless otherwise indicated)</w:t>
      </w:r>
    </w:p>
    <w:p>
      <w:pPr>
        <w:spacing w:after="0" w:line="236" w:lineRule="exact"/>
        <w:rPr>
          <w:sz w:val="20"/>
          <w:szCs w:val="20"/>
          <w:color w:val="auto"/>
        </w:rPr>
      </w:pPr>
    </w:p>
    <w:p>
      <w:pPr>
        <w:ind w:right="7240"/>
        <w:spacing w:after="0" w:line="357" w:lineRule="auto"/>
        <w:tabs>
          <w:tab w:leader="none" w:pos="200" w:val="left"/>
        </w:tabs>
        <w:numPr>
          <w:ilvl w:val="0"/>
          <w:numId w:val="8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Organization and Basis of Presentation </w:t>
      </w:r>
      <w:r>
        <w:rPr>
          <w:rFonts w:ascii="Times New Roman" w:cs="Times New Roman" w:eastAsia="Times New Roman" w:hAnsi="Times New Roman"/>
          <w:sz w:val="20"/>
          <w:szCs w:val="20"/>
          <w:i w:val="1"/>
          <w:iCs w:val="1"/>
          <w:color w:val="231F20"/>
        </w:rPr>
        <w:t>Organization</w:t>
      </w:r>
    </w:p>
    <w:p>
      <w:pPr>
        <w:spacing w:after="0" w:line="1" w:lineRule="exact"/>
        <w:rPr>
          <w:sz w:val="20"/>
          <w:szCs w:val="20"/>
          <w:color w:val="auto"/>
        </w:rPr>
      </w:pPr>
    </w:p>
    <w:p>
      <w:pPr>
        <w:ind w:firstLine="245"/>
        <w:spacing w:after="0" w:line="235" w:lineRule="auto"/>
        <w:rPr>
          <w:sz w:val="20"/>
          <w:szCs w:val="20"/>
          <w:color w:val="auto"/>
        </w:rPr>
      </w:pPr>
      <w:r>
        <w:rPr>
          <w:rFonts w:ascii="Times New Roman" w:cs="Times New Roman" w:eastAsia="Times New Roman" w:hAnsi="Times New Roman"/>
          <w:sz w:val="20"/>
          <w:szCs w:val="20"/>
          <w:color w:val="231F20"/>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p>
    <w:p>
      <w:pPr>
        <w:spacing w:after="0" w:line="197" w:lineRule="exact"/>
        <w:rPr>
          <w:sz w:val="20"/>
          <w:szCs w:val="20"/>
          <w:color w:val="auto"/>
        </w:rPr>
      </w:pPr>
    </w:p>
    <w:p>
      <w:pPr>
        <w:ind w:right="380" w:firstLine="245"/>
        <w:spacing w:after="0" w:line="267" w:lineRule="auto"/>
        <w:rPr>
          <w:sz w:val="20"/>
          <w:szCs w:val="20"/>
          <w:color w:val="auto"/>
        </w:rPr>
      </w:pPr>
      <w:r>
        <w:rPr>
          <w:rFonts w:ascii="Times New Roman" w:cs="Times New Roman" w:eastAsia="Times New Roman" w:hAnsi="Times New Roman"/>
          <w:sz w:val="20"/>
          <w:szCs w:val="20"/>
          <w:color w:val="231F20"/>
        </w:rPr>
        <w:t>On March 21, 2014, the Company completed its initial public offering (“IPO”) and the Company’s shares began trading on the New York Stock Exchange (“NYSE”) under the symbol “TSLX.”</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of Presentation</w:t>
      </w:r>
    </w:p>
    <w:p>
      <w:pPr>
        <w:spacing w:after="0" w:line="108" w:lineRule="exact"/>
        <w:rPr>
          <w:sz w:val="20"/>
          <w:szCs w:val="20"/>
          <w:color w:val="auto"/>
        </w:rPr>
      </w:pPr>
    </w:p>
    <w:p>
      <w:pPr>
        <w:ind w:right="180" w:firstLine="245"/>
        <w:spacing w:after="0" w:line="242" w:lineRule="auto"/>
        <w:rPr>
          <w:sz w:val="20"/>
          <w:szCs w:val="20"/>
          <w:color w:val="auto"/>
        </w:rPr>
      </w:pPr>
      <w:r>
        <w:rPr>
          <w:rFonts w:ascii="Times New Roman" w:cs="Times New Roman" w:eastAsia="Times New Roman" w:hAnsi="Times New Roman"/>
          <w:sz w:val="20"/>
          <w:szCs w:val="20"/>
          <w:color w:val="231F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94" w:lineRule="exact"/>
        <w:rPr>
          <w:sz w:val="20"/>
          <w:szCs w:val="20"/>
          <w:color w:val="auto"/>
        </w:rPr>
      </w:pPr>
    </w:p>
    <w:p>
      <w:pPr>
        <w:ind w:right="200" w:firstLine="245"/>
        <w:spacing w:after="0" w:line="267" w:lineRule="auto"/>
        <w:rPr>
          <w:sz w:val="20"/>
          <w:szCs w:val="20"/>
          <w:color w:val="auto"/>
        </w:rPr>
      </w:pPr>
      <w:r>
        <w:rPr>
          <w:rFonts w:ascii="Times New Roman" w:cs="Times New Roman" w:eastAsia="Times New Roman" w:hAnsi="Times New Roman"/>
          <w:sz w:val="20"/>
          <w:szCs w:val="20"/>
          <w:color w:val="231F20"/>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20"/>
          <w:szCs w:val="20"/>
          <w:i w:val="1"/>
          <w:iCs w:val="1"/>
          <w:color w:val="231F20"/>
        </w:rPr>
        <w:t>Financial Services – Investment Companies.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Fiscal Year End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Company’s fiscal year ends on December 31.</w:t>
      </w:r>
    </w:p>
    <w:p>
      <w:pPr>
        <w:spacing w:after="0" w:line="346" w:lineRule="exact"/>
        <w:rPr>
          <w:sz w:val="20"/>
          <w:szCs w:val="20"/>
          <w:color w:val="auto"/>
        </w:rPr>
      </w:pPr>
    </w:p>
    <w:p>
      <w:pPr>
        <w:ind w:right="7940"/>
        <w:spacing w:after="0" w:line="357" w:lineRule="auto"/>
        <w:tabs>
          <w:tab w:leader="none" w:pos="200" w:val="left"/>
        </w:tabs>
        <w:numPr>
          <w:ilvl w:val="0"/>
          <w:numId w:val="8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Significant Accounting Policies </w:t>
      </w:r>
      <w:r>
        <w:rPr>
          <w:rFonts w:ascii="Times New Roman" w:cs="Times New Roman" w:eastAsia="Times New Roman" w:hAnsi="Times New Roman"/>
          <w:sz w:val="20"/>
          <w:szCs w:val="20"/>
          <w:i w:val="1"/>
          <w:iCs w:val="1"/>
          <w:color w:val="231F20"/>
        </w:rPr>
        <w:t>Use of Estimates</w:t>
      </w:r>
    </w:p>
    <w:p>
      <w:pPr>
        <w:spacing w:after="0" w:line="1" w:lineRule="exact"/>
        <w:rPr>
          <w:sz w:val="20"/>
          <w:szCs w:val="20"/>
          <w:color w:val="auto"/>
        </w:rPr>
      </w:pPr>
    </w:p>
    <w:p>
      <w:pPr>
        <w:ind w:right="220" w:firstLine="245"/>
        <w:spacing w:after="0" w:line="248"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and Cash Equivalents</w:t>
      </w:r>
    </w:p>
    <w:p>
      <w:pPr>
        <w:spacing w:after="0" w:line="108" w:lineRule="exact"/>
        <w:rPr>
          <w:sz w:val="20"/>
          <w:szCs w:val="20"/>
          <w:color w:val="auto"/>
        </w:rPr>
      </w:pPr>
    </w:p>
    <w:p>
      <w:pPr>
        <w:ind w:right="300" w:firstLine="245"/>
        <w:spacing w:after="0" w:line="239" w:lineRule="auto"/>
        <w:rPr>
          <w:sz w:val="20"/>
          <w:szCs w:val="20"/>
          <w:color w:val="auto"/>
        </w:rPr>
      </w:pPr>
      <w:r>
        <w:rPr>
          <w:rFonts w:ascii="Times New Roman" w:cs="Times New Roman" w:eastAsia="Times New Roman" w:hAnsi="Times New Roman"/>
          <w:sz w:val="20"/>
          <w:szCs w:val="20"/>
          <w:color w:val="231F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Investments at Fair Value</w:t>
      </w:r>
    </w:p>
    <w:p>
      <w:pPr>
        <w:spacing w:after="0" w:line="108" w:lineRule="exact"/>
        <w:rPr>
          <w:sz w:val="20"/>
          <w:szCs w:val="20"/>
          <w:color w:val="auto"/>
        </w:rPr>
      </w:pPr>
    </w:p>
    <w:p>
      <w:pPr>
        <w:ind w:firstLine="245"/>
        <w:spacing w:after="0" w:line="237" w:lineRule="auto"/>
        <w:rPr>
          <w:sz w:val="20"/>
          <w:szCs w:val="20"/>
          <w:color w:val="auto"/>
        </w:rPr>
      </w:pPr>
      <w:r>
        <w:rPr>
          <w:rFonts w:ascii="Times New Roman" w:cs="Times New Roman" w:eastAsia="Times New Roman" w:hAnsi="Times New Roman"/>
          <w:sz w:val="20"/>
          <w:szCs w:val="20"/>
          <w:color w:val="231F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ectPr>
          <w:pgSz w:w="12240" w:h="15840" w:orient="portrait"/>
          <w:cols w:equalWidth="0" w:num="1">
            <w:col w:w="10780"/>
          </w:cols>
          <w:pgMar w:left="720" w:top="92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F-20</w:t>
      </w:r>
    </w:p>
    <w:p>
      <w:pPr>
        <w:sectPr>
          <w:pgSz w:w="12240" w:h="15840" w:orient="portrait"/>
          <w:cols w:equalWidth="0" w:num="1">
            <w:col w:w="10780"/>
          </w:cols>
          <w:pgMar w:left="720" w:top="926" w:right="740" w:bottom="186" w:gutter="0" w:footer="0" w:header="0"/>
          <w:type w:val="continuous"/>
        </w:sectPr>
      </w:pPr>
    </w:p>
    <w:bookmarkStart w:id="105" w:name="page106"/>
    <w:bookmarkEnd w:id="105"/>
    <w:p>
      <w:pPr>
        <w:ind w:right="80" w:firstLine="245"/>
        <w:spacing w:after="0" w:line="247" w:lineRule="auto"/>
        <w:rPr>
          <w:sz w:val="20"/>
          <w:szCs w:val="20"/>
          <w:color w:val="auto"/>
        </w:rPr>
      </w:pPr>
      <w:r>
        <w:rPr>
          <w:rFonts w:ascii="Times New Roman" w:cs="Times New Roman" w:eastAsia="Times New Roman" w:hAnsi="Times New Roman"/>
          <w:sz w:val="20"/>
          <w:szCs w:val="20"/>
          <w:color w:val="231F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200" w:lineRule="exact"/>
        <w:rPr>
          <w:sz w:val="20"/>
          <w:szCs w:val="20"/>
          <w:color w:val="auto"/>
        </w:rPr>
      </w:pPr>
    </w:p>
    <w:p>
      <w:pPr>
        <w:ind w:right="120" w:firstLine="245"/>
        <w:spacing w:after="0" w:line="245" w:lineRule="auto"/>
        <w:rPr>
          <w:sz w:val="20"/>
          <w:szCs w:val="20"/>
          <w:color w:val="auto"/>
        </w:rPr>
      </w:pPr>
      <w:r>
        <w:rPr>
          <w:rFonts w:ascii="Times New Roman" w:cs="Times New Roman" w:eastAsia="Times New Roman" w:hAnsi="Times New Roman"/>
          <w:sz w:val="20"/>
          <w:szCs w:val="20"/>
          <w:color w:val="231F20"/>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Board undertakes a multi-step valuation process, which includes, among other procedures, the following:</w:t>
      </w:r>
    </w:p>
    <w:p>
      <w:pPr>
        <w:spacing w:after="0" w:line="134" w:lineRule="exact"/>
        <w:rPr>
          <w:sz w:val="20"/>
          <w:szCs w:val="20"/>
          <w:color w:val="auto"/>
        </w:rPr>
      </w:pPr>
    </w:p>
    <w:p>
      <w:pPr>
        <w:ind w:left="500" w:right="320" w:hanging="255"/>
        <w:spacing w:after="0" w:line="276" w:lineRule="auto"/>
        <w:tabs>
          <w:tab w:leader="none" w:pos="500" w:val="left"/>
        </w:tabs>
        <w:numPr>
          <w:ilvl w:val="0"/>
          <w:numId w:val="85"/>
        </w:numPr>
        <w:rPr>
          <w:rFonts w:ascii="Arial" w:cs="Arial" w:eastAsia="Arial" w:hAnsi="Arial"/>
          <w:sz w:val="20"/>
          <w:szCs w:val="20"/>
          <w:color w:val="231F20"/>
        </w:rPr>
      </w:pPr>
      <w:r>
        <w:rPr>
          <w:rFonts w:ascii="Times New Roman" w:cs="Times New Roman" w:eastAsia="Times New Roman" w:hAnsi="Times New Roman"/>
          <w:sz w:val="20"/>
          <w:szCs w:val="20"/>
          <w:color w:val="231F20"/>
        </w:rPr>
        <w:t>The valuation process begins with each investment being initially valued by the investment professionals responsible for the portfolio investment in conjunction with the portfolio management team.</w:t>
      </w:r>
    </w:p>
    <w:p>
      <w:pPr>
        <w:spacing w:after="0" w:line="64" w:lineRule="exact"/>
        <w:rPr>
          <w:rFonts w:ascii="Arial" w:cs="Arial" w:eastAsia="Arial" w:hAnsi="Arial"/>
          <w:sz w:val="20"/>
          <w:szCs w:val="20"/>
          <w:color w:val="231F20"/>
        </w:rPr>
      </w:pPr>
    </w:p>
    <w:p>
      <w:pPr>
        <w:ind w:left="500" w:right="580" w:hanging="255"/>
        <w:spacing w:after="0" w:line="276" w:lineRule="auto"/>
        <w:tabs>
          <w:tab w:leader="none" w:pos="500" w:val="left"/>
        </w:tabs>
        <w:numPr>
          <w:ilvl w:val="0"/>
          <w:numId w:val="8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Adviser’s management reviews the preliminary valuations with the investment professionals. Agreed upon valuation recommendations are presented to the Audit Committee.</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8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Audit Committee reviews the valuations presented and recommends values for each investment to the Board.</w:t>
      </w:r>
    </w:p>
    <w:p>
      <w:pPr>
        <w:spacing w:after="0" w:line="133" w:lineRule="exact"/>
        <w:rPr>
          <w:rFonts w:ascii="Arial" w:cs="Arial" w:eastAsia="Arial" w:hAnsi="Arial"/>
          <w:sz w:val="20"/>
          <w:szCs w:val="20"/>
          <w:color w:val="231F20"/>
        </w:rPr>
      </w:pPr>
    </w:p>
    <w:p>
      <w:pPr>
        <w:ind w:left="500" w:right="80" w:hanging="255"/>
        <w:spacing w:after="0" w:line="252" w:lineRule="auto"/>
        <w:tabs>
          <w:tab w:leader="none" w:pos="500" w:val="left"/>
        </w:tabs>
        <w:numPr>
          <w:ilvl w:val="0"/>
          <w:numId w:val="85"/>
        </w:numPr>
        <w:rPr>
          <w:rFonts w:ascii="Arial" w:cs="Arial" w:eastAsia="Arial" w:hAnsi="Arial"/>
          <w:sz w:val="20"/>
          <w:szCs w:val="20"/>
          <w:color w:val="231F20"/>
        </w:rPr>
      </w:pPr>
      <w:r>
        <w:rPr>
          <w:rFonts w:ascii="Times New Roman" w:cs="Times New Roman" w:eastAsia="Times New Roman" w:hAnsi="Times New Roman"/>
          <w:sz w:val="20"/>
          <w:szCs w:val="20"/>
          <w:color w:val="231F20"/>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Company conducts this valuation process on a quarterly basis.</w:t>
      </w:r>
    </w:p>
    <w:p>
      <w:pPr>
        <w:spacing w:after="0" w:line="240"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231F20"/>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2023,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97" w:lineRule="exact"/>
        <w:rPr>
          <w:sz w:val="20"/>
          <w:szCs w:val="20"/>
          <w:color w:val="auto"/>
        </w:rPr>
      </w:pPr>
    </w:p>
    <w:p>
      <w:pPr>
        <w:ind w:right="40" w:firstLine="245"/>
        <w:spacing w:after="0" w:line="244" w:lineRule="auto"/>
        <w:rPr>
          <w:sz w:val="20"/>
          <w:szCs w:val="20"/>
          <w:color w:val="auto"/>
        </w:rPr>
      </w:pPr>
      <w:r>
        <w:rPr>
          <w:rFonts w:ascii="Times New Roman" w:cs="Times New Roman" w:eastAsia="Times New Roman" w:hAnsi="Times New Roman"/>
          <w:sz w:val="20"/>
          <w:szCs w:val="20"/>
          <w:color w:val="231F20"/>
        </w:rPr>
        <w:t xml:space="preserve">The Company applies Financial Accounting Standards Board Accounting Standards Codification Topic 820, </w:t>
      </w:r>
      <w:r>
        <w:rPr>
          <w:rFonts w:ascii="Times New Roman" w:cs="Times New Roman" w:eastAsia="Times New Roman" w:hAnsi="Times New Roman"/>
          <w:sz w:val="20"/>
          <w:szCs w:val="20"/>
          <w:i w:val="1"/>
          <w:iCs w:val="1"/>
          <w:color w:val="231F20"/>
        </w:rPr>
        <w:t>Fair Value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Measurement </w:t>
      </w:r>
      <w:r>
        <w:rPr>
          <w:rFonts w:ascii="Times New Roman" w:cs="Times New Roman" w:eastAsia="Times New Roman" w:hAnsi="Times New Roman"/>
          <w:sz w:val="20"/>
          <w:szCs w:val="20"/>
          <w:color w:val="231F20"/>
        </w:rPr>
        <w:t>(“ASC Topic 820”), as amended, which establishes a framework for measuring fair value in accordance with U.S.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100" w:lineRule="exact"/>
        <w:rPr>
          <w:sz w:val="20"/>
          <w:szCs w:val="20"/>
          <w:color w:val="auto"/>
        </w:rPr>
      </w:pPr>
    </w:p>
    <w:p>
      <w:pPr>
        <w:ind w:left="500" w:right="120" w:hanging="255"/>
        <w:spacing w:after="0" w:line="276" w:lineRule="auto"/>
        <w:tabs>
          <w:tab w:leader="none" w:pos="500" w:val="left"/>
        </w:tabs>
        <w:numPr>
          <w:ilvl w:val="0"/>
          <w:numId w:val="86"/>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1—Valuations based on quoted prices in active markets for identical assets or liabilities that the Company has the ability to access.</w:t>
      </w:r>
    </w:p>
    <w:p>
      <w:pPr>
        <w:spacing w:after="0" w:line="64" w:lineRule="exact"/>
        <w:rPr>
          <w:rFonts w:ascii="Arial" w:cs="Arial" w:eastAsia="Arial" w:hAnsi="Arial"/>
          <w:sz w:val="20"/>
          <w:szCs w:val="20"/>
          <w:color w:val="231F20"/>
        </w:rPr>
      </w:pPr>
    </w:p>
    <w:p>
      <w:pPr>
        <w:ind w:left="500" w:right="380" w:hanging="255"/>
        <w:spacing w:after="0" w:line="276" w:lineRule="auto"/>
        <w:tabs>
          <w:tab w:leader="none" w:pos="500" w:val="left"/>
        </w:tabs>
        <w:numPr>
          <w:ilvl w:val="0"/>
          <w:numId w:val="86"/>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2—Valuations based on quoted prices in markets that are not active or for which all significant inputs are observable, either directly or indirectly.</w:t>
      </w:r>
    </w:p>
    <w:p>
      <w:pPr>
        <w:spacing w:after="0" w:line="64" w:lineRule="exact"/>
        <w:rPr>
          <w:rFonts w:ascii="Arial" w:cs="Arial" w:eastAsia="Arial" w:hAnsi="Arial"/>
          <w:sz w:val="20"/>
          <w:szCs w:val="20"/>
          <w:color w:val="231F20"/>
        </w:rPr>
      </w:pPr>
    </w:p>
    <w:p>
      <w:pPr>
        <w:ind w:left="500" w:hanging="255"/>
        <w:spacing w:after="0"/>
        <w:tabs>
          <w:tab w:leader="none" w:pos="500" w:val="left"/>
        </w:tabs>
        <w:numPr>
          <w:ilvl w:val="0"/>
          <w:numId w:val="86"/>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3—Valuations based on inputs that are unobservable and significant to the overall fair value measurement.</w:t>
      </w:r>
    </w:p>
    <w:p>
      <w:pPr>
        <w:spacing w:after="0" w:line="228" w:lineRule="exact"/>
        <w:rPr>
          <w:sz w:val="20"/>
          <w:szCs w:val="20"/>
          <w:color w:val="auto"/>
        </w:rPr>
      </w:pPr>
    </w:p>
    <w:p>
      <w:pPr>
        <w:ind w:firstLine="245"/>
        <w:spacing w:after="0" w:line="236" w:lineRule="auto"/>
        <w:rPr>
          <w:sz w:val="20"/>
          <w:szCs w:val="20"/>
          <w:color w:val="auto"/>
        </w:rPr>
      </w:pPr>
      <w:r>
        <w:rPr>
          <w:rFonts w:ascii="Times New Roman" w:cs="Times New Roman" w:eastAsia="Times New Roman" w:hAnsi="Times New Roman"/>
          <w:sz w:val="20"/>
          <w:szCs w:val="20"/>
          <w:color w:val="231F20"/>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F-21</w:t>
      </w:r>
    </w:p>
    <w:p>
      <w:pPr>
        <w:sectPr>
          <w:pgSz w:w="12240" w:h="15840" w:orient="portrait"/>
          <w:cols w:equalWidth="0" w:num="1">
            <w:col w:w="10760"/>
          </w:cols>
          <w:pgMar w:left="720" w:top="930" w:right="760" w:bottom="175" w:gutter="0" w:footer="0" w:header="0"/>
        </w:sectPr>
      </w:pPr>
    </w:p>
    <w:bookmarkStart w:id="106" w:name="page107"/>
    <w:bookmarkEnd w:id="106"/>
    <w:p>
      <w:pPr>
        <w:ind w:right="160"/>
        <w:spacing w:after="0" w:line="236" w:lineRule="auto"/>
        <w:rPr>
          <w:sz w:val="20"/>
          <w:szCs w:val="20"/>
          <w:color w:val="auto"/>
        </w:rPr>
      </w:pPr>
      <w:r>
        <w:rPr>
          <w:rFonts w:ascii="Times New Roman" w:cs="Times New Roman" w:eastAsia="Times New Roman" w:hAnsi="Times New Roman"/>
          <w:sz w:val="20"/>
          <w:szCs w:val="20"/>
          <w:color w:val="231F20"/>
        </w:rPr>
        <w:t>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2" w:lineRule="exact"/>
        <w:rPr>
          <w:sz w:val="20"/>
          <w:szCs w:val="20"/>
          <w:color w:val="auto"/>
        </w:rPr>
      </w:pPr>
    </w:p>
    <w:p>
      <w:pPr>
        <w:ind w:right="140" w:firstLine="245"/>
        <w:spacing w:after="0" w:line="233" w:lineRule="auto"/>
        <w:rPr>
          <w:sz w:val="20"/>
          <w:szCs w:val="20"/>
          <w:color w:val="auto"/>
        </w:rPr>
      </w:pPr>
      <w:r>
        <w:rPr>
          <w:rFonts w:ascii="Times New Roman" w:cs="Times New Roman" w:eastAsia="Times New Roman" w:hAnsi="Times New Roman"/>
          <w:sz w:val="20"/>
          <w:szCs w:val="20"/>
          <w:color w:val="231F20"/>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jc w:val="both"/>
        <w:ind w:right="180" w:firstLine="245"/>
        <w:spacing w:after="0" w:line="244" w:lineRule="auto"/>
        <w:rPr>
          <w:sz w:val="20"/>
          <w:szCs w:val="20"/>
          <w:color w:val="auto"/>
        </w:rPr>
      </w:pPr>
      <w:r>
        <w:rPr>
          <w:rFonts w:ascii="Times New Roman" w:cs="Times New Roman" w:eastAsia="Times New Roman" w:hAnsi="Times New Roman"/>
          <w:sz w:val="20"/>
          <w:szCs w:val="20"/>
          <w:color w:val="231F20"/>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Financial and Derivative Instruments</w:t>
      </w:r>
    </w:p>
    <w:p>
      <w:pPr>
        <w:spacing w:after="0" w:line="105" w:lineRule="exact"/>
        <w:rPr>
          <w:sz w:val="20"/>
          <w:szCs w:val="20"/>
          <w:color w:val="auto"/>
        </w:rPr>
      </w:pPr>
    </w:p>
    <w:p>
      <w:pPr>
        <w:ind w:right="220" w:firstLine="245"/>
        <w:spacing w:after="0" w:line="231" w:lineRule="auto"/>
        <w:rPr>
          <w:sz w:val="20"/>
          <w:szCs w:val="20"/>
          <w:color w:val="auto"/>
        </w:rPr>
      </w:pPr>
      <w:r>
        <w:rPr>
          <w:rFonts w:ascii="Times New Roman" w:cs="Times New Roman" w:eastAsia="Times New Roman" w:hAnsi="Times New Roman"/>
          <w:sz w:val="20"/>
          <w:szCs w:val="20"/>
          <w:color w:val="231F20"/>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77" w:lineRule="exact"/>
        <w:rPr>
          <w:sz w:val="20"/>
          <w:szCs w:val="20"/>
          <w:color w:val="auto"/>
        </w:rPr>
      </w:pPr>
    </w:p>
    <w:p>
      <w:pPr>
        <w:ind w:firstLine="245"/>
        <w:spacing w:after="0" w:line="234" w:lineRule="auto"/>
        <w:rPr>
          <w:sz w:val="20"/>
          <w:szCs w:val="20"/>
          <w:color w:val="auto"/>
        </w:rPr>
      </w:pPr>
      <w:r>
        <w:rPr>
          <w:rFonts w:ascii="Times New Roman" w:cs="Times New Roman" w:eastAsia="Times New Roman" w:hAnsi="Times New Roman"/>
          <w:sz w:val="20"/>
          <w:szCs w:val="20"/>
          <w:color w:val="231F20"/>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74" w:lineRule="exact"/>
        <w:rPr>
          <w:sz w:val="20"/>
          <w:szCs w:val="20"/>
          <w:color w:val="auto"/>
        </w:rPr>
      </w:pPr>
    </w:p>
    <w:p>
      <w:pPr>
        <w:ind w:right="20" w:firstLine="245"/>
        <w:spacing w:after="0" w:line="263" w:lineRule="auto"/>
        <w:rPr>
          <w:sz w:val="20"/>
          <w:szCs w:val="20"/>
          <w:color w:val="auto"/>
        </w:rPr>
      </w:pPr>
      <w:r>
        <w:rPr>
          <w:rFonts w:ascii="Times New Roman" w:cs="Times New Roman" w:eastAsia="Times New Roman" w:hAnsi="Times New Roman"/>
          <w:sz w:val="20"/>
          <w:szCs w:val="20"/>
          <w:color w:val="231F20"/>
        </w:rPr>
        <w:t>Derivatives, including the Company’s interest rate swaps, for which broker quotes are available are typically valued at those broker quotes.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Offsetting Assets and Liabilities</w:t>
      </w:r>
    </w:p>
    <w:p>
      <w:pPr>
        <w:spacing w:after="0" w:line="105" w:lineRule="exact"/>
        <w:rPr>
          <w:sz w:val="20"/>
          <w:szCs w:val="20"/>
          <w:color w:val="auto"/>
        </w:rPr>
      </w:pPr>
    </w:p>
    <w:p>
      <w:pPr>
        <w:ind w:right="20" w:firstLine="245"/>
        <w:spacing w:after="0" w:line="238" w:lineRule="auto"/>
        <w:rPr>
          <w:sz w:val="20"/>
          <w:szCs w:val="20"/>
          <w:color w:val="auto"/>
        </w:rPr>
      </w:pPr>
      <w:r>
        <w:rPr>
          <w:rFonts w:ascii="Times New Roman" w:cs="Times New Roman" w:eastAsia="Times New Roman" w:hAnsi="Times New Roman"/>
          <w:sz w:val="20"/>
          <w:szCs w:val="20"/>
          <w:color w:val="231F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Foreign Currency</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Foreign currency amounts are translated into U.S. dollars on the following basis:</w:t>
      </w:r>
    </w:p>
    <w:p>
      <w:pPr>
        <w:spacing w:after="0" w:line="121" w:lineRule="exact"/>
        <w:rPr>
          <w:sz w:val="20"/>
          <w:szCs w:val="20"/>
          <w:color w:val="auto"/>
        </w:rPr>
      </w:pPr>
    </w:p>
    <w:p>
      <w:pPr>
        <w:ind w:left="500" w:right="760" w:hanging="255"/>
        <w:spacing w:after="0" w:line="262" w:lineRule="auto"/>
        <w:tabs>
          <w:tab w:leader="none" w:pos="500" w:val="left"/>
        </w:tabs>
        <w:numPr>
          <w:ilvl w:val="0"/>
          <w:numId w:val="87"/>
        </w:numPr>
        <w:rPr>
          <w:rFonts w:ascii="Arial" w:cs="Arial" w:eastAsia="Arial" w:hAnsi="Arial"/>
          <w:sz w:val="20"/>
          <w:szCs w:val="20"/>
          <w:color w:val="231F20"/>
        </w:rPr>
      </w:pPr>
      <w:r>
        <w:rPr>
          <w:rFonts w:ascii="Times New Roman" w:cs="Times New Roman" w:eastAsia="Times New Roman" w:hAnsi="Times New Roman"/>
          <w:sz w:val="20"/>
          <w:szCs w:val="20"/>
          <w:color w:val="231F20"/>
        </w:rPr>
        <w:t>cash and cash equivalents, market value of investments, outstanding debt on revolving credit facilities, other assets and liabilities: at the spot exchange rate on the last business day of the period; and</w:t>
      </w:r>
    </w:p>
    <w:p>
      <w:pPr>
        <w:spacing w:after="0" w:line="64" w:lineRule="exact"/>
        <w:rPr>
          <w:rFonts w:ascii="Arial" w:cs="Arial" w:eastAsia="Arial" w:hAnsi="Arial"/>
          <w:sz w:val="20"/>
          <w:szCs w:val="20"/>
          <w:color w:val="231F20"/>
        </w:rPr>
      </w:pPr>
    </w:p>
    <w:p>
      <w:pPr>
        <w:ind w:left="500" w:right="600" w:hanging="255"/>
        <w:spacing w:after="0" w:line="262" w:lineRule="auto"/>
        <w:tabs>
          <w:tab w:leader="none" w:pos="500" w:val="left"/>
        </w:tabs>
        <w:numPr>
          <w:ilvl w:val="0"/>
          <w:numId w:val="87"/>
        </w:numPr>
        <w:rPr>
          <w:rFonts w:ascii="Arial" w:cs="Arial" w:eastAsia="Arial" w:hAnsi="Arial"/>
          <w:sz w:val="20"/>
          <w:szCs w:val="20"/>
          <w:color w:val="231F20"/>
        </w:rPr>
      </w:pPr>
      <w:r>
        <w:rPr>
          <w:rFonts w:ascii="Times New Roman" w:cs="Times New Roman" w:eastAsia="Times New Roman" w:hAnsi="Times New Roman"/>
          <w:sz w:val="20"/>
          <w:szCs w:val="20"/>
          <w:color w:val="231F20"/>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80" w:firstLine="245"/>
        <w:spacing w:after="0" w:line="234" w:lineRule="auto"/>
        <w:rPr>
          <w:sz w:val="20"/>
          <w:szCs w:val="20"/>
          <w:color w:val="auto"/>
        </w:rPr>
      </w:pPr>
      <w:r>
        <w:rPr>
          <w:rFonts w:ascii="Times New Roman" w:cs="Times New Roman" w:eastAsia="Times New Roman" w:hAnsi="Times New Roman"/>
          <w:sz w:val="20"/>
          <w:szCs w:val="20"/>
          <w:color w:val="231F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w:t>
      </w:r>
    </w:p>
    <w:p>
      <w:pPr>
        <w:sectPr>
          <w:pgSz w:w="12240" w:h="15840" w:orient="portrait"/>
          <w:cols w:equalWidth="0" w:num="1">
            <w:col w:w="10780"/>
          </w:cols>
          <w:pgMar w:left="720" w:top="919" w:right="740" w:bottom="186"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F-22</w:t>
      </w:r>
    </w:p>
    <w:p>
      <w:pPr>
        <w:sectPr>
          <w:pgSz w:w="12240" w:h="15840" w:orient="portrait"/>
          <w:cols w:equalWidth="0" w:num="1">
            <w:col w:w="10780"/>
          </w:cols>
          <w:pgMar w:left="720" w:top="919" w:right="740" w:bottom="186" w:gutter="0" w:footer="0" w:header="0"/>
          <w:type w:val="continuous"/>
        </w:sectPr>
      </w:pPr>
    </w:p>
    <w:bookmarkStart w:id="107" w:name="page108"/>
    <w:bookmarkEnd w:id="107"/>
    <w:p>
      <w:pPr>
        <w:ind w:right="500"/>
        <w:spacing w:after="0" w:line="263" w:lineRule="auto"/>
        <w:rPr>
          <w:sz w:val="20"/>
          <w:szCs w:val="20"/>
          <w:color w:val="auto"/>
        </w:rPr>
      </w:pPr>
      <w:r>
        <w:rPr>
          <w:rFonts w:ascii="Times New Roman" w:cs="Times New Roman" w:eastAsia="Times New Roman" w:hAnsi="Times New Roman"/>
          <w:sz w:val="20"/>
          <w:szCs w:val="20"/>
          <w:color w:val="231F20"/>
        </w:rPr>
        <w:t>change in unrealized gains (losses) on translation of assets and liabilities in foreign currencies on the Consolidated Statements of Operations.</w:t>
      </w:r>
    </w:p>
    <w:p>
      <w:pPr>
        <w:spacing w:after="0" w:line="180" w:lineRule="exact"/>
        <w:rPr>
          <w:sz w:val="20"/>
          <w:szCs w:val="20"/>
          <w:color w:val="auto"/>
        </w:rPr>
      </w:pPr>
    </w:p>
    <w:p>
      <w:pPr>
        <w:jc w:val="both"/>
        <w:ind w:right="160" w:firstLine="245"/>
        <w:spacing w:after="0" w:line="258" w:lineRule="auto"/>
        <w:rPr>
          <w:sz w:val="20"/>
          <w:szCs w:val="20"/>
          <w:color w:val="auto"/>
        </w:rPr>
      </w:pPr>
      <w:r>
        <w:rPr>
          <w:rFonts w:ascii="Times New Roman" w:cs="Times New Roman" w:eastAsia="Times New Roman" w:hAnsi="Times New Roman"/>
          <w:sz w:val="20"/>
          <w:szCs w:val="20"/>
          <w:color w:val="231F20"/>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Equity Offering Expenses</w:t>
      </w:r>
    </w:p>
    <w:p>
      <w:pPr>
        <w:spacing w:after="0" w:line="118" w:lineRule="exact"/>
        <w:rPr>
          <w:sz w:val="20"/>
          <w:szCs w:val="20"/>
          <w:color w:val="auto"/>
        </w:rPr>
      </w:pPr>
    </w:p>
    <w:p>
      <w:pPr>
        <w:ind w:right="320" w:firstLine="245"/>
        <w:spacing w:after="0" w:line="277" w:lineRule="auto"/>
        <w:rPr>
          <w:sz w:val="20"/>
          <w:szCs w:val="20"/>
          <w:color w:val="auto"/>
        </w:rPr>
      </w:pPr>
      <w:r>
        <w:rPr>
          <w:rFonts w:ascii="Times New Roman" w:cs="Times New Roman" w:eastAsia="Times New Roman" w:hAnsi="Times New Roman"/>
          <w:sz w:val="20"/>
          <w:szCs w:val="20"/>
          <w:color w:val="231F20"/>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Debt Issuance Costs</w:t>
      </w:r>
    </w:p>
    <w:p>
      <w:pPr>
        <w:spacing w:after="0" w:line="118" w:lineRule="exact"/>
        <w:rPr>
          <w:sz w:val="20"/>
          <w:szCs w:val="20"/>
          <w:color w:val="auto"/>
        </w:rPr>
      </w:pPr>
    </w:p>
    <w:p>
      <w:pPr>
        <w:ind w:right="20" w:firstLine="245"/>
        <w:spacing w:after="0" w:line="258" w:lineRule="auto"/>
        <w:rPr>
          <w:sz w:val="20"/>
          <w:szCs w:val="20"/>
          <w:color w:val="auto"/>
        </w:rPr>
      </w:pPr>
      <w:r>
        <w:rPr>
          <w:rFonts w:ascii="Times New Roman" w:cs="Times New Roman" w:eastAsia="Times New Roman" w:hAnsi="Times New Roman"/>
          <w:sz w:val="20"/>
          <w:szCs w:val="20"/>
          <w:color w:val="231F20"/>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and Dividend Income Recognition</w:t>
      </w:r>
    </w:p>
    <w:p>
      <w:pPr>
        <w:spacing w:after="0" w:line="118" w:lineRule="exact"/>
        <w:rPr>
          <w:sz w:val="20"/>
          <w:szCs w:val="20"/>
          <w:color w:val="auto"/>
        </w:rPr>
      </w:pPr>
    </w:p>
    <w:p>
      <w:pPr>
        <w:ind w:right="80" w:firstLine="245"/>
        <w:spacing w:after="0" w:line="252" w:lineRule="auto"/>
        <w:rPr>
          <w:sz w:val="20"/>
          <w:szCs w:val="20"/>
          <w:color w:val="auto"/>
        </w:rPr>
      </w:pPr>
      <w:r>
        <w:rPr>
          <w:rFonts w:ascii="Times New Roman" w:cs="Times New Roman" w:eastAsia="Times New Roman" w:hAnsi="Times New Roman"/>
          <w:sz w:val="20"/>
          <w:szCs w:val="20"/>
          <w:color w:val="231F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94" w:lineRule="exact"/>
        <w:rPr>
          <w:sz w:val="20"/>
          <w:szCs w:val="20"/>
          <w:color w:val="auto"/>
        </w:rPr>
      </w:pPr>
    </w:p>
    <w:p>
      <w:pPr>
        <w:ind w:right="320" w:firstLine="245"/>
        <w:spacing w:after="0" w:line="277" w:lineRule="auto"/>
        <w:rPr>
          <w:sz w:val="20"/>
          <w:szCs w:val="20"/>
          <w:color w:val="auto"/>
        </w:rPr>
      </w:pPr>
      <w:r>
        <w:rPr>
          <w:rFonts w:ascii="Times New Roman" w:cs="Times New Roman" w:eastAsia="Times New Roman" w:hAnsi="Times New Roman"/>
          <w:sz w:val="20"/>
          <w:szCs w:val="20"/>
          <w:color w:val="231F20"/>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9" w:lineRule="exact"/>
        <w:rPr>
          <w:sz w:val="20"/>
          <w:szCs w:val="20"/>
          <w:color w:val="auto"/>
        </w:rPr>
      </w:pPr>
    </w:p>
    <w:p>
      <w:pPr>
        <w:ind w:firstLine="245"/>
        <w:spacing w:after="0" w:line="246" w:lineRule="auto"/>
        <w:rPr>
          <w:sz w:val="20"/>
          <w:szCs w:val="20"/>
          <w:color w:val="auto"/>
        </w:rPr>
      </w:pPr>
      <w:r>
        <w:rPr>
          <w:rFonts w:ascii="Times New Roman" w:cs="Times New Roman" w:eastAsia="Times New Roman" w:hAnsi="Times New Roman"/>
          <w:sz w:val="20"/>
          <w:szCs w:val="20"/>
          <w:color w:val="231F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200" w:lineRule="exact"/>
        <w:rPr>
          <w:sz w:val="20"/>
          <w:szCs w:val="20"/>
          <w:color w:val="auto"/>
        </w:rPr>
      </w:pPr>
    </w:p>
    <w:p>
      <w:pPr>
        <w:jc w:val="both"/>
        <w:ind w:right="160" w:firstLine="245"/>
        <w:spacing w:after="0" w:line="258" w:lineRule="auto"/>
        <w:rPr>
          <w:sz w:val="20"/>
          <w:szCs w:val="20"/>
          <w:color w:val="auto"/>
        </w:rPr>
      </w:pPr>
      <w:r>
        <w:rPr>
          <w:rFonts w:ascii="Times New Roman" w:cs="Times New Roman" w:eastAsia="Times New Roman" w:hAnsi="Times New Roman"/>
          <w:sz w:val="20"/>
          <w:szCs w:val="20"/>
          <w:color w:val="231F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Income</w:t>
      </w:r>
    </w:p>
    <w:p>
      <w:pPr>
        <w:spacing w:after="0" w:line="118"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231F20"/>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Earnings per share</w:t>
      </w:r>
    </w:p>
    <w:p>
      <w:pPr>
        <w:spacing w:after="0" w:line="118" w:lineRule="exact"/>
        <w:rPr>
          <w:sz w:val="20"/>
          <w:szCs w:val="20"/>
          <w:color w:val="auto"/>
        </w:rPr>
      </w:pPr>
    </w:p>
    <w:p>
      <w:pPr>
        <w:ind w:right="300" w:firstLine="245"/>
        <w:spacing w:after="0" w:line="246" w:lineRule="auto"/>
        <w:rPr>
          <w:sz w:val="20"/>
          <w:szCs w:val="20"/>
          <w:color w:val="auto"/>
        </w:rPr>
      </w:pPr>
      <w:r>
        <w:rPr>
          <w:rFonts w:ascii="Times New Roman" w:cs="Times New Roman" w:eastAsia="Times New Roman" w:hAnsi="Times New Roman"/>
          <w:sz w:val="20"/>
          <w:szCs w:val="20"/>
          <w:color w:val="231F20"/>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ectPr>
          <w:pgSz w:w="12240" w:h="15840" w:orient="portrait"/>
          <w:cols w:equalWidth="0" w:num="1">
            <w:col w:w="10800"/>
          </w:cols>
          <w:pgMar w:left="720" w:top="919"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F-23</w:t>
      </w:r>
    </w:p>
    <w:p>
      <w:pPr>
        <w:sectPr>
          <w:pgSz w:w="12240" w:h="15840" w:orient="portrait"/>
          <w:cols w:equalWidth="0" w:num="1">
            <w:col w:w="10800"/>
          </w:cols>
          <w:pgMar w:left="720" w:top="919" w:right="720" w:bottom="186"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i w:val="1"/>
          <w:iCs w:val="1"/>
          <w:color w:val="231F20"/>
        </w:rPr>
        <w:t>Reimbursement of Transaction-Related Expenses</w:t>
      </w:r>
    </w:p>
    <w:p>
      <w:pPr>
        <w:spacing w:after="0" w:line="118" w:lineRule="exact"/>
        <w:rPr>
          <w:sz w:val="20"/>
          <w:szCs w:val="20"/>
          <w:color w:val="auto"/>
        </w:rPr>
      </w:pPr>
    </w:p>
    <w:p>
      <w:pPr>
        <w:ind w:right="320" w:firstLine="245"/>
        <w:spacing w:after="0" w:line="249" w:lineRule="auto"/>
        <w:rPr>
          <w:sz w:val="20"/>
          <w:szCs w:val="20"/>
          <w:color w:val="auto"/>
        </w:rPr>
      </w:pPr>
      <w:r>
        <w:rPr>
          <w:rFonts w:ascii="Times New Roman" w:cs="Times New Roman" w:eastAsia="Times New Roman" w:hAnsi="Times New Roman"/>
          <w:sz w:val="20"/>
          <w:szCs w:val="20"/>
          <w:color w:val="231F20"/>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97"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231F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Income Taxes, Including Excise Taxes</w:t>
      </w:r>
    </w:p>
    <w:p>
      <w:pPr>
        <w:spacing w:after="0" w:line="118" w:lineRule="exact"/>
        <w:rPr>
          <w:sz w:val="20"/>
          <w:szCs w:val="20"/>
          <w:color w:val="auto"/>
        </w:rPr>
      </w:pPr>
    </w:p>
    <w:p>
      <w:pPr>
        <w:ind w:right="40" w:firstLine="245"/>
        <w:spacing w:after="0" w:line="247" w:lineRule="auto"/>
        <w:rPr>
          <w:sz w:val="20"/>
          <w:szCs w:val="20"/>
          <w:color w:val="auto"/>
        </w:rPr>
      </w:pPr>
      <w:r>
        <w:rPr>
          <w:rFonts w:ascii="Times New Roman" w:cs="Times New Roman" w:eastAsia="Times New Roman" w:hAnsi="Times New Roman"/>
          <w:sz w:val="20"/>
          <w:szCs w:val="20"/>
          <w:color w:val="231F20"/>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200" w:lineRule="exact"/>
        <w:rPr>
          <w:sz w:val="20"/>
          <w:szCs w:val="20"/>
          <w:color w:val="auto"/>
        </w:rPr>
      </w:pPr>
    </w:p>
    <w:p>
      <w:pPr>
        <w:ind w:right="20" w:firstLine="245"/>
        <w:spacing w:after="0" w:line="245" w:lineRule="auto"/>
        <w:rPr>
          <w:sz w:val="20"/>
          <w:szCs w:val="20"/>
          <w:color w:val="auto"/>
        </w:rPr>
      </w:pPr>
      <w:r>
        <w:rPr>
          <w:rFonts w:ascii="Times New Roman" w:cs="Times New Roman" w:eastAsia="Times New Roman" w:hAnsi="Times New Roman"/>
          <w:sz w:val="20"/>
          <w:szCs w:val="20"/>
          <w:color w:val="231F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2023, the Company did not have any uncertain tax positions that met the recognition or measurement criteria, nor did the Company have any unrecognized tax benefits. The Company’s 2022, 2021 and 2020 tax year returns remain subject to examination by the relevant federal, state, and local tax authorities.</w:t>
      </w:r>
    </w:p>
    <w:p>
      <w:pPr>
        <w:spacing w:after="0" w:line="202"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231F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97" w:lineRule="exact"/>
        <w:rPr>
          <w:sz w:val="20"/>
          <w:szCs w:val="20"/>
          <w:color w:val="auto"/>
        </w:rPr>
      </w:pPr>
    </w:p>
    <w:p>
      <w:pPr>
        <w:ind w:right="100" w:firstLine="245"/>
        <w:spacing w:after="0" w:line="277" w:lineRule="auto"/>
        <w:rPr>
          <w:sz w:val="20"/>
          <w:szCs w:val="20"/>
          <w:color w:val="auto"/>
        </w:rPr>
      </w:pPr>
      <w:r>
        <w:rPr>
          <w:rFonts w:ascii="Times New Roman" w:cs="Times New Roman" w:eastAsia="Times New Roman" w:hAnsi="Times New Roman"/>
          <w:sz w:val="20"/>
          <w:szCs w:val="20"/>
          <w:color w:val="231F20"/>
        </w:rPr>
        <w:t>For the calendar years ended December 31, 2023, 2022 and 2021 we recorded a net expense of $2.4 million, $2.6 million and $0.4 million, respectively, for U.S. federal excise tax and other taxes.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Dividends to Common Stockholders</w:t>
      </w:r>
    </w:p>
    <w:p>
      <w:pPr>
        <w:spacing w:after="0" w:line="118"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231F20"/>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8"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20"/>
          <w:szCs w:val="20"/>
          <w:color w:val="231F20"/>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Recent Accounting Standards and Regulatory Updates</w:t>
      </w:r>
    </w:p>
    <w:p>
      <w:pPr>
        <w:spacing w:after="0" w:line="118" w:lineRule="exact"/>
        <w:rPr>
          <w:sz w:val="20"/>
          <w:szCs w:val="20"/>
          <w:color w:val="auto"/>
        </w:rPr>
      </w:pPr>
    </w:p>
    <w:p>
      <w:pPr>
        <w:ind w:right="100" w:firstLine="245"/>
        <w:spacing w:after="0" w:line="265" w:lineRule="auto"/>
        <w:rPr>
          <w:sz w:val="20"/>
          <w:szCs w:val="20"/>
          <w:color w:val="auto"/>
        </w:rPr>
      </w:pPr>
      <w:r>
        <w:rPr>
          <w:rFonts w:ascii="Times New Roman" w:cs="Times New Roman" w:eastAsia="Times New Roman" w:hAnsi="Times New Roman"/>
          <w:sz w:val="19"/>
          <w:szCs w:val="19"/>
          <w:color w:val="231F20"/>
        </w:rPr>
        <w:t>In December 2022, the Financial Accounting Standards Board issued Accounting Standards Update 2022-06 (“ASU 2022-06”) “Reference Rate Reform (Topic 848): Deferral of the Sunset Date of Topic 848.” Topic 848 provides optional expedients and exceptions for applying generally accepted accounting principles to contract modifications and hedging relationships, subject to meeting certain criteria, that reference LIBOR or another reference rate expected to be discontinued. ASU 2022-06 defers the sunset date of Topic 848 from December 31, 2022, to December 31, 2024, after which entities will no longer be permitted to apply the relief</w:t>
      </w:r>
    </w:p>
    <w:p>
      <w:pPr>
        <w:sectPr>
          <w:pgSz w:w="12240" w:h="15840" w:orient="portrait"/>
          <w:cols w:equalWidth="0" w:num="1">
            <w:col w:w="10780"/>
          </w:cols>
          <w:pgMar w:left="720" w:top="932" w:right="740" w:bottom="186"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F-24</w:t>
      </w:r>
    </w:p>
    <w:p>
      <w:pPr>
        <w:sectPr>
          <w:pgSz w:w="12240" w:h="15840" w:orient="portrait"/>
          <w:cols w:equalWidth="0" w:num="1">
            <w:col w:w="10780"/>
          </w:cols>
          <w:pgMar w:left="720" w:top="932" w:right="740" w:bottom="186" w:gutter="0" w:footer="0" w:header="0"/>
          <w:type w:val="continuous"/>
        </w:sectPr>
      </w:pPr>
    </w:p>
    <w:bookmarkStart w:id="109" w:name="page110"/>
    <w:bookmarkEnd w:id="109"/>
    <w:p>
      <w:pPr>
        <w:ind w:right="40"/>
        <w:spacing w:after="0" w:line="277" w:lineRule="auto"/>
        <w:rPr>
          <w:sz w:val="20"/>
          <w:szCs w:val="20"/>
          <w:color w:val="auto"/>
        </w:rPr>
      </w:pPr>
      <w:r>
        <w:rPr>
          <w:rFonts w:ascii="Times New Roman" w:cs="Times New Roman" w:eastAsia="Times New Roman" w:hAnsi="Times New Roman"/>
          <w:sz w:val="20"/>
          <w:szCs w:val="20"/>
          <w:color w:val="231F20"/>
        </w:rPr>
        <w:t>in Topic 848. ASU 2022-06 is effective for all entities in scope upon issuance of ASU 2022-06. The adoption of this guidance did not have a material impact on the Company’s financial position, result of operations or cash flows.</w:t>
      </w:r>
    </w:p>
    <w:p>
      <w:pPr>
        <w:spacing w:after="0" w:line="277" w:lineRule="exact"/>
        <w:rPr>
          <w:sz w:val="20"/>
          <w:szCs w:val="20"/>
          <w:color w:val="auto"/>
        </w:rPr>
      </w:pPr>
    </w:p>
    <w:p>
      <w:pPr>
        <w:ind w:right="6760"/>
        <w:spacing w:after="0" w:line="357" w:lineRule="auto"/>
        <w:tabs>
          <w:tab w:leader="none" w:pos="200" w:val="left"/>
        </w:tabs>
        <w:numPr>
          <w:ilvl w:val="0"/>
          <w:numId w:val="8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Agreements and Related Party Transactions </w:t>
      </w:r>
      <w:r>
        <w:rPr>
          <w:rFonts w:ascii="Times New Roman" w:cs="Times New Roman" w:eastAsia="Times New Roman" w:hAnsi="Times New Roman"/>
          <w:sz w:val="20"/>
          <w:szCs w:val="20"/>
          <w:i w:val="1"/>
          <w:iCs w:val="1"/>
          <w:color w:val="231F20"/>
        </w:rPr>
        <w:t>Administration Agreement</w:t>
      </w:r>
    </w:p>
    <w:p>
      <w:pPr>
        <w:spacing w:after="0" w:line="1" w:lineRule="exact"/>
        <w:rPr>
          <w:sz w:val="20"/>
          <w:szCs w:val="20"/>
          <w:color w:val="auto"/>
        </w:rPr>
      </w:pPr>
    </w:p>
    <w:p>
      <w:pPr>
        <w:ind w:right="100" w:firstLine="245"/>
        <w:spacing w:after="0" w:line="250" w:lineRule="auto"/>
        <w:rPr>
          <w:sz w:val="20"/>
          <w:szCs w:val="20"/>
          <w:color w:val="auto"/>
        </w:rPr>
      </w:pPr>
      <w:r>
        <w:rPr>
          <w:rFonts w:ascii="Times New Roman" w:cs="Times New Roman" w:eastAsia="Times New Roman" w:hAnsi="Times New Roman"/>
          <w:sz w:val="19"/>
          <w:szCs w:val="19"/>
          <w:color w:val="231F20"/>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90" w:lineRule="exact"/>
        <w:rPr>
          <w:sz w:val="20"/>
          <w:szCs w:val="20"/>
          <w:color w:val="auto"/>
        </w:rPr>
      </w:pPr>
    </w:p>
    <w:p>
      <w:pPr>
        <w:ind w:right="140" w:firstLine="245"/>
        <w:spacing w:after="0" w:line="248" w:lineRule="auto"/>
        <w:rPr>
          <w:sz w:val="20"/>
          <w:szCs w:val="20"/>
          <w:color w:val="auto"/>
        </w:rPr>
      </w:pPr>
      <w:r>
        <w:rPr>
          <w:rFonts w:ascii="Times New Roman" w:cs="Times New Roman" w:eastAsia="Times New Roman" w:hAnsi="Times New Roman"/>
          <w:sz w:val="20"/>
          <w:szCs w:val="20"/>
          <w:color w:val="231F20"/>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8" w:lineRule="exact"/>
        <w:rPr>
          <w:sz w:val="20"/>
          <w:szCs w:val="20"/>
          <w:color w:val="auto"/>
        </w:rPr>
      </w:pPr>
    </w:p>
    <w:p>
      <w:pPr>
        <w:ind w:right="580" w:firstLine="245"/>
        <w:spacing w:after="0" w:line="268" w:lineRule="auto"/>
        <w:rPr>
          <w:sz w:val="20"/>
          <w:szCs w:val="20"/>
          <w:color w:val="auto"/>
        </w:rPr>
      </w:pPr>
      <w:r>
        <w:rPr>
          <w:rFonts w:ascii="Times New Roman" w:cs="Times New Roman" w:eastAsia="Times New Roman" w:hAnsi="Times New Roman"/>
          <w:sz w:val="19"/>
          <w:szCs w:val="19"/>
          <w:color w:val="231F20"/>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69" w:lineRule="exact"/>
        <w:rPr>
          <w:sz w:val="20"/>
          <w:szCs w:val="20"/>
          <w:color w:val="auto"/>
        </w:rPr>
      </w:pPr>
    </w:p>
    <w:p>
      <w:pPr>
        <w:ind w:right="20" w:firstLine="245"/>
        <w:spacing w:after="0" w:line="233" w:lineRule="auto"/>
        <w:rPr>
          <w:sz w:val="20"/>
          <w:szCs w:val="20"/>
          <w:color w:val="auto"/>
        </w:rPr>
      </w:pPr>
      <w:r>
        <w:rPr>
          <w:rFonts w:ascii="Times New Roman" w:cs="Times New Roman" w:eastAsia="Times New Roman" w:hAnsi="Times New Roman"/>
          <w:sz w:val="20"/>
          <w:szCs w:val="20"/>
          <w:color w:val="231F20"/>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200" w:lineRule="exact"/>
        <w:rPr>
          <w:sz w:val="20"/>
          <w:szCs w:val="20"/>
          <w:color w:val="auto"/>
        </w:rPr>
      </w:pPr>
    </w:p>
    <w:p>
      <w:pPr>
        <w:jc w:val="both"/>
        <w:ind w:right="240" w:firstLine="245"/>
        <w:spacing w:after="0" w:line="248" w:lineRule="auto"/>
        <w:rPr>
          <w:sz w:val="20"/>
          <w:szCs w:val="20"/>
          <w:color w:val="auto"/>
        </w:rPr>
      </w:pPr>
      <w:r>
        <w:rPr>
          <w:rFonts w:ascii="Times New Roman" w:cs="Times New Roman" w:eastAsia="Times New Roman" w:hAnsi="Times New Roman"/>
          <w:sz w:val="20"/>
          <w:szCs w:val="20"/>
          <w:color w:val="231F20"/>
        </w:rPr>
        <w:t>For the years ended December 31, 2023, 2022 and 2021, the Company incurred expenses of $3.2 million, $3.1 million and $4.8 million, respectively, for administrative services payable to the Adviser under the terms of the Administration Agreement, which is included in other general and administrative expenses in the Consolidated Statements of Operations.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Investment Advisory Agreement</w:t>
      </w:r>
    </w:p>
    <w:p>
      <w:pPr>
        <w:spacing w:after="0" w:line="108" w:lineRule="exact"/>
        <w:rPr>
          <w:sz w:val="20"/>
          <w:szCs w:val="20"/>
          <w:color w:val="auto"/>
        </w:rPr>
      </w:pPr>
    </w:p>
    <w:p>
      <w:pPr>
        <w:ind w:firstLine="245"/>
        <w:spacing w:after="0" w:line="237" w:lineRule="auto"/>
        <w:rPr>
          <w:sz w:val="20"/>
          <w:szCs w:val="20"/>
          <w:color w:val="auto"/>
        </w:rPr>
      </w:pPr>
      <w:r>
        <w:rPr>
          <w:rFonts w:ascii="Times New Roman" w:cs="Times New Roman" w:eastAsia="Times New Roman" w:hAnsi="Times New Roman"/>
          <w:sz w:val="20"/>
          <w:szCs w:val="20"/>
          <w:color w:val="231F20"/>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208" w:lineRule="exact"/>
        <w:rPr>
          <w:sz w:val="20"/>
          <w:szCs w:val="20"/>
          <w:color w:val="auto"/>
        </w:rPr>
      </w:pPr>
    </w:p>
    <w:p>
      <w:pPr>
        <w:ind w:right="120" w:firstLine="245"/>
        <w:spacing w:after="0" w:line="258" w:lineRule="auto"/>
        <w:rPr>
          <w:sz w:val="20"/>
          <w:szCs w:val="20"/>
          <w:color w:val="auto"/>
        </w:rPr>
      </w:pPr>
      <w:r>
        <w:rPr>
          <w:rFonts w:ascii="Times New Roman" w:cs="Times New Roman" w:eastAsia="Times New Roman" w:hAnsi="Times New Roman"/>
          <w:sz w:val="20"/>
          <w:szCs w:val="20"/>
          <w:color w:val="231F20"/>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8" w:lineRule="exact"/>
        <w:rPr>
          <w:sz w:val="20"/>
          <w:szCs w:val="20"/>
          <w:color w:val="auto"/>
        </w:rPr>
      </w:pPr>
    </w:p>
    <w:p>
      <w:pPr>
        <w:ind w:right="220" w:firstLine="245"/>
        <w:spacing w:after="0" w:line="277" w:lineRule="auto"/>
        <w:rPr>
          <w:sz w:val="20"/>
          <w:szCs w:val="20"/>
          <w:color w:val="auto"/>
        </w:rPr>
      </w:pPr>
      <w:r>
        <w:rPr>
          <w:rFonts w:ascii="Times New Roman" w:cs="Times New Roman" w:eastAsia="Times New Roman" w:hAnsi="Times New Roman"/>
          <w:sz w:val="20"/>
          <w:szCs w:val="20"/>
          <w:color w:val="231F20"/>
        </w:rPr>
        <w:t>For the years ended December 31, 2023, 2022 and 2021, Management Fees (gross of waivers) were $46.4 million, $39.9 million and $37.1 million, respectively.</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Any waived Management Fees are not subject to recoupment by the Adviser.</w:t>
      </w:r>
    </w:p>
    <w:p>
      <w:pPr>
        <w:sectPr>
          <w:pgSz w:w="12240" w:h="15840" w:orient="portrait"/>
          <w:cols w:equalWidth="0" w:num="1">
            <w:col w:w="10740"/>
          </w:cols>
          <w:pgMar w:left="720" w:top="930" w:right="7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F-25</w:t>
      </w:r>
    </w:p>
    <w:p>
      <w:pPr>
        <w:sectPr>
          <w:pgSz w:w="12240" w:h="15840" w:orient="portrait"/>
          <w:cols w:equalWidth="0" w:num="1">
            <w:col w:w="10740"/>
          </w:cols>
          <w:pgMar w:left="720" w:top="930" w:right="780" w:bottom="186" w:gutter="0" w:footer="0" w:header="0"/>
          <w:type w:val="continuous"/>
        </w:sectPr>
      </w:pPr>
    </w:p>
    <w:bookmarkStart w:id="110" w:name="page111"/>
    <w:bookmarkEnd w:id="110"/>
    <w:p>
      <w:pPr>
        <w:ind w:right="60" w:firstLine="245"/>
        <w:spacing w:after="0" w:line="246" w:lineRule="auto"/>
        <w:rPr>
          <w:sz w:val="20"/>
          <w:szCs w:val="20"/>
          <w:color w:val="auto"/>
        </w:rPr>
      </w:pPr>
      <w:r>
        <w:rPr>
          <w:rFonts w:ascii="Times New Roman" w:cs="Times New Roman" w:eastAsia="Times New Roman" w:hAnsi="Times New Roman"/>
          <w:sz w:val="20"/>
          <w:szCs w:val="20"/>
          <w:color w:val="231F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years ended December 31, 2023, 2022 and 2021, Management Fees of $1.2 million, $0.4 million, and $0.2 million, respectively, have been waived pursuant to the Leverage Waiver.</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Incentive Fee consists of two parts, as follows:</w:t>
      </w:r>
    </w:p>
    <w:p>
      <w:pPr>
        <w:spacing w:after="0" w:line="120" w:lineRule="exact"/>
        <w:rPr>
          <w:sz w:val="20"/>
          <w:szCs w:val="20"/>
          <w:color w:val="auto"/>
        </w:rPr>
      </w:pPr>
    </w:p>
    <w:p>
      <w:pPr>
        <w:ind w:left="500" w:hanging="255"/>
        <w:spacing w:after="0" w:line="257" w:lineRule="auto"/>
        <w:tabs>
          <w:tab w:leader="none" w:pos="500" w:val="left"/>
        </w:tabs>
        <w:numPr>
          <w:ilvl w:val="0"/>
          <w:numId w:val="8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w:t>
      </w:r>
    </w:p>
    <w:p>
      <w:pPr>
        <w:spacing w:after="0" w:line="4" w:lineRule="exact"/>
        <w:rPr>
          <w:rFonts w:ascii="Times New Roman" w:cs="Times New Roman" w:eastAsia="Times New Roman" w:hAnsi="Times New Roman"/>
          <w:sz w:val="19"/>
          <w:szCs w:val="19"/>
          <w:color w:val="231F20"/>
        </w:rPr>
      </w:pPr>
    </w:p>
    <w:p>
      <w:pPr>
        <w:ind w:left="500" w:right="80"/>
        <w:spacing w:after="0" w:line="248"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231F20"/>
        </w:rPr>
        <w:t>(7.28% annualized), which is the rate at which catch-up is achieved. Once the “hurdle rate” is reached and catch-up is achieved, 17.5% of any pre-Incentive Fee net investment income in excess of 1.82% in any quarter is payable to the Adviser.</w:t>
      </w:r>
    </w:p>
    <w:p>
      <w:pPr>
        <w:spacing w:after="0" w:line="76" w:lineRule="exact"/>
        <w:rPr>
          <w:rFonts w:ascii="Times New Roman" w:cs="Times New Roman" w:eastAsia="Times New Roman" w:hAnsi="Times New Roman"/>
          <w:sz w:val="19"/>
          <w:szCs w:val="19"/>
          <w:color w:val="231F20"/>
        </w:rPr>
      </w:pPr>
    </w:p>
    <w:p>
      <w:pPr>
        <w:ind w:left="500" w:right="40"/>
        <w:spacing w:after="0" w:line="246"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231F20"/>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9" w:lineRule="exact"/>
        <w:rPr>
          <w:rFonts w:ascii="Times New Roman" w:cs="Times New Roman" w:eastAsia="Times New Roman" w:hAnsi="Times New Roman"/>
          <w:sz w:val="19"/>
          <w:szCs w:val="19"/>
          <w:color w:val="231F20"/>
        </w:rPr>
      </w:pPr>
    </w:p>
    <w:p>
      <w:pPr>
        <w:ind w:left="500" w:right="20" w:hanging="255"/>
        <w:spacing w:after="0" w:line="243" w:lineRule="auto"/>
        <w:tabs>
          <w:tab w:leader="none" w:pos="500" w:val="left"/>
        </w:tabs>
        <w:numPr>
          <w:ilvl w:val="0"/>
          <w:numId w:val="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206" w:lineRule="exact"/>
        <w:rPr>
          <w:sz w:val="20"/>
          <w:szCs w:val="20"/>
          <w:color w:val="auto"/>
        </w:rPr>
      </w:pPr>
    </w:p>
    <w:p>
      <w:pPr>
        <w:ind w:right="260" w:firstLine="245"/>
        <w:spacing w:after="0" w:line="258" w:lineRule="auto"/>
        <w:rPr>
          <w:sz w:val="20"/>
          <w:szCs w:val="20"/>
          <w:color w:val="auto"/>
        </w:rPr>
      </w:pPr>
      <w:r>
        <w:rPr>
          <w:rFonts w:ascii="Times New Roman" w:cs="Times New Roman" w:eastAsia="Times New Roman" w:hAnsi="Times New Roman"/>
          <w:sz w:val="20"/>
          <w:szCs w:val="20"/>
          <w:color w:val="231F20"/>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88" w:lineRule="exact"/>
        <w:rPr>
          <w:sz w:val="20"/>
          <w:szCs w:val="20"/>
          <w:color w:val="auto"/>
        </w:rPr>
      </w:pPr>
    </w:p>
    <w:p>
      <w:pPr>
        <w:ind w:right="160" w:firstLine="245"/>
        <w:spacing w:after="0" w:line="258" w:lineRule="auto"/>
        <w:rPr>
          <w:sz w:val="20"/>
          <w:szCs w:val="20"/>
          <w:color w:val="auto"/>
        </w:rPr>
      </w:pPr>
      <w:r>
        <w:rPr>
          <w:rFonts w:ascii="Times New Roman" w:cs="Times New Roman" w:eastAsia="Times New Roman" w:hAnsi="Times New Roman"/>
          <w:sz w:val="20"/>
          <w:szCs w:val="20"/>
          <w:color w:val="231F20"/>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60" w:lineRule="exact"/>
        <w:rPr>
          <w:sz w:val="20"/>
          <w:szCs w:val="20"/>
          <w:color w:val="auto"/>
        </w:rPr>
      </w:pPr>
    </w:p>
    <w:p>
      <w:pPr>
        <w:ind w:right="100" w:firstLine="245"/>
        <w:spacing w:after="0" w:line="239" w:lineRule="auto"/>
        <w:rPr>
          <w:sz w:val="20"/>
          <w:szCs w:val="20"/>
          <w:color w:val="auto"/>
        </w:rPr>
      </w:pPr>
      <w:r>
        <w:rPr>
          <w:rFonts w:ascii="Times New Roman" w:cs="Times New Roman" w:eastAsia="Times New Roman" w:hAnsi="Times New Roman"/>
          <w:sz w:val="20"/>
          <w:szCs w:val="20"/>
          <w:color w:val="231F20"/>
        </w:rPr>
        <w:t>For the years ended December 31, 2023, 2022 and 2021, Incentive Fees were $47.0 million, $24.5 million and $46.6 million, respectively, of which $42.6 million, $33.4 million, and $33.1 million, respectively, were realized and payable to the Adviser. For the years ended December 31, 2023, 2022 and 2021, $4.4 million, $(8.9) million, and $13.5 million, respectively, of Incentive Fees were accrued related to Capital Gains Fees. As of December 31, 2023, these accrued Incentive Fees are not contractually payable to the Adviser.</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Any waived Incentive Fees are not subject to recoupment by the Adviser.</w:t>
      </w:r>
    </w:p>
    <w:p>
      <w:pPr>
        <w:spacing w:after="0" w:line="232" w:lineRule="exact"/>
        <w:rPr>
          <w:sz w:val="20"/>
          <w:szCs w:val="20"/>
          <w:color w:val="auto"/>
        </w:rPr>
      </w:pPr>
    </w:p>
    <w:p>
      <w:pPr>
        <w:ind w:right="520" w:firstLine="245"/>
        <w:spacing w:after="0" w:line="248" w:lineRule="auto"/>
        <w:rPr>
          <w:sz w:val="20"/>
          <w:szCs w:val="20"/>
          <w:color w:val="auto"/>
        </w:rPr>
      </w:pPr>
      <w:r>
        <w:rPr>
          <w:rFonts w:ascii="Times New Roman" w:cs="Times New Roman" w:eastAsia="Times New Roman" w:hAnsi="Times New Roman"/>
          <w:sz w:val="20"/>
          <w:szCs w:val="20"/>
          <w:color w:val="231F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ectPr>
          <w:pgSz w:w="12240" w:h="15840" w:orient="portrait"/>
          <w:cols w:equalWidth="0" w:num="1">
            <w:col w:w="10800"/>
          </w:cols>
          <w:pgMar w:left="720" w:top="93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F-26</w:t>
      </w:r>
    </w:p>
    <w:p>
      <w:pPr>
        <w:sectPr>
          <w:pgSz w:w="12240" w:h="15840" w:orient="portrait"/>
          <w:cols w:equalWidth="0" w:num="1">
            <w:col w:w="10800"/>
          </w:cols>
          <w:pgMar w:left="720" w:top="930" w:right="720" w:bottom="186" w:gutter="0" w:footer="0" w:header="0"/>
          <w:type w:val="continuous"/>
        </w:sectPr>
      </w:pPr>
    </w:p>
    <w:bookmarkStart w:id="111" w:name="page112"/>
    <w:bookmarkEnd w:id="111"/>
    <w:p>
      <w:pPr>
        <w:ind w:firstLine="245"/>
        <w:spacing w:after="0" w:line="248" w:lineRule="auto"/>
        <w:rPr>
          <w:sz w:val="20"/>
          <w:szCs w:val="20"/>
          <w:color w:val="auto"/>
        </w:rPr>
      </w:pPr>
      <w:r>
        <w:rPr>
          <w:rFonts w:ascii="Times New Roman" w:cs="Times New Roman" w:eastAsia="Times New Roman" w:hAnsi="Times New Roman"/>
          <w:sz w:val="20"/>
          <w:szCs w:val="20"/>
          <w:color w:val="231F20"/>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4. Investments at Fair Value</w:t>
      </w:r>
    </w:p>
    <w:p>
      <w:pPr>
        <w:spacing w:after="0" w:line="114" w:lineRule="exact"/>
        <w:rPr>
          <w:sz w:val="20"/>
          <w:szCs w:val="20"/>
          <w:color w:val="auto"/>
        </w:rPr>
      </w:pPr>
    </w:p>
    <w:p>
      <w:pPr>
        <w:ind w:right="20" w:firstLine="245"/>
        <w:spacing w:after="0" w:line="235" w:lineRule="auto"/>
        <w:rPr>
          <w:sz w:val="20"/>
          <w:szCs w:val="20"/>
          <w:color w:val="auto"/>
        </w:rPr>
      </w:pPr>
      <w:r>
        <w:rPr>
          <w:rFonts w:ascii="Times New Roman" w:cs="Times New Roman" w:eastAsia="Times New Roman" w:hAnsi="Times New Roman"/>
          <w:sz w:val="20"/>
          <w:szCs w:val="20"/>
          <w:color w:val="231F20"/>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Investments at fair value consisted of the following at December 31, 2023 and 2022:</w:t>
      </w:r>
    </w:p>
    <w:p>
      <w:pPr>
        <w:spacing w:after="0" w:line="228"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620" w:type="dxa"/>
            <w:vAlign w:val="bottom"/>
            <w:tcBorders>
              <w:bottom w:val="single" w:sz="8" w:color="231F20"/>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8"/>
              </w:rPr>
              <w:t xml:space="preserve">Amortized Cost </w:t>
            </w:r>
            <w:r>
              <w:rPr>
                <w:rFonts w:ascii="Times New Roman" w:cs="Times New Roman" w:eastAsia="Times New Roman" w:hAnsi="Times New Roman"/>
                <w:sz w:val="10"/>
                <w:szCs w:val="10"/>
                <w:b w:val="1"/>
                <w:bCs w:val="1"/>
                <w:color w:val="231F20"/>
                <w:w w:val="98"/>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120" w:type="dxa"/>
            <w:vAlign w:val="bottom"/>
          </w:tcPr>
          <w:p>
            <w:pPr>
              <w:spacing w:after="0"/>
              <w:rPr>
                <w:sz w:val="13"/>
                <w:szCs w:val="13"/>
                <w:color w:val="auto"/>
              </w:rPr>
            </w:pPr>
          </w:p>
        </w:tc>
        <w:tc>
          <w:tcPr>
            <w:tcW w:w="102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231F20"/>
                <w:w w:val="97"/>
              </w:rPr>
              <w:t>Net 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231F20"/>
              </w:rPr>
              <w:t>Gain (Loss)</w:t>
            </w:r>
          </w:p>
        </w:tc>
        <w:tc>
          <w:tcPr>
            <w:tcW w:w="0" w:type="dxa"/>
            <w:vAlign w:val="bottom"/>
          </w:tcPr>
          <w:p>
            <w:pPr>
              <w:spacing w:after="0"/>
              <w:rPr>
                <w:sz w:val="1"/>
                <w:szCs w:val="1"/>
                <w:color w:val="auto"/>
              </w:rPr>
            </w:pPr>
          </w:p>
        </w:tc>
      </w:tr>
      <w:tr>
        <w:trPr>
          <w:trHeight w:val="220"/>
        </w:trPr>
        <w:tc>
          <w:tcPr>
            <w:tcW w:w="414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First-lien debt investments</w:t>
            </w:r>
          </w:p>
        </w:tc>
        <w:tc>
          <w:tcPr>
            <w:tcW w:w="18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40" w:type="dxa"/>
            <w:vAlign w:val="bottom"/>
            <w:tcBorders>
              <w:top w:val="single" w:sz="8" w:color="CFEDF9"/>
            </w:tcBorders>
            <w:shd w:val="clear" w:color="auto" w:fill="CFEDF9"/>
          </w:tcPr>
          <w:p>
            <w:pPr>
              <w:spacing w:after="0"/>
              <w:rPr>
                <w:sz w:val="19"/>
                <w:szCs w:val="19"/>
                <w:color w:val="auto"/>
              </w:rPr>
            </w:pPr>
          </w:p>
        </w:tc>
        <w:tc>
          <w:tcPr>
            <w:tcW w:w="240" w:type="dxa"/>
            <w:vAlign w:val="bottom"/>
            <w:tcBorders>
              <w:top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w:t>
            </w:r>
          </w:p>
        </w:tc>
        <w:tc>
          <w:tcPr>
            <w:tcW w:w="1000" w:type="dxa"/>
            <w:vAlign w:val="bottom"/>
            <w:tcBorders>
              <w:top w:val="single" w:sz="8" w:color="231F20"/>
            </w:tcBorders>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2,956,079</w:t>
            </w:r>
          </w:p>
        </w:tc>
        <w:tc>
          <w:tcPr>
            <w:tcW w:w="8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CFEDF9"/>
            </w:tcBorders>
            <w:shd w:val="clear" w:color="auto" w:fill="CFEDF9"/>
          </w:tcPr>
          <w:p>
            <w:pPr>
              <w:spacing w:after="0"/>
              <w:rPr>
                <w:sz w:val="19"/>
                <w:szCs w:val="19"/>
                <w:color w:val="auto"/>
              </w:rPr>
            </w:pPr>
          </w:p>
        </w:tc>
        <w:tc>
          <w:tcPr>
            <w:tcW w:w="220" w:type="dxa"/>
            <w:vAlign w:val="bottom"/>
            <w:tcBorders>
              <w:top w:val="single" w:sz="8" w:color="231F20"/>
            </w:tcBorders>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2,996,177</w:t>
            </w:r>
          </w:p>
        </w:tc>
        <w:tc>
          <w:tcPr>
            <w:tcW w:w="8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231F20"/>
            </w:tcBorders>
            <w:gridSpan w:val="2"/>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40,098</w:t>
            </w:r>
          </w:p>
        </w:tc>
        <w:tc>
          <w:tcPr>
            <w:tcW w:w="40" w:type="dxa"/>
            <w:vAlign w:val="bottom"/>
            <w:tcBorders>
              <w:top w:val="single" w:sz="8" w:color="CFEDF9"/>
            </w:tcBorders>
            <w:shd w:val="clear" w:color="auto" w:fill="CFEDF9"/>
          </w:tcPr>
          <w:p>
            <w:pPr>
              <w:spacing w:after="0"/>
              <w:rPr>
                <w:sz w:val="19"/>
                <w:szCs w:val="19"/>
                <w:color w:val="auto"/>
              </w:rPr>
            </w:pPr>
          </w:p>
        </w:tc>
        <w:tc>
          <w:tcPr>
            <w:tcW w:w="6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231F20"/>
              </w:rPr>
              <w:t>Second-lien debt investments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51,423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35,975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Mezzanine debt investments</w:t>
            </w:r>
          </w:p>
        </w:tc>
        <w:tc>
          <w:tcPr>
            <w:tcW w:w="18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0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38,022</w:t>
            </w: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2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39,471</w:t>
            </w:r>
          </w:p>
        </w:tc>
        <w:tc>
          <w:tcPr>
            <w:tcW w:w="8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1,449</w:t>
            </w:r>
          </w:p>
        </w:tc>
        <w:tc>
          <w:tcPr>
            <w:tcW w:w="4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231F20"/>
              </w:rPr>
              <w:t>Equity and other investments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152,623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Structured credit investments</w:t>
            </w:r>
          </w:p>
        </w:tc>
        <w:tc>
          <w:tcPr>
            <w:tcW w:w="180" w:type="dxa"/>
            <w:vAlign w:val="bottom"/>
            <w:tcBorders>
              <w:bottom w:val="single" w:sz="8" w:color="CFEDF9"/>
            </w:tcBorders>
            <w:shd w:val="clear" w:color="auto" w:fill="CFEDF9"/>
          </w:tcPr>
          <w:p>
            <w:pPr>
              <w:spacing w:after="0"/>
              <w:rPr>
                <w:sz w:val="21"/>
                <w:szCs w:val="21"/>
                <w:color w:val="auto"/>
              </w:rPr>
            </w:pPr>
          </w:p>
        </w:tc>
        <w:tc>
          <w:tcPr>
            <w:tcW w:w="80" w:type="dxa"/>
            <w:vAlign w:val="bottom"/>
            <w:tcBorders>
              <w:bottom w:val="single" w:sz="8" w:color="CFEDF9"/>
            </w:tcBorders>
            <w:shd w:val="clear" w:color="auto" w:fill="CFEDF9"/>
          </w:tcPr>
          <w:p>
            <w:pPr>
              <w:spacing w:after="0"/>
              <w:rPr>
                <w:sz w:val="21"/>
                <w:szCs w:val="21"/>
                <w:color w:val="auto"/>
              </w:rPr>
            </w:pPr>
          </w:p>
        </w:tc>
        <w:tc>
          <w:tcPr>
            <w:tcW w:w="20" w:type="dxa"/>
            <w:vAlign w:val="bottom"/>
            <w:tcBorders>
              <w:bottom w:val="single" w:sz="8" w:color="CFEDF9"/>
            </w:tcBorders>
            <w:shd w:val="clear" w:color="auto" w:fill="CFEDF9"/>
          </w:tcPr>
          <w:p>
            <w:pPr>
              <w:spacing w:after="0"/>
              <w:rPr>
                <w:sz w:val="21"/>
                <w:szCs w:val="21"/>
                <w:color w:val="auto"/>
              </w:rPr>
            </w:pPr>
          </w:p>
        </w:tc>
        <w:tc>
          <w:tcPr>
            <w:tcW w:w="40" w:type="dxa"/>
            <w:vAlign w:val="bottom"/>
            <w:tcBorders>
              <w:bottom w:val="single" w:sz="8" w:color="CFEDF9"/>
            </w:tcBorders>
            <w:shd w:val="clear" w:color="auto" w:fill="CFEDF9"/>
          </w:tcPr>
          <w:p>
            <w:pPr>
              <w:spacing w:after="0"/>
              <w:rPr>
                <w:sz w:val="21"/>
                <w:szCs w:val="21"/>
                <w:color w:val="auto"/>
              </w:rPr>
            </w:pPr>
          </w:p>
        </w:tc>
        <w:tc>
          <w:tcPr>
            <w:tcW w:w="240" w:type="dxa"/>
            <w:vAlign w:val="bottom"/>
            <w:tcBorders>
              <w:bottom w:val="single" w:sz="8" w:color="231F20"/>
            </w:tcBorders>
            <w:shd w:val="clear" w:color="auto" w:fill="CFEDF9"/>
          </w:tcPr>
          <w:p>
            <w:pPr>
              <w:spacing w:after="0"/>
              <w:rPr>
                <w:sz w:val="21"/>
                <w:szCs w:val="21"/>
                <w:color w:val="auto"/>
              </w:rPr>
            </w:pPr>
          </w:p>
        </w:tc>
        <w:tc>
          <w:tcPr>
            <w:tcW w:w="1000" w:type="dxa"/>
            <w:vAlign w:val="bottom"/>
            <w:tcBorders>
              <w:bottom w:val="single" w:sz="8" w:color="231F20"/>
            </w:tcBorders>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52,865</w:t>
            </w:r>
          </w:p>
        </w:tc>
        <w:tc>
          <w:tcPr>
            <w:tcW w:w="80" w:type="dxa"/>
            <w:vAlign w:val="bottom"/>
            <w:tcBorders>
              <w:bottom w:val="single" w:sz="8" w:color="CFEDF9"/>
            </w:tcBorders>
            <w:shd w:val="clear" w:color="auto" w:fill="CFEDF9"/>
          </w:tcPr>
          <w:p>
            <w:pPr>
              <w:spacing w:after="0"/>
              <w:rPr>
                <w:sz w:val="21"/>
                <w:szCs w:val="21"/>
                <w:color w:val="auto"/>
              </w:rPr>
            </w:pPr>
          </w:p>
        </w:tc>
        <w:tc>
          <w:tcPr>
            <w:tcW w:w="100" w:type="dxa"/>
            <w:vAlign w:val="bottom"/>
            <w:tcBorders>
              <w:bottom w:val="single" w:sz="8" w:color="CFEDF9"/>
            </w:tcBorders>
            <w:shd w:val="clear" w:color="auto" w:fill="CFEDF9"/>
          </w:tcPr>
          <w:p>
            <w:pPr>
              <w:spacing w:after="0"/>
              <w:rPr>
                <w:sz w:val="21"/>
                <w:szCs w:val="21"/>
                <w:color w:val="auto"/>
              </w:rPr>
            </w:pPr>
          </w:p>
        </w:tc>
        <w:tc>
          <w:tcPr>
            <w:tcW w:w="220" w:type="dxa"/>
            <w:vAlign w:val="bottom"/>
            <w:tcBorders>
              <w:bottom w:val="single" w:sz="8" w:color="231F20"/>
            </w:tcBorders>
            <w:shd w:val="clear" w:color="auto" w:fill="CFEDF9"/>
          </w:tcPr>
          <w:p>
            <w:pPr>
              <w:spacing w:after="0"/>
              <w:rPr>
                <w:sz w:val="21"/>
                <w:szCs w:val="21"/>
                <w:color w:val="auto"/>
              </w:rPr>
            </w:pPr>
          </w:p>
        </w:tc>
        <w:tc>
          <w:tcPr>
            <w:tcW w:w="12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55,842</w:t>
            </w:r>
          </w:p>
        </w:tc>
        <w:tc>
          <w:tcPr>
            <w:tcW w:w="80" w:type="dxa"/>
            <w:vAlign w:val="bottom"/>
            <w:tcBorders>
              <w:bottom w:val="single" w:sz="8" w:color="CFEDF9"/>
            </w:tcBorders>
            <w:shd w:val="clear" w:color="auto" w:fill="CFEDF9"/>
          </w:tcPr>
          <w:p>
            <w:pPr>
              <w:spacing w:after="0"/>
              <w:rPr>
                <w:sz w:val="21"/>
                <w:szCs w:val="21"/>
                <w:color w:val="auto"/>
              </w:rPr>
            </w:pPr>
          </w:p>
        </w:tc>
        <w:tc>
          <w:tcPr>
            <w:tcW w:w="120" w:type="dxa"/>
            <w:vAlign w:val="bottom"/>
            <w:tcBorders>
              <w:bottom w:val="single" w:sz="8" w:color="CFEDF9"/>
            </w:tcBorders>
            <w:shd w:val="clear" w:color="auto" w:fill="CFEDF9"/>
          </w:tcPr>
          <w:p>
            <w:pPr>
              <w:spacing w:after="0"/>
              <w:rPr>
                <w:sz w:val="21"/>
                <w:szCs w:val="21"/>
                <w:color w:val="auto"/>
              </w:rPr>
            </w:pPr>
          </w:p>
        </w:tc>
        <w:tc>
          <w:tcPr>
            <w:tcW w:w="20" w:type="dxa"/>
            <w:vAlign w:val="bottom"/>
            <w:tcBorders>
              <w:bottom w:val="single" w:sz="8" w:color="231F20"/>
            </w:tcBorders>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spacing w:after="0"/>
              <w:rPr>
                <w:sz w:val="21"/>
                <w:szCs w:val="21"/>
                <w:color w:val="auto"/>
              </w:rPr>
            </w:pPr>
          </w:p>
        </w:tc>
        <w:tc>
          <w:tcPr>
            <w:tcW w:w="8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2,977</w:t>
            </w:r>
          </w:p>
        </w:tc>
        <w:tc>
          <w:tcPr>
            <w:tcW w:w="40" w:type="dxa"/>
            <w:vAlign w:val="bottom"/>
            <w:tcBorders>
              <w:bottom w:val="single" w:sz="8" w:color="CFEDF9"/>
            </w:tcBorders>
            <w:shd w:val="clear" w:color="auto" w:fill="CFEDF9"/>
          </w:tcPr>
          <w:p>
            <w:pPr>
              <w:spacing w:after="0"/>
              <w:rPr>
                <w:sz w:val="21"/>
                <w:szCs w:val="21"/>
                <w:color w:val="auto"/>
              </w:rPr>
            </w:pPr>
          </w:p>
        </w:tc>
        <w:tc>
          <w:tcPr>
            <w:tcW w:w="60" w:type="dxa"/>
            <w:vAlign w:val="bottom"/>
            <w:tcBorders>
              <w:bottom w:val="single" w:sz="8" w:color="CFEDF9"/>
            </w:tcBorders>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14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b w:val="1"/>
                <w:bCs w:val="1"/>
                <w:color w:val="231F20"/>
              </w:rPr>
              <w:t>Total Investments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231F20"/>
            </w:tcBorders>
          </w:tcPr>
          <w:p>
            <w:pPr>
              <w:spacing w:after="0" w:line="200" w:lineRule="exact"/>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231F20"/>
              </w:rPr>
              <w:t>3,251,012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231F20"/>
            </w:tcBorders>
          </w:tcPr>
          <w:p>
            <w:pPr>
              <w:jc w:val="right"/>
              <w:ind w:right="20"/>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3,283,065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31F20"/>
            </w:tcBorders>
            <w:gridSpan w:val="2"/>
          </w:tcPr>
          <w:p>
            <w:pPr>
              <w:spacing w:after="0" w:line="200" w:lineRule="exact"/>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32,053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 xml:space="preserve">Amortized Cost </w:t>
            </w:r>
            <w:r>
              <w:rPr>
                <w:rFonts w:ascii="Times New Roman" w:cs="Times New Roman" w:eastAsia="Times New Roman" w:hAnsi="Times New Roman"/>
                <w:sz w:val="10"/>
                <w:szCs w:val="10"/>
                <w:b w:val="1"/>
                <w:bCs w:val="1"/>
                <w:color w:val="231F20"/>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Net Unrealized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w w:val="97"/>
              </w:rPr>
              <w:t>Gain (Loss)</w:t>
            </w:r>
          </w:p>
        </w:tc>
        <w:tc>
          <w:tcPr>
            <w:tcW w:w="0" w:type="dxa"/>
            <w:vAlign w:val="bottom"/>
          </w:tcPr>
          <w:p>
            <w:pPr>
              <w:spacing w:after="0"/>
              <w:rPr>
                <w:sz w:val="1"/>
                <w:szCs w:val="1"/>
                <w:color w:val="auto"/>
              </w:rPr>
            </w:pPr>
          </w:p>
        </w:tc>
      </w:tr>
      <w:tr>
        <w:trPr>
          <w:trHeight w:val="220"/>
        </w:trPr>
        <w:tc>
          <w:tcPr>
            <w:tcW w:w="414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First-lien debt investments</w:t>
            </w:r>
          </w:p>
        </w:tc>
        <w:tc>
          <w:tcPr>
            <w:tcW w:w="18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280" w:type="dxa"/>
            <w:vAlign w:val="bottom"/>
            <w:tcBorders>
              <w:top w:val="single" w:sz="8" w:color="231F20"/>
            </w:tcBorders>
            <w:gridSpan w:val="2"/>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w:t>
            </w:r>
          </w:p>
        </w:tc>
        <w:tc>
          <w:tcPr>
            <w:tcW w:w="9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2,529,317</w:t>
            </w:r>
          </w:p>
        </w:tc>
        <w:tc>
          <w:tcPr>
            <w:tcW w:w="6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220" w:type="dxa"/>
            <w:vAlign w:val="bottom"/>
            <w:tcBorders>
              <w:top w:val="single" w:sz="8" w:color="231F20"/>
            </w:tcBorders>
            <w:shd w:val="clear" w:color="auto" w:fill="CFEDF9"/>
          </w:tcPr>
          <w:p>
            <w:pPr>
              <w:spacing w:after="0"/>
              <w:rPr>
                <w:sz w:val="19"/>
                <w:szCs w:val="19"/>
                <w:color w:val="auto"/>
              </w:rPr>
            </w:pPr>
          </w:p>
        </w:tc>
        <w:tc>
          <w:tcPr>
            <w:tcW w:w="1300" w:type="dxa"/>
            <w:vAlign w:val="bottom"/>
            <w:tcBorders>
              <w:top w:val="single" w:sz="8" w:color="231F20"/>
            </w:tcBorders>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2,517,894</w:t>
            </w:r>
          </w:p>
        </w:tc>
        <w:tc>
          <w:tcPr>
            <w:tcW w:w="140" w:type="dxa"/>
            <w:vAlign w:val="bottom"/>
            <w:tcBorders>
              <w:top w:val="single" w:sz="8" w:color="CFEDF9"/>
            </w:tcBorders>
            <w:gridSpan w:val="2"/>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w w:val="99"/>
                <w:shd w:val="clear" w:color="auto" w:fill="CFEDF9"/>
              </w:rPr>
              <w:t>$</w:t>
            </w:r>
          </w:p>
        </w:tc>
        <w:tc>
          <w:tcPr>
            <w:tcW w:w="920" w:type="dxa"/>
            <w:vAlign w:val="bottom"/>
            <w:tcBorders>
              <w:top w:val="single" w:sz="8" w:color="231F20"/>
            </w:tcBorders>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(11,423</w:t>
            </w:r>
          </w:p>
        </w:tc>
        <w:tc>
          <w:tcPr>
            <w:tcW w:w="60" w:type="dxa"/>
            <w:vAlign w:val="bottom"/>
            <w:tcBorders>
              <w:top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CFEDF9"/>
              </w:rPr>
              <w:t>)</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231F20"/>
              </w:rPr>
              <w:t>Second-lien debt investments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42,743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40,762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Mezzanine debt investments</w:t>
            </w:r>
          </w:p>
        </w:tc>
        <w:tc>
          <w:tcPr>
            <w:tcW w:w="18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7,497</w:t>
            </w:r>
          </w:p>
        </w:tc>
        <w:tc>
          <w:tcPr>
            <w:tcW w:w="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10,158</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9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2,661</w:t>
            </w:r>
          </w:p>
        </w:tc>
        <w:tc>
          <w:tcPr>
            <w:tcW w:w="6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231F20"/>
              </w:rPr>
              <w:t>Equity and other investments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142,103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167,685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Structured credit investments</w:t>
            </w:r>
          </w:p>
        </w:tc>
        <w:tc>
          <w:tcPr>
            <w:tcW w:w="18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53,066</w:t>
            </w:r>
          </w:p>
        </w:tc>
        <w:tc>
          <w:tcPr>
            <w:tcW w:w="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51,426</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9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(1,640)</w:t>
            </w:r>
          </w:p>
        </w:tc>
        <w:tc>
          <w:tcPr>
            <w:tcW w:w="0" w:type="dxa"/>
            <w:vAlign w:val="bottom"/>
          </w:tcPr>
          <w:p>
            <w:pPr>
              <w:spacing w:after="0"/>
              <w:rPr>
                <w:sz w:val="1"/>
                <w:szCs w:val="1"/>
                <w:color w:val="auto"/>
              </w:rPr>
            </w:pPr>
          </w:p>
        </w:tc>
      </w:tr>
      <w:tr>
        <w:trPr>
          <w:trHeight w:val="220"/>
        </w:trPr>
        <w:tc>
          <w:tcPr>
            <w:tcW w:w="41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Investments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231F20"/>
              <w:bottom w:val="single" w:sz="8" w:color="231F20"/>
            </w:tcBorders>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2,774,726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220" w:type="dxa"/>
            <w:vAlign w:val="bottom"/>
            <w:tcBorders>
              <w:top w:val="single" w:sz="8" w:color="231F20"/>
              <w:bottom w:val="single" w:sz="8" w:color="231F20"/>
            </w:tcBorders>
          </w:tcPr>
          <w:p>
            <w:pPr>
              <w:spacing w:after="0"/>
              <w:rPr>
                <w:sz w:val="19"/>
                <w:szCs w:val="19"/>
                <w:color w:val="auto"/>
              </w:rPr>
            </w:pPr>
          </w:p>
        </w:tc>
        <w:tc>
          <w:tcPr>
            <w:tcW w:w="1300" w:type="dxa"/>
            <w:vAlign w:val="bottom"/>
            <w:tcBorders>
              <w:top w:val="single" w:sz="8" w:color="231F20"/>
              <w:bottom w:val="single" w:sz="8" w:color="231F2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2,787,925</w:t>
            </w:r>
          </w:p>
        </w:tc>
        <w:tc>
          <w:tcPr>
            <w:tcW w:w="140" w:type="dxa"/>
            <w:vAlign w:val="bottom"/>
            <w:gridSpan w:val="2"/>
          </w:tcPr>
          <w:p>
            <w:pPr>
              <w:spacing w:after="0"/>
              <w:rPr>
                <w:sz w:val="19"/>
                <w:szCs w:val="19"/>
                <w:color w:val="auto"/>
              </w:rPr>
            </w:pPr>
          </w:p>
        </w:tc>
        <w:tc>
          <w:tcPr>
            <w:tcW w:w="120" w:type="dxa"/>
            <w:vAlign w:val="bottom"/>
            <w:tcBorders>
              <w:top w:val="single" w:sz="8" w:color="231F20"/>
              <w:bottom w:val="single" w:sz="8" w:color="231F20"/>
            </w:tcBorders>
          </w:tcPr>
          <w:p>
            <w:pPr>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920" w:type="dxa"/>
            <w:vAlign w:val="bottom"/>
            <w:tcBorders>
              <w:top w:val="single" w:sz="8" w:color="231F20"/>
              <w:bottom w:val="single" w:sz="8" w:color="231F2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260" w:hanging="500"/>
        <w:spacing w:after="0" w:line="277" w:lineRule="auto"/>
        <w:tabs>
          <w:tab w:leader="none" w:pos="500"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amortized cost represents the original cost adjusted for the amortization of discounts or premiums, as applicable, on debt investments using the effective interest method.</w:t>
      </w:r>
    </w:p>
    <w:p>
      <w:pPr>
        <w:sectPr>
          <w:pgSz w:w="12240" w:h="15840" w:orient="portrait"/>
          <w:cols w:equalWidth="0" w:num="1">
            <w:col w:w="10760"/>
          </w:cols>
          <w:pgMar w:left="720" w:top="922"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F-27</w:t>
      </w:r>
    </w:p>
    <w:p>
      <w:pPr>
        <w:sectPr>
          <w:pgSz w:w="12240" w:h="15840" w:orient="portrait"/>
          <w:cols w:equalWidth="0" w:num="1">
            <w:col w:w="10760"/>
          </w:cols>
          <w:pgMar w:left="720" w:top="922" w:right="760" w:bottom="186" w:gutter="0" w:footer="0" w:header="0"/>
          <w:type w:val="continuous"/>
        </w:sectPr>
      </w:pPr>
    </w:p>
    <w:bookmarkStart w:id="112" w:name="page113"/>
    <w:bookmarkEnd w:id="112"/>
    <w:p>
      <w:pPr>
        <w:ind w:left="240"/>
        <w:spacing w:after="0"/>
        <w:rPr>
          <w:sz w:val="20"/>
          <w:szCs w:val="20"/>
          <w:color w:val="auto"/>
        </w:rPr>
      </w:pPr>
      <w:r>
        <w:rPr>
          <w:rFonts w:ascii="Times New Roman" w:cs="Times New Roman" w:eastAsia="Times New Roman" w:hAnsi="Times New Roman"/>
          <w:sz w:val="20"/>
          <w:szCs w:val="20"/>
          <w:color w:val="231F20"/>
        </w:rPr>
        <w:t>The industry composition of investments at fair value at December 31, 2023 and 2022 is as follows:</w:t>
      </w:r>
    </w:p>
    <w:p>
      <w:pPr>
        <w:spacing w:after="0" w:line="276"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CFEDF9"/>
            </w:tcBorders>
          </w:tcPr>
          <w:p>
            <w:pPr>
              <w:spacing w:after="0"/>
              <w:rPr>
                <w:sz w:val="17"/>
                <w:szCs w:val="17"/>
                <w:color w:val="auto"/>
              </w:rPr>
            </w:pPr>
          </w:p>
        </w:tc>
        <w:tc>
          <w:tcPr>
            <w:tcW w:w="80" w:type="dxa"/>
            <w:vAlign w:val="bottom"/>
            <w:tcBorders>
              <w:bottom w:val="single" w:sz="8" w:color="CFEDF9"/>
            </w:tcBorders>
          </w:tcPr>
          <w:p>
            <w:pPr>
              <w:spacing w:after="0"/>
              <w:rPr>
                <w:sz w:val="17"/>
                <w:szCs w:val="17"/>
                <w:color w:val="auto"/>
              </w:rPr>
            </w:pPr>
          </w:p>
        </w:tc>
        <w:tc>
          <w:tcPr>
            <w:tcW w:w="106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60" w:type="dxa"/>
            <w:vAlign w:val="bottom"/>
          </w:tcPr>
          <w:p>
            <w:pPr>
              <w:spacing w:after="0"/>
              <w:rPr>
                <w:sz w:val="17"/>
                <w:szCs w:val="17"/>
                <w:color w:val="auto"/>
              </w:rPr>
            </w:pPr>
          </w:p>
        </w:tc>
        <w:tc>
          <w:tcPr>
            <w:tcW w:w="106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Automotive</w:t>
            </w:r>
          </w:p>
        </w:tc>
        <w:tc>
          <w:tcPr>
            <w:tcW w:w="80" w:type="dxa"/>
            <w:vAlign w:val="bottom"/>
            <w:shd w:val="clear" w:color="auto" w:fill="CFEDF9"/>
          </w:tcPr>
          <w:p>
            <w:pPr>
              <w:spacing w:after="0"/>
              <w:rPr>
                <w:sz w:val="19"/>
                <w:szCs w:val="19"/>
                <w:color w:val="auto"/>
              </w:rPr>
            </w:pPr>
          </w:p>
        </w:tc>
        <w:tc>
          <w:tcPr>
            <w:tcW w:w="132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1.3%</w:t>
            </w:r>
          </w:p>
        </w:tc>
        <w:tc>
          <w:tcPr>
            <w:tcW w:w="12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Business Services</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0" w:type="dxa"/>
            <w:vAlign w:val="bottom"/>
          </w:tcPr>
          <w:p>
            <w:pPr>
              <w:spacing w:after="0"/>
              <w:rPr>
                <w:sz w:val="1"/>
                <w:szCs w:val="1"/>
                <w:color w:val="auto"/>
              </w:rPr>
            </w:pPr>
          </w:p>
        </w:tc>
      </w:tr>
      <w:tr>
        <w:trPr>
          <w:trHeight w:val="230"/>
        </w:trPr>
        <w:tc>
          <w:tcPr>
            <w:tcW w:w="4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Chemicals</w:t>
            </w:r>
          </w:p>
        </w:tc>
        <w:tc>
          <w:tcPr>
            <w:tcW w:w="14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0.8%</w:t>
            </w:r>
          </w:p>
        </w:tc>
        <w:tc>
          <w:tcPr>
            <w:tcW w:w="1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Communications</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230"/>
        </w:trPr>
        <w:tc>
          <w:tcPr>
            <w:tcW w:w="4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Education</w:t>
            </w:r>
          </w:p>
        </w:tc>
        <w:tc>
          <w:tcPr>
            <w:tcW w:w="14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5.3%</w:t>
            </w:r>
          </w:p>
        </w:tc>
        <w:tc>
          <w:tcPr>
            <w:tcW w:w="1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Financial Services</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11.1%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0" w:type="dxa"/>
            <w:vAlign w:val="bottom"/>
          </w:tcPr>
          <w:p>
            <w:pPr>
              <w:spacing w:after="0"/>
              <w:rPr>
                <w:sz w:val="1"/>
                <w:szCs w:val="1"/>
                <w:color w:val="auto"/>
              </w:rPr>
            </w:pPr>
          </w:p>
        </w:tc>
      </w:tr>
      <w:tr>
        <w:trPr>
          <w:trHeight w:val="230"/>
        </w:trPr>
        <w:tc>
          <w:tcPr>
            <w:tcW w:w="4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Healthcare</w:t>
            </w:r>
          </w:p>
        </w:tc>
        <w:tc>
          <w:tcPr>
            <w:tcW w:w="14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8.9%</w:t>
            </w:r>
          </w:p>
        </w:tc>
        <w:tc>
          <w:tcPr>
            <w:tcW w:w="1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Hotel, Gaming and Leisure</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3.7%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230"/>
        </w:trPr>
        <w:tc>
          <w:tcPr>
            <w:tcW w:w="4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Human Resource Support Services</w:t>
            </w:r>
          </w:p>
        </w:tc>
        <w:tc>
          <w:tcPr>
            <w:tcW w:w="14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11.2%</w:t>
            </w:r>
          </w:p>
        </w:tc>
        <w:tc>
          <w:tcPr>
            <w:tcW w:w="1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11.9%</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Insurance</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0.1%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4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Internet Services</w:t>
            </w:r>
          </w:p>
        </w:tc>
        <w:tc>
          <w:tcPr>
            <w:tcW w:w="14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15.1%</w:t>
            </w:r>
          </w:p>
        </w:tc>
        <w:tc>
          <w:tcPr>
            <w:tcW w:w="1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Manufacturing</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30"/>
        </w:trPr>
        <w:tc>
          <w:tcPr>
            <w:tcW w:w="4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Marketing Services</w:t>
            </w:r>
          </w:p>
        </w:tc>
        <w:tc>
          <w:tcPr>
            <w:tcW w:w="14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0.3%</w:t>
            </w:r>
          </w:p>
        </w:tc>
        <w:tc>
          <w:tcPr>
            <w:tcW w:w="1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Office Products</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30"/>
        </w:trPr>
        <w:tc>
          <w:tcPr>
            <w:tcW w:w="4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Oil, Gas and Consumable Fuels</w:t>
            </w:r>
          </w:p>
        </w:tc>
        <w:tc>
          <w:tcPr>
            <w:tcW w:w="140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4.7%</w:t>
            </w:r>
          </w:p>
        </w:tc>
        <w:tc>
          <w:tcPr>
            <w:tcW w:w="1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0" w:type="dxa"/>
            <w:vAlign w:val="bottom"/>
          </w:tcPr>
          <w:p>
            <w:pPr>
              <w:spacing w:after="0"/>
              <w:rPr>
                <w:sz w:val="1"/>
                <w:szCs w:val="1"/>
                <w:color w:val="auto"/>
              </w:rPr>
            </w:pPr>
          </w:p>
        </w:tc>
      </w:tr>
      <w:tr>
        <w:trPr>
          <w:trHeight w:val="230"/>
        </w:trPr>
        <w:tc>
          <w:tcPr>
            <w:tcW w:w="4940" w:type="dxa"/>
            <w:vAlign w:val="bottom"/>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Pharmaceuticals</w:t>
            </w:r>
            <w:r>
              <w:rPr>
                <w:rFonts w:ascii="Times New Roman" w:cs="Times New Roman" w:eastAsia="Times New Roman" w:hAnsi="Times New Roman"/>
                <w:sz w:val="26"/>
                <w:szCs w:val="26"/>
                <w:color w:val="231F20"/>
                <w:vertAlign w:val="superscript"/>
              </w:rPr>
              <w:t>(1)</w:t>
            </w:r>
          </w:p>
        </w:tc>
        <w:tc>
          <w:tcPr>
            <w:tcW w:w="80" w:type="dxa"/>
            <w:vAlign w:val="bottom"/>
            <w:shd w:val="clear" w:color="auto" w:fill="CFEDF9"/>
          </w:tcPr>
          <w:p>
            <w:pPr>
              <w:spacing w:after="0"/>
              <w:rPr>
                <w:sz w:val="19"/>
                <w:szCs w:val="19"/>
                <w:color w:val="auto"/>
              </w:rPr>
            </w:pPr>
          </w:p>
        </w:tc>
        <w:tc>
          <w:tcPr>
            <w:tcW w:w="1320" w:type="dxa"/>
            <w:vAlign w:val="bottom"/>
            <w:gridSpan w:val="2"/>
            <w:shd w:val="clear" w:color="auto" w:fill="CFEDF9"/>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Retail and Consumer Products</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0" w:type="dxa"/>
            <w:vAlign w:val="bottom"/>
          </w:tcPr>
          <w:p>
            <w:pPr>
              <w:spacing w:after="0"/>
              <w:rPr>
                <w:sz w:val="1"/>
                <w:szCs w:val="1"/>
                <w:color w:val="auto"/>
              </w:rPr>
            </w:pPr>
          </w:p>
        </w:tc>
      </w:tr>
      <w:tr>
        <w:trPr>
          <w:trHeight w:val="230"/>
        </w:trPr>
        <w:tc>
          <w:tcPr>
            <w:tcW w:w="4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Transportation</w:t>
            </w:r>
          </w:p>
        </w:tc>
        <w:tc>
          <w:tcPr>
            <w:tcW w:w="80" w:type="dxa"/>
            <w:vAlign w:val="bottom"/>
            <w:shd w:val="clear" w:color="auto" w:fill="CFEDF9"/>
          </w:tcPr>
          <w:p>
            <w:pPr>
              <w:spacing w:after="0"/>
              <w:rPr>
                <w:sz w:val="19"/>
                <w:szCs w:val="19"/>
                <w:color w:val="auto"/>
              </w:rPr>
            </w:pPr>
          </w:p>
        </w:tc>
        <w:tc>
          <w:tcPr>
            <w:tcW w:w="13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2.1%</w:t>
            </w:r>
          </w:p>
        </w:tc>
        <w:tc>
          <w:tcPr>
            <w:tcW w:w="1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0"/>
        </w:trPr>
        <w:tc>
          <w:tcPr>
            <w:tcW w:w="4940" w:type="dxa"/>
            <w:vAlign w:val="bottom"/>
            <w:tcBorders>
              <w:top w:val="single" w:sz="8" w:color="CFEDF9"/>
            </w:tcBorders>
            <w:vMerge w:val="restart"/>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80" w:type="dxa"/>
            <w:vAlign w:val="bottom"/>
            <w:tcBorders>
              <w:top w:val="single" w:sz="8" w:color="CFEDF9"/>
            </w:tcBorders>
            <w:vMerge w:val="restart"/>
          </w:tcPr>
          <w:p>
            <w:pPr>
              <w:spacing w:after="0" w:line="20" w:lineRule="exact"/>
              <w:rPr>
                <w:sz w:val="1"/>
                <w:szCs w:val="1"/>
                <w:color w:val="auto"/>
              </w:rPr>
            </w:pPr>
          </w:p>
        </w:tc>
        <w:tc>
          <w:tcPr>
            <w:tcW w:w="1060" w:type="dxa"/>
            <w:vAlign w:val="bottom"/>
            <w:tcBorders>
              <w:top w:val="single" w:sz="8" w:color="231F20"/>
            </w:tcBorders>
            <w:shd w:val="clear" w:color="auto" w:fill="231F20"/>
          </w:tcPr>
          <w:p>
            <w:pPr>
              <w:spacing w:after="0" w:line="20" w:lineRule="exact"/>
              <w:rPr>
                <w:sz w:val="1"/>
                <w:szCs w:val="1"/>
                <w:color w:val="auto"/>
              </w:rPr>
            </w:pPr>
          </w:p>
        </w:tc>
        <w:tc>
          <w:tcPr>
            <w:tcW w:w="260" w:type="dxa"/>
            <w:vAlign w:val="bottom"/>
            <w:tcBorders>
              <w:top w:val="single" w:sz="8" w:color="CFEDF9"/>
            </w:tcBorders>
          </w:tcPr>
          <w:p>
            <w:pPr>
              <w:spacing w:after="0" w:line="20" w:lineRule="exact"/>
              <w:rPr>
                <w:sz w:val="1"/>
                <w:szCs w:val="1"/>
                <w:color w:val="auto"/>
              </w:rPr>
            </w:pPr>
          </w:p>
        </w:tc>
        <w:tc>
          <w:tcPr>
            <w:tcW w:w="106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CFED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9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32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20"/>
                <w:szCs w:val="20"/>
                <w:color w:val="231F20"/>
              </w:rPr>
              <w:t>100.0%</w:t>
            </w:r>
          </w:p>
        </w:tc>
        <w:tc>
          <w:tcPr>
            <w:tcW w:w="122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4218940</wp:posOffset>
                </wp:positionH>
                <wp:positionV relativeFrom="paragraph">
                  <wp:posOffset>-2955290</wp:posOffset>
                </wp:positionV>
                <wp:extent cx="672465" cy="14605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465" cy="146050"/>
                        </a:xfrm>
                        <a:prstGeom prst="rect">
                          <a:avLst/>
                        </a:prstGeom>
                        <a:solidFill>
                          <a:srgbClr val="CFEDF9"/>
                        </a:solidFill>
                      </wps:spPr>
                      <wps:bodyPr/>
                    </wps:wsp>
                  </a:graphicData>
                </a:graphic>
              </wp:anchor>
            </w:drawing>
          </mc:Choice>
          <mc:Fallback>
            <w:pict>
              <v:rect id="Shape 48" o:spid="_x0000_s1073" style="position:absolute;margin-left:332.2pt;margin-top:-232.6999pt;width:52.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4891405</wp:posOffset>
                </wp:positionH>
                <wp:positionV relativeFrom="paragraph">
                  <wp:posOffset>-2961640</wp:posOffset>
                </wp:positionV>
                <wp:extent cx="158750" cy="1524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0" cy="152400"/>
                        </a:xfrm>
                        <a:prstGeom prst="rect">
                          <a:avLst/>
                        </a:prstGeom>
                        <a:solidFill>
                          <a:srgbClr val="CFEDF9"/>
                        </a:solidFill>
                      </wps:spPr>
                      <wps:bodyPr/>
                    </wps:wsp>
                  </a:graphicData>
                </a:graphic>
              </wp:anchor>
            </w:drawing>
          </mc:Choice>
          <mc:Fallback>
            <w:pict>
              <v:rect id="Shape 49" o:spid="_x0000_s1074" style="position:absolute;margin-left:385.15pt;margin-top:-233.1999pt;width:12.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5050155</wp:posOffset>
                </wp:positionH>
                <wp:positionV relativeFrom="paragraph">
                  <wp:posOffset>-2955290</wp:posOffset>
                </wp:positionV>
                <wp:extent cx="673100" cy="14605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100" cy="146050"/>
                        </a:xfrm>
                        <a:prstGeom prst="rect">
                          <a:avLst/>
                        </a:prstGeom>
                        <a:solidFill>
                          <a:srgbClr val="CFEDF9"/>
                        </a:solidFill>
                      </wps:spPr>
                      <wps:bodyPr/>
                    </wps:wsp>
                  </a:graphicData>
                </a:graphic>
              </wp:anchor>
            </w:drawing>
          </mc:Choice>
          <mc:Fallback>
            <w:pict>
              <v:rect id="Shape 50" o:spid="_x0000_s1075" style="position:absolute;margin-left:397.65pt;margin-top:-232.6999pt;width:5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pacing w:after="0" w:line="81"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20"/>
          <w:szCs w:val="20"/>
          <w:color w:val="231F20"/>
        </w:rPr>
        <w:t>(1)</w:t>
        <w:tab/>
        <w:t>Value sums to less than 0.1%</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geographic composition of investments at fair value at December 31, 2023 and 2022 is as follows:</w:t>
      </w:r>
    </w:p>
    <w:p>
      <w:pPr>
        <w:spacing w:after="0" w:line="276"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160" w:type="dxa"/>
            <w:vAlign w:val="bottom"/>
            <w:gridSpan w:val="2"/>
          </w:tcPr>
          <w:p>
            <w:pPr>
              <w:jc w:val="right"/>
              <w:ind w:right="28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60" w:type="dxa"/>
            <w:vAlign w:val="bottom"/>
          </w:tcPr>
          <w:p>
            <w:pPr>
              <w:spacing w:after="0"/>
              <w:rPr>
                <w:sz w:val="17"/>
                <w:szCs w:val="17"/>
                <w:color w:val="auto"/>
              </w:rPr>
            </w:pPr>
          </w:p>
        </w:tc>
        <w:tc>
          <w:tcPr>
            <w:tcW w:w="106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2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United States</w:t>
            </w:r>
          </w:p>
        </w:tc>
        <w:tc>
          <w:tcPr>
            <w:tcW w:w="80" w:type="dxa"/>
            <w:vAlign w:val="bottom"/>
            <w:tcBorders>
              <w:top w:val="single" w:sz="8" w:color="CFEDF9"/>
            </w:tcBorders>
            <w:shd w:val="clear" w:color="auto" w:fill="CFEDF9"/>
          </w:tcPr>
          <w:p>
            <w:pPr>
              <w:spacing w:after="0"/>
              <w:rPr>
                <w:sz w:val="19"/>
                <w:szCs w:val="19"/>
                <w:color w:val="auto"/>
              </w:rPr>
            </w:pPr>
          </w:p>
        </w:tc>
        <w:tc>
          <w:tcPr>
            <w:tcW w:w="1080" w:type="dxa"/>
            <w:vAlign w:val="bottom"/>
            <w:tcBorders>
              <w:top w:val="single" w:sz="8" w:color="231F20"/>
            </w:tcBorders>
            <w:shd w:val="clear" w:color="auto" w:fill="CFEDF9"/>
          </w:tcPr>
          <w:p>
            <w:pPr>
              <w:spacing w:after="0"/>
              <w:rPr>
                <w:sz w:val="19"/>
                <w:szCs w:val="19"/>
                <w:color w:val="auto"/>
              </w:rPr>
            </w:pPr>
          </w:p>
        </w:tc>
        <w:tc>
          <w:tcPr>
            <w:tcW w:w="260" w:type="dxa"/>
            <w:vAlign w:val="bottom"/>
            <w:tcBorders>
              <w:top w:val="single" w:sz="8" w:color="CFEDF9"/>
            </w:tcBorders>
            <w:shd w:val="clear" w:color="auto" w:fill="CFEDF9"/>
          </w:tcPr>
          <w:p>
            <w:pPr>
              <w:spacing w:after="0"/>
              <w:rPr>
                <w:sz w:val="19"/>
                <w:szCs w:val="19"/>
                <w:color w:val="auto"/>
              </w:rPr>
            </w:pPr>
          </w:p>
        </w:tc>
        <w:tc>
          <w:tcPr>
            <w:tcW w:w="1060" w:type="dxa"/>
            <w:vAlign w:val="bottom"/>
            <w:tcBorders>
              <w:top w:val="single" w:sz="8" w:color="231F20"/>
            </w:tcBorders>
            <w:shd w:val="clear" w:color="auto" w:fill="CFEDF9"/>
          </w:tcPr>
          <w:p>
            <w:pPr>
              <w:spacing w:after="0"/>
              <w:rPr>
                <w:sz w:val="19"/>
                <w:szCs w:val="19"/>
                <w:color w:val="auto"/>
              </w:rPr>
            </w:pPr>
          </w:p>
        </w:tc>
        <w:tc>
          <w:tcPr>
            <w:tcW w:w="18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Midwest</w:t>
            </w:r>
          </w:p>
        </w:tc>
        <w:tc>
          <w:tcPr>
            <w:tcW w:w="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0" w:type="dxa"/>
            <w:vAlign w:val="bottom"/>
          </w:tcPr>
          <w:p>
            <w:pPr>
              <w:spacing w:after="0"/>
              <w:rPr>
                <w:sz w:val="1"/>
                <w:szCs w:val="1"/>
                <w:color w:val="auto"/>
              </w:rPr>
            </w:pPr>
          </w:p>
        </w:tc>
      </w:tr>
      <w:tr>
        <w:trPr>
          <w:trHeight w:val="230"/>
        </w:trPr>
        <w:tc>
          <w:tcPr>
            <w:tcW w:w="502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Northeast</w:t>
            </w:r>
          </w:p>
        </w:tc>
        <w:tc>
          <w:tcPr>
            <w:tcW w:w="142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25.4%</w:t>
            </w:r>
          </w:p>
        </w:tc>
        <w:tc>
          <w:tcPr>
            <w:tcW w:w="1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0" w:type="dxa"/>
            <w:vAlign w:val="bottom"/>
          </w:tcPr>
          <w:p>
            <w:pPr>
              <w:spacing w:after="0"/>
              <w:rPr>
                <w:sz w:val="1"/>
                <w:szCs w:val="1"/>
                <w:color w:val="auto"/>
              </w:rPr>
            </w:pPr>
          </w:p>
        </w:tc>
      </w:tr>
      <w:tr>
        <w:trPr>
          <w:trHeight w:val="230"/>
        </w:trPr>
        <w:tc>
          <w:tcPr>
            <w:tcW w:w="5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South</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20.7%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0" w:type="dxa"/>
            <w:vAlign w:val="bottom"/>
          </w:tcPr>
          <w:p>
            <w:pPr>
              <w:spacing w:after="0"/>
              <w:rPr>
                <w:sz w:val="1"/>
                <w:szCs w:val="1"/>
                <w:color w:val="auto"/>
              </w:rPr>
            </w:pPr>
          </w:p>
        </w:tc>
      </w:tr>
      <w:tr>
        <w:trPr>
          <w:trHeight w:val="230"/>
        </w:trPr>
        <w:tc>
          <w:tcPr>
            <w:tcW w:w="502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West</w:t>
            </w:r>
          </w:p>
        </w:tc>
        <w:tc>
          <w:tcPr>
            <w:tcW w:w="142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32.0%</w:t>
            </w:r>
          </w:p>
        </w:tc>
        <w:tc>
          <w:tcPr>
            <w:tcW w:w="1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31F20"/>
              </w:rPr>
              <w:t>Australia</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1.8%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30"/>
        </w:trPr>
        <w:tc>
          <w:tcPr>
            <w:tcW w:w="50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Canada</w:t>
            </w:r>
          </w:p>
        </w:tc>
        <w:tc>
          <w:tcPr>
            <w:tcW w:w="142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4.5%</w:t>
            </w:r>
          </w:p>
        </w:tc>
        <w:tc>
          <w:tcPr>
            <w:tcW w:w="1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230"/>
        </w:trPr>
        <w:tc>
          <w:tcPr>
            <w:tcW w:w="502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Finland </w:t>
            </w:r>
            <w:r>
              <w:rPr>
                <w:rFonts w:ascii="Times New Roman" w:cs="Times New Roman" w:eastAsia="Times New Roman" w:hAnsi="Times New Roman"/>
                <w:sz w:val="26"/>
                <w:szCs w:val="26"/>
                <w:color w:val="231F20"/>
                <w:vertAlign w:val="superscript"/>
              </w:rPr>
              <w:t>(1)</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0.0%</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50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Germany</w:t>
            </w:r>
          </w:p>
        </w:tc>
        <w:tc>
          <w:tcPr>
            <w:tcW w:w="142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0.3%</w:t>
            </w:r>
          </w:p>
        </w:tc>
        <w:tc>
          <w:tcPr>
            <w:tcW w:w="1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31F20"/>
              </w:rPr>
              <w:t>Luxembourg</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0.1%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30"/>
        </w:trPr>
        <w:tc>
          <w:tcPr>
            <w:tcW w:w="50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Netherlands</w:t>
            </w:r>
          </w:p>
        </w:tc>
        <w:tc>
          <w:tcPr>
            <w:tcW w:w="1420" w:type="dxa"/>
            <w:vAlign w:val="bottom"/>
            <w:gridSpan w:val="3"/>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0.1%</w:t>
            </w:r>
          </w:p>
        </w:tc>
        <w:tc>
          <w:tcPr>
            <w:tcW w:w="1240" w:type="dxa"/>
            <w:vAlign w:val="bottom"/>
            <w:gridSpan w:val="2"/>
            <w:shd w:val="clear" w:color="auto" w:fill="CFEDF9"/>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31F20"/>
              </w:rPr>
              <w:t>Norway</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0" w:type="dxa"/>
            <w:vAlign w:val="bottom"/>
          </w:tcPr>
          <w:p>
            <w:pPr>
              <w:spacing w:after="0"/>
              <w:rPr>
                <w:sz w:val="1"/>
                <w:szCs w:val="1"/>
                <w:color w:val="auto"/>
              </w:rPr>
            </w:pPr>
          </w:p>
        </w:tc>
      </w:tr>
      <w:tr>
        <w:trPr>
          <w:trHeight w:val="230"/>
        </w:trPr>
        <w:tc>
          <w:tcPr>
            <w:tcW w:w="50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United Kingdom</w:t>
            </w:r>
          </w:p>
        </w:tc>
        <w:tc>
          <w:tcPr>
            <w:tcW w:w="80" w:type="dxa"/>
            <w:vAlign w:val="bottom"/>
            <w:shd w:val="clear" w:color="auto" w:fill="CFEDF9"/>
          </w:tcPr>
          <w:p>
            <w:pPr>
              <w:spacing w:after="0"/>
              <w:rPr>
                <w:sz w:val="19"/>
                <w:szCs w:val="19"/>
                <w:color w:val="auto"/>
              </w:rPr>
            </w:pPr>
          </w:p>
        </w:tc>
        <w:tc>
          <w:tcPr>
            <w:tcW w:w="13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2.9%</w:t>
            </w:r>
          </w:p>
        </w:tc>
        <w:tc>
          <w:tcPr>
            <w:tcW w:w="1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80" w:type="dxa"/>
            <w:vAlign w:val="bottom"/>
            <w:vMerge w:val="restart"/>
          </w:tcPr>
          <w:p>
            <w:pPr>
              <w:spacing w:after="0" w:line="20" w:lineRule="exact"/>
              <w:rPr>
                <w:sz w:val="1"/>
                <w:szCs w:val="1"/>
                <w:color w:val="auto"/>
              </w:rPr>
            </w:pPr>
          </w:p>
        </w:tc>
        <w:tc>
          <w:tcPr>
            <w:tcW w:w="108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34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12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980" w:hanging="491"/>
        <w:spacing w:after="0"/>
        <w:tabs>
          <w:tab w:leader="none" w:pos="980" w:val="left"/>
        </w:tabs>
        <w:numPr>
          <w:ilvl w:val="1"/>
          <w:numId w:val="9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Value sums to less than 0.1%</w:t>
      </w:r>
    </w:p>
    <w:p>
      <w:pPr>
        <w:spacing w:after="0" w:line="356" w:lineRule="exact"/>
        <w:rPr>
          <w:rFonts w:ascii="Times New Roman" w:cs="Times New Roman" w:eastAsia="Times New Roman" w:hAnsi="Times New Roman"/>
          <w:sz w:val="20"/>
          <w:szCs w:val="20"/>
          <w:color w:val="231F20"/>
        </w:rPr>
      </w:pPr>
    </w:p>
    <w:p>
      <w:pPr>
        <w:ind w:left="200" w:hanging="200"/>
        <w:spacing w:after="0"/>
        <w:tabs>
          <w:tab w:leader="none" w:pos="200" w:val="left"/>
        </w:tabs>
        <w:numPr>
          <w:ilvl w:val="0"/>
          <w:numId w:val="9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Derivatives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Rate Swaps</w:t>
      </w:r>
    </w:p>
    <w:p>
      <w:pPr>
        <w:spacing w:after="0" w:line="238"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ectPr>
          <w:pgSz w:w="12240" w:h="15840" w:orient="portrait"/>
          <w:cols w:equalWidth="0" w:num="1">
            <w:col w:w="10620"/>
          </w:cols>
          <w:pgMar w:left="720" w:top="930" w:right="9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231F20"/>
        </w:rPr>
        <w:t>F-28</w:t>
      </w:r>
    </w:p>
    <w:p>
      <w:pPr>
        <w:sectPr>
          <w:pgSz w:w="12240" w:h="15840" w:orient="portrait"/>
          <w:cols w:equalWidth="0" w:num="1">
            <w:col w:w="10620"/>
          </w:cols>
          <w:pgMar w:left="720" w:top="930" w:right="900" w:bottom="186" w:gutter="0" w:footer="0" w:header="0"/>
          <w:type w:val="continuous"/>
        </w:sectPr>
      </w:pPr>
    </w:p>
    <w:bookmarkStart w:id="113" w:name="page114"/>
    <w:bookmarkEnd w:id="113"/>
    <w:p>
      <w:pPr>
        <w:ind w:right="280" w:firstLine="245"/>
        <w:spacing w:after="0" w:line="258" w:lineRule="auto"/>
        <w:rPr>
          <w:sz w:val="20"/>
          <w:szCs w:val="20"/>
          <w:color w:val="auto"/>
        </w:rPr>
      </w:pPr>
      <w:r>
        <w:rPr>
          <w:rFonts w:ascii="Times New Roman" w:cs="Times New Roman" w:eastAsia="Times New Roman" w:hAnsi="Times New Roman"/>
          <w:sz w:val="20"/>
          <w:szCs w:val="20"/>
          <w:color w:val="231F20"/>
        </w:rPr>
        <w:t>Cash flows related to the Company's derivatives are included within operating activities on the Consolidated Statements of Cash Flows. The following tables present the amounts paid and received on the Company’s interest rate swap transactions for the year ended December 31,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231F20"/>
              </w:rPr>
              <w:t>Maturity Date</w:t>
            </w:r>
          </w:p>
        </w:tc>
        <w:tc>
          <w:tcPr>
            <w:tcW w:w="120" w:type="dxa"/>
            <w:vAlign w:val="bottom"/>
          </w:tcPr>
          <w:p>
            <w:pPr>
              <w:spacing w:after="0"/>
              <w:rPr>
                <w:sz w:val="17"/>
                <w:szCs w:val="17"/>
                <w:color w:val="auto"/>
              </w:rPr>
            </w:pPr>
          </w:p>
        </w:tc>
        <w:tc>
          <w:tcPr>
            <w:tcW w:w="140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231F20"/>
              </w:rPr>
              <w:t>Notional Amount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3400" w:type="dxa"/>
            <w:vAlign w:val="bottom"/>
            <w:tcBorders>
              <w:bottom w:val="single" w:sz="8" w:color="231F20"/>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 Ended December 31, 2023</w:t>
            </w:r>
          </w:p>
        </w:tc>
        <w:tc>
          <w:tcPr>
            <w:tcW w:w="8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231F20"/>
              </w:rPr>
              <w:t>Paid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231F20"/>
              </w:rPr>
              <w:t>Received</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231F20"/>
              </w:rPr>
              <w:t>Net</w:t>
            </w:r>
          </w:p>
        </w:tc>
        <w:tc>
          <w:tcPr>
            <w:tcW w:w="0" w:type="dxa"/>
            <w:vAlign w:val="bottom"/>
          </w:tcPr>
          <w:p>
            <w:pPr>
              <w:spacing w:after="0"/>
              <w:rPr>
                <w:sz w:val="1"/>
                <w:szCs w:val="1"/>
                <w:color w:val="auto"/>
              </w:rPr>
            </w:pPr>
          </w:p>
        </w:tc>
      </w:tr>
      <w:tr>
        <w:trPr>
          <w:trHeight w:val="220"/>
        </w:trPr>
        <w:tc>
          <w:tcPr>
            <w:tcW w:w="280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19"/>
                <w:szCs w:val="19"/>
                <w:color w:val="231F20"/>
              </w:rPr>
              <w:t xml:space="preserve">Interest rate swap </w:t>
            </w:r>
            <w:r>
              <w:rPr>
                <w:rFonts w:ascii="Times New Roman" w:cs="Times New Roman" w:eastAsia="Times New Roman" w:hAnsi="Times New Roman"/>
                <w:sz w:val="25"/>
                <w:szCs w:val="25"/>
                <w:color w:val="231F20"/>
                <w:vertAlign w:val="superscript"/>
              </w:rPr>
              <w:t>(1)</w:t>
            </w:r>
          </w:p>
        </w:tc>
        <w:tc>
          <w:tcPr>
            <w:tcW w:w="13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1/22/2023</w:t>
            </w:r>
          </w:p>
        </w:tc>
        <w:tc>
          <w:tcPr>
            <w:tcW w:w="16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4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300" w:type="dxa"/>
            <w:vAlign w:val="bottom"/>
            <w:tcBorders>
              <w:top w:val="single" w:sz="8" w:color="231F20"/>
            </w:tcBorders>
            <w:shd w:val="clear" w:color="auto" w:fill="CFEDF9"/>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0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(663)</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220" w:type="dxa"/>
            <w:vAlign w:val="bottom"/>
            <w:tcBorders>
              <w:top w:val="single" w:sz="8" w:color="231F20"/>
            </w:tcBorders>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11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431</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460" w:type="dxa"/>
            <w:vAlign w:val="bottom"/>
            <w:tcBorders>
              <w:top w:val="single" w:sz="8" w:color="231F20"/>
            </w:tcBorders>
            <w:shd w:val="clear" w:color="auto" w:fill="CFEDF9"/>
          </w:tcPr>
          <w:p>
            <w:pPr>
              <w:jc w:val="right"/>
              <w:ind w:right="295"/>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(232)</w:t>
            </w:r>
          </w:p>
        </w:tc>
        <w:tc>
          <w:tcPr>
            <w:tcW w:w="10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3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1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00" w:type="dxa"/>
            <w:vAlign w:val="bottom"/>
            <w:shd w:val="clear" w:color="auto" w:fill="CFEDF9"/>
          </w:tcPr>
          <w:p>
            <w:pPr>
              <w:spacing w:after="0"/>
              <w:rPr>
                <w:sz w:val="19"/>
                <w:szCs w:val="19"/>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(3,903)</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1,938</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(1,965)</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54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8/1/2026</w:t>
            </w:r>
          </w:p>
        </w:tc>
        <w:tc>
          <w:tcPr>
            <w:tcW w:w="120" w:type="dxa"/>
            <w:vAlign w:val="bottom"/>
            <w:shd w:val="clear" w:color="auto" w:fill="CFEDF9"/>
          </w:tcPr>
          <w:p>
            <w:pPr>
              <w:spacing w:after="0"/>
              <w:rPr>
                <w:sz w:val="19"/>
                <w:szCs w:val="19"/>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00" w:type="dxa"/>
            <w:vAlign w:val="bottom"/>
            <w:shd w:val="clear" w:color="auto" w:fill="CFEDF9"/>
          </w:tcPr>
          <w:p>
            <w:pPr>
              <w:spacing w:after="0"/>
              <w:rPr>
                <w:sz w:val="19"/>
                <w:szCs w:val="19"/>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(21,745)</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7,479</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(14,266)</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8/14/2028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(9,306)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(1,719)</w:t>
            </w:r>
          </w:p>
        </w:tc>
        <w:tc>
          <w:tcPr>
            <w:tcW w:w="0" w:type="dxa"/>
            <w:vAlign w:val="bottom"/>
          </w:tcPr>
          <w:p>
            <w:pPr>
              <w:spacing w:after="0"/>
              <w:rPr>
                <w:sz w:val="1"/>
                <w:szCs w:val="1"/>
                <w:color w:val="auto"/>
              </w:rPr>
            </w:pPr>
          </w:p>
        </w:tc>
      </w:tr>
      <w:tr>
        <w:trPr>
          <w:trHeight w:val="220"/>
        </w:trPr>
        <w:tc>
          <w:tcPr>
            <w:tcW w:w="2800" w:type="dxa"/>
            <w:vAlign w:val="bottom"/>
            <w:tcBorders>
              <w:top w:val="single" w:sz="8" w:color="CFEDF9"/>
            </w:tcBorders>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380" w:type="dxa"/>
            <w:vAlign w:val="bottom"/>
            <w:tcBorders>
              <w:top w:val="single" w:sz="8" w:color="CFEDF9"/>
            </w:tcBorders>
            <w:shd w:val="clear" w:color="auto" w:fill="CFEDF9"/>
          </w:tcPr>
          <w:p>
            <w:pPr>
              <w:spacing w:after="0"/>
              <w:rPr>
                <w:sz w:val="19"/>
                <w:szCs w:val="19"/>
                <w:color w:val="auto"/>
              </w:rPr>
            </w:pPr>
          </w:p>
        </w:tc>
        <w:tc>
          <w:tcPr>
            <w:tcW w:w="16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40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952,500</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bottom w:val="single" w:sz="8" w:color="231F20"/>
            </w:tcBorders>
            <w:shd w:val="clear" w:color="auto" w:fill="CFEDF9"/>
          </w:tcPr>
          <w:p>
            <w:pPr>
              <w:spacing w:after="0"/>
              <w:rPr>
                <w:sz w:val="19"/>
                <w:szCs w:val="19"/>
                <w:color w:val="auto"/>
              </w:rPr>
            </w:pPr>
          </w:p>
        </w:tc>
        <w:tc>
          <w:tcPr>
            <w:tcW w:w="300" w:type="dxa"/>
            <w:vAlign w:val="bottom"/>
            <w:tcBorders>
              <w:top w:val="single" w:sz="8" w:color="231F20"/>
              <w:bottom w:val="single" w:sz="8" w:color="231F20"/>
            </w:tcBorders>
            <w:shd w:val="clear" w:color="auto" w:fill="CFEDF9"/>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04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(58,490)</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bottom w:val="single" w:sz="8" w:color="231F20"/>
            </w:tcBorders>
            <w:shd w:val="clear" w:color="auto" w:fill="CFEDF9"/>
          </w:tcPr>
          <w:p>
            <w:pPr>
              <w:spacing w:after="0"/>
              <w:rPr>
                <w:sz w:val="19"/>
                <w:szCs w:val="19"/>
                <w:color w:val="auto"/>
              </w:rPr>
            </w:pPr>
          </w:p>
        </w:tc>
        <w:tc>
          <w:tcPr>
            <w:tcW w:w="220" w:type="dxa"/>
            <w:vAlign w:val="bottom"/>
            <w:tcBorders>
              <w:top w:val="single" w:sz="8" w:color="231F20"/>
              <w:bottom w:val="single" w:sz="8" w:color="231F20"/>
            </w:tcBorders>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112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29,251</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bottom w:val="single" w:sz="8" w:color="231F20"/>
            </w:tcBorders>
            <w:shd w:val="clear" w:color="auto" w:fill="CFEDF9"/>
          </w:tcPr>
          <w:p>
            <w:pPr>
              <w:spacing w:after="0"/>
              <w:rPr>
                <w:sz w:val="19"/>
                <w:szCs w:val="19"/>
                <w:color w:val="auto"/>
              </w:rPr>
            </w:pPr>
          </w:p>
        </w:tc>
        <w:tc>
          <w:tcPr>
            <w:tcW w:w="460" w:type="dxa"/>
            <w:vAlign w:val="bottom"/>
            <w:tcBorders>
              <w:top w:val="single" w:sz="8" w:color="231F20"/>
              <w:bottom w:val="single" w:sz="8" w:color="231F20"/>
            </w:tcBorders>
            <w:shd w:val="clear" w:color="auto" w:fill="CFEDF9"/>
          </w:tcPr>
          <w:p>
            <w:pPr>
              <w:jc w:val="right"/>
              <w:ind w:right="295"/>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(29,239)</w:t>
            </w:r>
          </w:p>
        </w:tc>
        <w:tc>
          <w:tcPr>
            <w:tcW w:w="10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500" w:right="240" w:hanging="500"/>
        <w:spacing w:after="0" w:line="277" w:lineRule="auto"/>
        <w:tabs>
          <w:tab w:leader="none" w:pos="500" w:val="left"/>
        </w:tabs>
        <w:numPr>
          <w:ilvl w:val="0"/>
          <w:numId w:val="9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December 31, 2023, these interest rate swaps had either matured or been terminated due to repayment of the underlying investment or security.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38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Maturity Date</w:t>
            </w:r>
          </w:p>
        </w:tc>
        <w:tc>
          <w:tcPr>
            <w:tcW w:w="16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rPr>
              <w:t>Notional Amount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3400" w:type="dxa"/>
            <w:vAlign w:val="bottom"/>
            <w:tcBorders>
              <w:bottom w:val="single" w:sz="8" w:color="231F20"/>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231F20"/>
              </w:rPr>
              <w:t>For the Year Ended December 31, 2022</w:t>
            </w:r>
          </w:p>
        </w:tc>
        <w:tc>
          <w:tcPr>
            <w:tcW w:w="8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00" w:type="dxa"/>
            <w:vAlign w:val="bottom"/>
            <w:tcBorders>
              <w:bottom w:val="single" w:sz="8" w:color="CFEDF9"/>
            </w:tcBorders>
          </w:tcPr>
          <w:p>
            <w:pPr>
              <w:spacing w:after="0"/>
              <w:rPr>
                <w:sz w:val="15"/>
                <w:szCs w:val="15"/>
                <w:color w:val="auto"/>
              </w:rPr>
            </w:pPr>
          </w:p>
        </w:tc>
        <w:tc>
          <w:tcPr>
            <w:tcW w:w="1380" w:type="dxa"/>
            <w:vAlign w:val="bottom"/>
            <w:tcBorders>
              <w:bottom w:val="single" w:sz="8" w:color="231F20"/>
            </w:tcBorders>
            <w:vMerge w:val="continue"/>
          </w:tcPr>
          <w:p>
            <w:pPr>
              <w:spacing w:after="0"/>
              <w:rPr>
                <w:sz w:val="15"/>
                <w:szCs w:val="15"/>
                <w:color w:val="auto"/>
              </w:rPr>
            </w:pPr>
          </w:p>
        </w:tc>
        <w:tc>
          <w:tcPr>
            <w:tcW w:w="160" w:type="dxa"/>
            <w:vAlign w:val="bottom"/>
            <w:tcBorders>
              <w:bottom w:val="single" w:sz="8" w:color="CFEDF9"/>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400" w:type="dxa"/>
            <w:vAlign w:val="bottom"/>
            <w:tcBorders>
              <w:bottom w:val="single" w:sz="8" w:color="231F20"/>
            </w:tcBorders>
            <w:vMerge w:val="continue"/>
          </w:tcPr>
          <w:p>
            <w:pPr>
              <w:spacing w:after="0"/>
              <w:rPr>
                <w:sz w:val="15"/>
                <w:szCs w:val="15"/>
                <w:color w:val="auto"/>
              </w:rPr>
            </w:pPr>
          </w:p>
        </w:tc>
        <w:tc>
          <w:tcPr>
            <w:tcW w:w="260" w:type="dxa"/>
            <w:vAlign w:val="bottom"/>
            <w:tcBorders>
              <w:bottom w:val="single" w:sz="8" w:color="CFEDF9"/>
            </w:tcBorders>
          </w:tcPr>
          <w:p>
            <w:pPr>
              <w:spacing w:after="0"/>
              <w:rPr>
                <w:sz w:val="15"/>
                <w:szCs w:val="15"/>
                <w:color w:val="auto"/>
              </w:rPr>
            </w:pPr>
          </w:p>
        </w:tc>
        <w:tc>
          <w:tcPr>
            <w:tcW w:w="20" w:type="dxa"/>
            <w:vAlign w:val="bottom"/>
            <w:tcBorders>
              <w:bottom w:val="single" w:sz="8" w:color="CFEDF9"/>
            </w:tcBorders>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423"/>
              <w:spacing w:after="0" w:line="174" w:lineRule="exact"/>
              <w:rPr>
                <w:sz w:val="20"/>
                <w:szCs w:val="20"/>
                <w:color w:val="auto"/>
              </w:rPr>
            </w:pPr>
            <w:r>
              <w:rPr>
                <w:rFonts w:ascii="Times New Roman" w:cs="Times New Roman" w:eastAsia="Times New Roman" w:hAnsi="Times New Roman"/>
                <w:sz w:val="16"/>
                <w:szCs w:val="16"/>
                <w:b w:val="1"/>
                <w:bCs w:val="1"/>
                <w:color w:val="231F20"/>
              </w:rPr>
              <w:t>Paid</w:t>
            </w:r>
          </w:p>
        </w:tc>
        <w:tc>
          <w:tcPr>
            <w:tcW w:w="260" w:type="dxa"/>
            <w:vAlign w:val="bottom"/>
            <w:tcBorders>
              <w:bottom w:val="single" w:sz="8" w:color="CFEDF9"/>
            </w:tcBorders>
          </w:tcPr>
          <w:p>
            <w:pPr>
              <w:spacing w:after="0"/>
              <w:rPr>
                <w:sz w:val="15"/>
                <w:szCs w:val="15"/>
                <w:color w:val="auto"/>
              </w:rPr>
            </w:pPr>
          </w:p>
        </w:tc>
        <w:tc>
          <w:tcPr>
            <w:tcW w:w="20" w:type="dxa"/>
            <w:vAlign w:val="bottom"/>
            <w:tcBorders>
              <w:bottom w:val="single" w:sz="8" w:color="CFEDF9"/>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282"/>
              <w:spacing w:after="0" w:line="174" w:lineRule="exact"/>
              <w:rPr>
                <w:sz w:val="20"/>
                <w:szCs w:val="20"/>
                <w:color w:val="auto"/>
              </w:rPr>
            </w:pPr>
            <w:r>
              <w:rPr>
                <w:rFonts w:ascii="Times New Roman" w:cs="Times New Roman" w:eastAsia="Times New Roman" w:hAnsi="Times New Roman"/>
                <w:sz w:val="16"/>
                <w:szCs w:val="16"/>
                <w:b w:val="1"/>
                <w:bCs w:val="1"/>
                <w:color w:val="231F20"/>
              </w:rPr>
              <w:t>Received</w:t>
            </w:r>
          </w:p>
        </w:tc>
        <w:tc>
          <w:tcPr>
            <w:tcW w:w="260" w:type="dxa"/>
            <w:vAlign w:val="bottom"/>
            <w:tcBorders>
              <w:bottom w:val="single" w:sz="8" w:color="CFEDF9"/>
            </w:tcBorders>
          </w:tcPr>
          <w:p>
            <w:pPr>
              <w:spacing w:after="0"/>
              <w:rPr>
                <w:sz w:val="15"/>
                <w:szCs w:val="15"/>
                <w:color w:val="auto"/>
              </w:rPr>
            </w:pPr>
          </w:p>
        </w:tc>
        <w:tc>
          <w:tcPr>
            <w:tcW w:w="20" w:type="dxa"/>
            <w:vAlign w:val="bottom"/>
            <w:tcBorders>
              <w:bottom w:val="single" w:sz="8" w:color="CFEDF9"/>
            </w:tcBorders>
          </w:tcPr>
          <w:p>
            <w:pPr>
              <w:spacing w:after="0"/>
              <w:rPr>
                <w:sz w:val="15"/>
                <w:szCs w:val="15"/>
                <w:color w:val="auto"/>
              </w:rPr>
            </w:pPr>
          </w:p>
        </w:tc>
        <w:tc>
          <w:tcPr>
            <w:tcW w:w="46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442"/>
              <w:spacing w:after="0" w:line="174" w:lineRule="exact"/>
              <w:rPr>
                <w:sz w:val="20"/>
                <w:szCs w:val="20"/>
                <w:color w:val="auto"/>
              </w:rPr>
            </w:pPr>
            <w:r>
              <w:rPr>
                <w:rFonts w:ascii="Times New Roman" w:cs="Times New Roman" w:eastAsia="Times New Roman" w:hAnsi="Times New Roman"/>
                <w:sz w:val="16"/>
                <w:szCs w:val="16"/>
                <w:b w:val="1"/>
                <w:bCs w:val="1"/>
                <w:color w:val="231F20"/>
              </w:rPr>
              <w:t>Net</w:t>
            </w:r>
          </w:p>
        </w:tc>
        <w:tc>
          <w:tcPr>
            <w:tcW w:w="100" w:type="dxa"/>
            <w:vAlign w:val="bottom"/>
            <w:tcBorders>
              <w:bottom w:val="single" w:sz="8" w:color="CFEDF9"/>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0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19"/>
                <w:szCs w:val="19"/>
                <w:color w:val="231F20"/>
              </w:rPr>
              <w:t xml:space="preserve">Interest rate swap </w:t>
            </w:r>
            <w:r>
              <w:rPr>
                <w:rFonts w:ascii="Times New Roman" w:cs="Times New Roman" w:eastAsia="Times New Roman" w:hAnsi="Times New Roman"/>
                <w:sz w:val="25"/>
                <w:szCs w:val="25"/>
                <w:color w:val="231F20"/>
                <w:vertAlign w:val="superscript"/>
              </w:rPr>
              <w:t>(1)</w:t>
            </w:r>
          </w:p>
        </w:tc>
        <w:tc>
          <w:tcPr>
            <w:tcW w:w="13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8/1/2022</w:t>
            </w:r>
          </w:p>
        </w:tc>
        <w:tc>
          <w:tcPr>
            <w:tcW w:w="160" w:type="dxa"/>
            <w:vAlign w:val="bottom"/>
            <w:shd w:val="clear" w:color="auto" w:fill="CFEDF9"/>
          </w:tcPr>
          <w:p>
            <w:pPr>
              <w:spacing w:after="0"/>
              <w:rPr>
                <w:sz w:val="19"/>
                <w:szCs w:val="19"/>
                <w:color w:val="auto"/>
              </w:rPr>
            </w:pPr>
          </w:p>
        </w:tc>
        <w:tc>
          <w:tcPr>
            <w:tcW w:w="120" w:type="dxa"/>
            <w:vAlign w:val="bottom"/>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4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115,000</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00" w:type="dxa"/>
            <w:vAlign w:val="bottom"/>
            <w:shd w:val="clear" w:color="auto" w:fill="CFEDF9"/>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0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(2,158)</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11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3,048</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shd w:val="clear" w:color="auto" w:fill="CFEDF9"/>
          </w:tcPr>
          <w:p>
            <w:pPr>
              <w:jc w:val="right"/>
              <w:ind w:right="295"/>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890</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8/1/2022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(1)</w:t>
            </w:r>
          </w:p>
        </w:tc>
        <w:tc>
          <w:tcPr>
            <w:tcW w:w="154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8/1/2022</w:t>
            </w: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7,500</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00" w:type="dxa"/>
            <w:vAlign w:val="bottom"/>
            <w:shd w:val="clear" w:color="auto" w:fill="CFEDF9"/>
          </w:tcPr>
          <w:p>
            <w:pPr>
              <w:spacing w:after="0"/>
              <w:rPr>
                <w:sz w:val="19"/>
                <w:szCs w:val="19"/>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(106)</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198</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(1)</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8/1/2022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27,531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(730)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(256)</w:t>
            </w:r>
          </w:p>
        </w:tc>
        <w:tc>
          <w:tcPr>
            <w:tcW w:w="0" w:type="dxa"/>
            <w:vAlign w:val="bottom"/>
          </w:tcPr>
          <w:p>
            <w:pPr>
              <w:spacing w:after="0"/>
              <w:rPr>
                <w:sz w:val="1"/>
                <w:szCs w:val="1"/>
                <w:color w:val="auto"/>
              </w:rPr>
            </w:pPr>
          </w:p>
        </w:tc>
      </w:tr>
      <w:tr>
        <w:trPr>
          <w:trHeight w:val="230"/>
        </w:trPr>
        <w:tc>
          <w:tcPr>
            <w:tcW w:w="2800" w:type="dxa"/>
            <w:vAlign w:val="bottom"/>
            <w:shd w:val="clear" w:color="auto" w:fill="CFEDF9"/>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(1)</w:t>
            </w:r>
          </w:p>
        </w:tc>
        <w:tc>
          <w:tcPr>
            <w:tcW w:w="154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8/1/2022</w:t>
            </w: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2,160</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00" w:type="dxa"/>
            <w:vAlign w:val="bottom"/>
            <w:shd w:val="clear" w:color="auto" w:fill="CFEDF9"/>
          </w:tcPr>
          <w:p>
            <w:pPr>
              <w:spacing w:after="0"/>
              <w:rPr>
                <w:sz w:val="19"/>
                <w:szCs w:val="19"/>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(57)</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230"/>
        </w:trPr>
        <w:tc>
          <w:tcPr>
            <w:tcW w:w="28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Interest rate swap </w:t>
            </w:r>
            <w:r>
              <w:rPr>
                <w:rFonts w:ascii="Times New Roman" w:cs="Times New Roman" w:eastAsia="Times New Roman" w:hAnsi="Times New Roman"/>
                <w:sz w:val="26"/>
                <w:szCs w:val="26"/>
                <w:color w:val="231F20"/>
                <w:vertAlign w:val="superscript"/>
              </w:rPr>
              <w:t>(1)</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8/1/2022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42,819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(1,135)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(398)</w:t>
            </w:r>
          </w:p>
        </w:tc>
        <w:tc>
          <w:tcPr>
            <w:tcW w:w="0" w:type="dxa"/>
            <w:vAlign w:val="bottom"/>
          </w:tcPr>
          <w:p>
            <w:pPr>
              <w:spacing w:after="0"/>
              <w:rPr>
                <w:sz w:val="1"/>
                <w:szCs w:val="1"/>
                <w:color w:val="auto"/>
              </w:rPr>
            </w:pPr>
          </w:p>
        </w:tc>
      </w:tr>
      <w:tr>
        <w:trPr>
          <w:trHeight w:val="230"/>
        </w:trPr>
        <w:tc>
          <w:tcPr>
            <w:tcW w:w="28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3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1/22/2023</w:t>
            </w:r>
          </w:p>
        </w:tc>
        <w:tc>
          <w:tcPr>
            <w:tcW w:w="1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00" w:type="dxa"/>
            <w:vAlign w:val="bottom"/>
            <w:shd w:val="clear" w:color="auto" w:fill="CFEDF9"/>
          </w:tcPr>
          <w:p>
            <w:pPr>
              <w:spacing w:after="0"/>
              <w:rPr>
                <w:sz w:val="19"/>
                <w:szCs w:val="19"/>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(5,728)</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6,750</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1,022</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(12,227)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(602)</w:t>
            </w:r>
          </w:p>
        </w:tc>
        <w:tc>
          <w:tcPr>
            <w:tcW w:w="0" w:type="dxa"/>
            <w:vAlign w:val="bottom"/>
          </w:tcPr>
          <w:p>
            <w:pPr>
              <w:spacing w:after="0"/>
              <w:rPr>
                <w:sz w:val="1"/>
                <w:szCs w:val="1"/>
                <w:color w:val="auto"/>
              </w:rPr>
            </w:pPr>
          </w:p>
        </w:tc>
      </w:tr>
      <w:tr>
        <w:trPr>
          <w:trHeight w:val="230"/>
        </w:trPr>
        <w:tc>
          <w:tcPr>
            <w:tcW w:w="28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3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1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00" w:type="dxa"/>
            <w:vAlign w:val="bottom"/>
            <w:shd w:val="clear" w:color="auto" w:fill="CFEDF9"/>
          </w:tcPr>
          <w:p>
            <w:pPr>
              <w:spacing w:after="0"/>
              <w:rPr>
                <w:sz w:val="19"/>
                <w:szCs w:val="19"/>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(2,144)</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1,938</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(206)</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11/1/2024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Interest rate swap</w:t>
            </w:r>
          </w:p>
        </w:tc>
        <w:tc>
          <w:tcPr>
            <w:tcW w:w="154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8/1/2026</w:t>
            </w: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4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300" w:type="dxa"/>
            <w:vAlign w:val="bottom"/>
            <w:shd w:val="clear" w:color="auto" w:fill="CFEDF9"/>
          </w:tcPr>
          <w:p>
            <w:pPr>
              <w:spacing w:after="0"/>
              <w:rPr>
                <w:sz w:val="19"/>
                <w:szCs w:val="19"/>
                <w:color w:val="auto"/>
              </w:rPr>
            </w:pPr>
          </w:p>
        </w:tc>
        <w:tc>
          <w:tcPr>
            <w:tcW w:w="13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(11,196)</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7,479</w:t>
            </w:r>
          </w:p>
        </w:tc>
        <w:tc>
          <w:tcPr>
            <w:tcW w:w="26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46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(3,717)</w:t>
            </w:r>
          </w:p>
        </w:tc>
        <w:tc>
          <w:tcPr>
            <w:tcW w:w="0" w:type="dxa"/>
            <w:vAlign w:val="bottom"/>
          </w:tcPr>
          <w:p>
            <w:pPr>
              <w:spacing w:after="0"/>
              <w:rPr>
                <w:sz w:val="1"/>
                <w:szCs w:val="1"/>
                <w:color w:val="auto"/>
              </w:rPr>
            </w:pPr>
          </w:p>
        </w:tc>
      </w:tr>
      <w:tr>
        <w:trPr>
          <w:trHeight w:val="220"/>
        </w:trPr>
        <w:tc>
          <w:tcPr>
            <w:tcW w:w="28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1,047,510</w:t>
            </w:r>
          </w:p>
        </w:tc>
        <w:tc>
          <w:tcPr>
            <w:tcW w:w="260" w:type="dxa"/>
            <w:vAlign w:val="bottom"/>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300" w:type="dxa"/>
            <w:vAlign w:val="bottom"/>
            <w:tcBorders>
              <w:top w:val="single" w:sz="8" w:color="231F20"/>
              <w:bottom w:val="single" w:sz="8" w:color="231F20"/>
            </w:tcBorders>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0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(36,284)</w:t>
            </w:r>
          </w:p>
        </w:tc>
        <w:tc>
          <w:tcPr>
            <w:tcW w:w="260" w:type="dxa"/>
            <w:vAlign w:val="bottom"/>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20" w:type="dxa"/>
            <w:vAlign w:val="bottom"/>
            <w:tcBorders>
              <w:top w:val="single" w:sz="8" w:color="231F20"/>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1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33,714</w:t>
            </w:r>
          </w:p>
        </w:tc>
        <w:tc>
          <w:tcPr>
            <w:tcW w:w="260" w:type="dxa"/>
            <w:vAlign w:val="bottom"/>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460" w:type="dxa"/>
            <w:vAlign w:val="bottom"/>
            <w:tcBorders>
              <w:top w:val="single" w:sz="8" w:color="231F20"/>
              <w:bottom w:val="single" w:sz="8" w:color="231F20"/>
            </w:tcBorders>
          </w:tcPr>
          <w:p>
            <w:pPr>
              <w:jc w:val="right"/>
              <w:ind w:right="295"/>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240" w:hanging="500"/>
        <w:spacing w:after="0" w:line="277" w:lineRule="auto"/>
        <w:tabs>
          <w:tab w:leader="none" w:pos="500" w:val="left"/>
        </w:tabs>
        <w:numPr>
          <w:ilvl w:val="0"/>
          <w:numId w:val="9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 of December 31, 2022, these interest rate swaps had either matured or been terminated due to repayment of the underlying investment or security.</w:t>
      </w:r>
    </w:p>
    <w:p>
      <w:pPr>
        <w:spacing w:after="0" w:line="169" w:lineRule="exact"/>
        <w:rPr>
          <w:sz w:val="20"/>
          <w:szCs w:val="20"/>
          <w:color w:val="auto"/>
        </w:rPr>
      </w:pPr>
    </w:p>
    <w:p>
      <w:pPr>
        <w:ind w:right="100" w:firstLine="245"/>
        <w:spacing w:after="0" w:line="243" w:lineRule="auto"/>
        <w:rPr>
          <w:sz w:val="20"/>
          <w:szCs w:val="20"/>
          <w:color w:val="auto"/>
        </w:rPr>
      </w:pPr>
      <w:r>
        <w:rPr>
          <w:rFonts w:ascii="Times New Roman" w:cs="Times New Roman" w:eastAsia="Times New Roman" w:hAnsi="Times New Roman"/>
          <w:sz w:val="20"/>
          <w:szCs w:val="20"/>
          <w:color w:val="231F20"/>
        </w:rPr>
        <w:t>For the years ended December 31, 2023 and 2022, the Company recognized a $0.1 million net change in unrealized gains and a $6.7 million net change in unrealized losses, respectively, on interest rate swaps not designated as hedging instruments in the Consolidated Statement of Operations related to the swap transactions. For the year ended December 31, 2022, the Company recognized $2.3 million in realized gains on interest rate swaps not designated as hedging instruments in the Consolidated Statement of Operations related to. For the year ended December 31, 2023 the company recognized a $23.2 million net change in gains on interest rate swaps designated as hedging instruments as a component of interest expense in the Consolidated Statement of Operation. For the year ended December 31, 2023 the company recognized no net realized gain or loss on interest rate swaps. For the year ended December 31, 2022 the Company recognized a $49.2 million net change in losses on interest rate swaps designated as hedging instruments as a component of interest expense in the Consolidated Statement of Operations. For the years ended December 31, 2023 and 2022, this amount is offset by an increase of $9.0 million and a decrease of $23.8 million, respectively, for a change in the carrying value of the 2024 Notes and for the years ended December 31, 2023 and 2022, an increase of $9.6 million and $25.4 million, respectively, for a change in carrying value of the 2026 Notes. For the year ended December 31, 2023 this amount is additionally offset by an increase of $4.7 million for a change in carrying value of the 2028 Notes.</w:t>
      </w:r>
    </w:p>
    <w:p>
      <w:pPr>
        <w:spacing w:after="0" w:line="203" w:lineRule="exact"/>
        <w:rPr>
          <w:sz w:val="20"/>
          <w:szCs w:val="20"/>
          <w:color w:val="auto"/>
        </w:rPr>
      </w:pPr>
    </w:p>
    <w:p>
      <w:pPr>
        <w:ind w:right="120" w:firstLine="245"/>
        <w:spacing w:after="0" w:line="258" w:lineRule="auto"/>
        <w:rPr>
          <w:sz w:val="20"/>
          <w:szCs w:val="20"/>
          <w:color w:val="auto"/>
        </w:rPr>
      </w:pPr>
      <w:r>
        <w:rPr>
          <w:rFonts w:ascii="Times New Roman" w:cs="Times New Roman" w:eastAsia="Times New Roman" w:hAnsi="Times New Roman"/>
          <w:sz w:val="20"/>
          <w:szCs w:val="20"/>
          <w:color w:val="231F20"/>
        </w:rPr>
        <w:t>As of December 31, 2023, the swap transactions had a fair value of $(31.8) million which is netted against cash collateral on the Company’s Consolidated Balance Sheet. As of December 31, 2022, the swap transactions had a fair value of $(55.3) million which is netted against cash collateral on the Company’s Consolidated Balance Sheet.</w:t>
      </w:r>
    </w:p>
    <w:p>
      <w:pPr>
        <w:spacing w:after="0" w:line="188"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231F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ectPr>
          <w:pgSz w:w="12240" w:h="15840" w:orient="portrait"/>
          <w:cols w:equalWidth="0" w:num="1">
            <w:col w:w="10800"/>
          </w:cols>
          <w:pgMar w:left="720" w:top="930" w:right="720" w:bottom="186"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F-29</w:t>
      </w:r>
    </w:p>
    <w:p>
      <w:pPr>
        <w:sectPr>
          <w:pgSz w:w="12240" w:h="15840" w:orient="portrait"/>
          <w:cols w:equalWidth="0" w:num="1">
            <w:col w:w="10800"/>
          </w:cols>
          <w:pgMar w:left="720" w:top="930" w:right="720" w:bottom="186" w:gutter="0" w:footer="0" w:header="0"/>
          <w:type w:val="continuous"/>
        </w:sectPr>
      </w:pPr>
    </w:p>
    <w:bookmarkStart w:id="114" w:name="page115"/>
    <w:bookmarkEnd w:id="114"/>
    <w:p>
      <w:pPr>
        <w:ind w:right="260" w:firstLine="245"/>
        <w:spacing w:after="0" w:line="258" w:lineRule="auto"/>
        <w:rPr>
          <w:sz w:val="20"/>
          <w:szCs w:val="20"/>
          <w:color w:val="auto"/>
        </w:rPr>
      </w:pPr>
      <w:r>
        <w:rPr>
          <w:rFonts w:ascii="Times New Roman" w:cs="Times New Roman" w:eastAsia="Times New Roman" w:hAnsi="Times New Roman"/>
          <w:sz w:val="20"/>
          <w:szCs w:val="20"/>
          <w:color w:val="231F20"/>
        </w:rPr>
        <w:t>As of December 31, 2023 and 2022, $24.0 million and $15.4 million, respectively, of cash is pledged as collateral under the Company’s derivative agreements and is included in restricted cash as a component of cash and cash equivalents on the Company’s Consolidated Balance Sheet.</w:t>
      </w:r>
    </w:p>
    <w:p>
      <w:pPr>
        <w:spacing w:after="0" w:line="188" w:lineRule="exact"/>
        <w:rPr>
          <w:sz w:val="20"/>
          <w:szCs w:val="20"/>
          <w:color w:val="auto"/>
        </w:rPr>
      </w:pPr>
    </w:p>
    <w:p>
      <w:pPr>
        <w:ind w:right="280" w:firstLine="245"/>
        <w:spacing w:after="0" w:line="277" w:lineRule="auto"/>
        <w:rPr>
          <w:sz w:val="20"/>
          <w:szCs w:val="20"/>
          <w:color w:val="auto"/>
        </w:rPr>
      </w:pPr>
      <w:r>
        <w:rPr>
          <w:rFonts w:ascii="Times New Roman" w:cs="Times New Roman" w:eastAsia="Times New Roman" w:hAnsi="Times New Roman"/>
          <w:sz w:val="20"/>
          <w:szCs w:val="20"/>
          <w:color w:val="231F20"/>
        </w:rPr>
        <w:t>The Company may enter into other derivative instruments and incur other exposures with the same or other counterparties in the future.</w:t>
      </w:r>
    </w:p>
    <w:p>
      <w:pPr>
        <w:spacing w:after="0" w:line="285" w:lineRule="exact"/>
        <w:rPr>
          <w:sz w:val="20"/>
          <w:szCs w:val="20"/>
          <w:color w:val="auto"/>
        </w:rPr>
      </w:pPr>
    </w:p>
    <w:p>
      <w:pPr>
        <w:ind w:right="7520"/>
        <w:spacing w:after="0" w:line="367" w:lineRule="auto"/>
        <w:tabs>
          <w:tab w:leader="none" w:pos="200" w:val="left"/>
        </w:tabs>
        <w:numPr>
          <w:ilvl w:val="0"/>
          <w:numId w:val="9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Fair Value of Financial Instruments </w:t>
      </w:r>
      <w:r>
        <w:rPr>
          <w:rFonts w:ascii="Times New Roman" w:cs="Times New Roman" w:eastAsia="Times New Roman" w:hAnsi="Times New Roman"/>
          <w:sz w:val="20"/>
          <w:szCs w:val="20"/>
          <w:i w:val="1"/>
          <w:iCs w:val="1"/>
          <w:color w:val="231F20"/>
        </w:rPr>
        <w:t>Investments</w:t>
      </w:r>
    </w:p>
    <w:p>
      <w:pPr>
        <w:ind w:left="240"/>
        <w:spacing w:after="0"/>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The following tables present fair value measurements of investments as of December 31,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3200" w:type="dxa"/>
            <w:vAlign w:val="bottom"/>
            <w:tcBorders>
              <w:bottom w:val="single" w:sz="8" w:color="231F20"/>
            </w:tcBorders>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Fair Value Hierarchy at December 31, 2023</w:t>
            </w:r>
          </w:p>
        </w:tc>
        <w:tc>
          <w:tcPr>
            <w:tcW w:w="94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02"/>
              <w:spacing w:after="0" w:line="174" w:lineRule="exact"/>
              <w:rPr>
                <w:sz w:val="20"/>
                <w:szCs w:val="20"/>
                <w:color w:val="auto"/>
              </w:rPr>
            </w:pPr>
            <w:r>
              <w:rPr>
                <w:rFonts w:ascii="Times New Roman" w:cs="Times New Roman" w:eastAsia="Times New Roman" w:hAnsi="Times New Roman"/>
                <w:sz w:val="16"/>
                <w:szCs w:val="16"/>
                <w:b w:val="1"/>
                <w:bCs w:val="1"/>
                <w:color w:val="231F20"/>
              </w:rPr>
              <w:t>Level 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60"/>
              <w:spacing w:after="0" w:line="174" w:lineRule="exact"/>
              <w:rPr>
                <w:sz w:val="20"/>
                <w:szCs w:val="20"/>
                <w:color w:val="auto"/>
              </w:rPr>
            </w:pPr>
            <w:r>
              <w:rPr>
                <w:rFonts w:ascii="Times New Roman" w:cs="Times New Roman" w:eastAsia="Times New Roman" w:hAnsi="Times New Roman"/>
                <w:sz w:val="16"/>
                <w:szCs w:val="16"/>
                <w:b w:val="1"/>
                <w:bCs w:val="1"/>
                <w:color w:val="231F20"/>
              </w:rPr>
              <w:t>Level 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42"/>
              <w:spacing w:after="0" w:line="174" w:lineRule="exact"/>
              <w:rPr>
                <w:sz w:val="20"/>
                <w:szCs w:val="20"/>
                <w:color w:val="auto"/>
              </w:rPr>
            </w:pPr>
            <w:r>
              <w:rPr>
                <w:rFonts w:ascii="Times New Roman" w:cs="Times New Roman" w:eastAsia="Times New Roman" w:hAnsi="Times New Roman"/>
                <w:sz w:val="16"/>
                <w:szCs w:val="16"/>
                <w:b w:val="1"/>
                <w:bCs w:val="1"/>
                <w:color w:val="231F20"/>
              </w:rPr>
              <w:t>Level 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02"/>
              <w:spacing w:after="0" w:line="17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100" w:type="dxa"/>
            <w:vAlign w:val="bottom"/>
          </w:tcPr>
          <w:p>
            <w:pPr>
              <w:spacing w:after="0"/>
              <w:rPr>
                <w:sz w:val="15"/>
                <w:szCs w:val="15"/>
                <w:color w:val="auto"/>
              </w:rPr>
            </w:pPr>
          </w:p>
        </w:tc>
      </w:tr>
      <w:tr>
        <w:trPr>
          <w:trHeight w:val="220"/>
        </w:trPr>
        <w:tc>
          <w:tcPr>
            <w:tcW w:w="548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First-lien debt investments</w:t>
            </w:r>
          </w:p>
        </w:tc>
        <w:tc>
          <w:tcPr>
            <w:tcW w:w="2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tcBorders>
            <w:shd w:val="clear" w:color="auto" w:fill="CFEDF9"/>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6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2,391</w:t>
            </w:r>
          </w:p>
        </w:tc>
        <w:tc>
          <w:tcPr>
            <w:tcW w:w="16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220" w:type="dxa"/>
            <w:vAlign w:val="bottom"/>
            <w:tcBorders>
              <w:top w:val="single" w:sz="8" w:color="231F20"/>
            </w:tcBorders>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2,993,786</w:t>
            </w:r>
          </w:p>
        </w:tc>
        <w:tc>
          <w:tcPr>
            <w:tcW w:w="240" w:type="dxa"/>
            <w:vAlign w:val="bottom"/>
            <w:tcBorders>
              <w:top w:val="single" w:sz="8" w:color="CFEDF9"/>
            </w:tcBorders>
            <w:shd w:val="clear" w:color="auto" w:fill="CFEDF9"/>
          </w:tcPr>
          <w:p>
            <w:pPr>
              <w:spacing w:after="0"/>
              <w:rPr>
                <w:sz w:val="19"/>
                <w:szCs w:val="19"/>
                <w:color w:val="auto"/>
              </w:rPr>
            </w:pPr>
          </w:p>
        </w:tc>
        <w:tc>
          <w:tcPr>
            <w:tcW w:w="220" w:type="dxa"/>
            <w:vAlign w:val="bottom"/>
            <w:tcBorders>
              <w:top w:val="single" w:sz="8" w:color="231F20"/>
            </w:tcBorders>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2,996,177</w:t>
            </w:r>
          </w:p>
        </w:tc>
        <w:tc>
          <w:tcPr>
            <w:tcW w:w="100" w:type="dxa"/>
            <w:vAlign w:val="bottom"/>
            <w:tcBorders>
              <w:top w:val="single" w:sz="8" w:color="CFEDF9"/>
            </w:tcBorders>
            <w:shd w:val="clear" w:color="auto" w:fill="CFEDF9"/>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231F20"/>
              </w:rPr>
              <w:t>Second-lien debt investments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35,975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35,975</w:t>
            </w:r>
          </w:p>
        </w:tc>
        <w:tc>
          <w:tcPr>
            <w:tcW w:w="100" w:type="dxa"/>
            <w:vAlign w:val="bottom"/>
          </w:tcPr>
          <w:p>
            <w:pPr>
              <w:spacing w:after="0"/>
              <w:rPr>
                <w:sz w:val="19"/>
                <w:szCs w:val="19"/>
                <w:color w:val="auto"/>
              </w:rPr>
            </w:pPr>
          </w:p>
        </w:tc>
      </w:tr>
      <w:tr>
        <w:trPr>
          <w:trHeight w:val="230"/>
        </w:trPr>
        <w:tc>
          <w:tcPr>
            <w:tcW w:w="54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Mezzanine debt investments</w:t>
            </w:r>
          </w:p>
        </w:tc>
        <w:tc>
          <w:tcPr>
            <w:tcW w:w="2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606</w:t>
            </w:r>
          </w:p>
        </w:tc>
        <w:tc>
          <w:tcPr>
            <w:tcW w:w="1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38,865</w:t>
            </w:r>
          </w:p>
        </w:tc>
        <w:tc>
          <w:tcPr>
            <w:tcW w:w="24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39,471</w:t>
            </w:r>
          </w:p>
        </w:tc>
        <w:tc>
          <w:tcPr>
            <w:tcW w:w="100" w:type="dxa"/>
            <w:vAlign w:val="bottom"/>
            <w:shd w:val="clear" w:color="auto" w:fill="CFEDF9"/>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231F20"/>
              </w:rPr>
              <w:t>Equity and other investments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5,180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10,089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140,331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155,600</w:t>
            </w:r>
          </w:p>
        </w:tc>
        <w:tc>
          <w:tcPr>
            <w:tcW w:w="100" w:type="dxa"/>
            <w:vAlign w:val="bottom"/>
          </w:tcPr>
          <w:p>
            <w:pPr>
              <w:spacing w:after="0"/>
              <w:rPr>
                <w:sz w:val="20"/>
                <w:szCs w:val="20"/>
                <w:color w:val="auto"/>
              </w:rPr>
            </w:pPr>
          </w:p>
        </w:tc>
      </w:tr>
      <w:tr>
        <w:trPr>
          <w:trHeight w:val="250"/>
        </w:trPr>
        <w:tc>
          <w:tcPr>
            <w:tcW w:w="548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Structured credit investments</w:t>
            </w:r>
          </w:p>
        </w:tc>
        <w:tc>
          <w:tcPr>
            <w:tcW w:w="20" w:type="dxa"/>
            <w:vAlign w:val="bottom"/>
            <w:tcBorders>
              <w:bottom w:val="single" w:sz="8" w:color="CFEDF9"/>
            </w:tcBorders>
            <w:shd w:val="clear" w:color="auto" w:fill="CFEDF9"/>
          </w:tcPr>
          <w:p>
            <w:pPr>
              <w:spacing w:after="0"/>
              <w:rPr>
                <w:sz w:val="21"/>
                <w:szCs w:val="21"/>
                <w:color w:val="auto"/>
              </w:rPr>
            </w:pPr>
          </w:p>
        </w:tc>
        <w:tc>
          <w:tcPr>
            <w:tcW w:w="180" w:type="dxa"/>
            <w:vAlign w:val="bottom"/>
            <w:tcBorders>
              <w:bottom w:val="single" w:sz="8" w:color="231F20"/>
            </w:tcBorders>
            <w:shd w:val="clear" w:color="auto" w:fill="CFEDF9"/>
          </w:tcPr>
          <w:p>
            <w:pPr>
              <w:spacing w:after="0"/>
              <w:rPr>
                <w:sz w:val="21"/>
                <w:szCs w:val="21"/>
                <w:color w:val="auto"/>
              </w:rPr>
            </w:pPr>
          </w:p>
        </w:tc>
        <w:tc>
          <w:tcPr>
            <w:tcW w:w="8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Borders>
              <w:bottom w:val="single" w:sz="8" w:color="CFEDF9"/>
            </w:tcBorders>
            <w:shd w:val="clear" w:color="auto" w:fill="CFEDF9"/>
          </w:tcPr>
          <w:p>
            <w:pPr>
              <w:spacing w:after="0"/>
              <w:rPr>
                <w:sz w:val="21"/>
                <w:szCs w:val="21"/>
                <w:color w:val="auto"/>
              </w:rPr>
            </w:pPr>
          </w:p>
        </w:tc>
        <w:tc>
          <w:tcPr>
            <w:tcW w:w="180" w:type="dxa"/>
            <w:vAlign w:val="bottom"/>
            <w:tcBorders>
              <w:bottom w:val="single" w:sz="8" w:color="231F20"/>
            </w:tcBorders>
            <w:shd w:val="clear" w:color="auto" w:fill="CFEDF9"/>
          </w:tcPr>
          <w:p>
            <w:pPr>
              <w:spacing w:after="0"/>
              <w:rPr>
                <w:sz w:val="21"/>
                <w:szCs w:val="21"/>
                <w:color w:val="auto"/>
              </w:rPr>
            </w:pPr>
          </w:p>
        </w:tc>
        <w:tc>
          <w:tcPr>
            <w:tcW w:w="9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55,842</w:t>
            </w:r>
          </w:p>
        </w:tc>
        <w:tc>
          <w:tcPr>
            <w:tcW w:w="160" w:type="dxa"/>
            <w:vAlign w:val="bottom"/>
            <w:tcBorders>
              <w:bottom w:val="single" w:sz="8" w:color="CFEDF9"/>
            </w:tcBorders>
            <w:shd w:val="clear" w:color="auto" w:fill="CFEDF9"/>
          </w:tcPr>
          <w:p>
            <w:pPr>
              <w:spacing w:after="0"/>
              <w:rPr>
                <w:sz w:val="21"/>
                <w:szCs w:val="21"/>
                <w:color w:val="auto"/>
              </w:rPr>
            </w:pPr>
          </w:p>
        </w:tc>
        <w:tc>
          <w:tcPr>
            <w:tcW w:w="80" w:type="dxa"/>
            <w:vAlign w:val="bottom"/>
            <w:tcBorders>
              <w:bottom w:val="single" w:sz="8" w:color="CFEDF9"/>
            </w:tcBorders>
            <w:shd w:val="clear" w:color="auto" w:fill="CFEDF9"/>
          </w:tcPr>
          <w:p>
            <w:pPr>
              <w:spacing w:after="0"/>
              <w:rPr>
                <w:sz w:val="21"/>
                <w:szCs w:val="21"/>
                <w:color w:val="auto"/>
              </w:rPr>
            </w:pPr>
          </w:p>
        </w:tc>
        <w:tc>
          <w:tcPr>
            <w:tcW w:w="220" w:type="dxa"/>
            <w:vAlign w:val="bottom"/>
            <w:tcBorders>
              <w:bottom w:val="single" w:sz="8" w:color="231F20"/>
            </w:tcBorders>
            <w:shd w:val="clear" w:color="auto" w:fill="CFEDF9"/>
          </w:tcPr>
          <w:p>
            <w:pPr>
              <w:spacing w:after="0"/>
              <w:rPr>
                <w:sz w:val="21"/>
                <w:szCs w:val="21"/>
                <w:color w:val="auto"/>
              </w:rPr>
            </w:pPr>
          </w:p>
        </w:tc>
        <w:tc>
          <w:tcPr>
            <w:tcW w:w="9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bottom w:val="single" w:sz="8" w:color="CFEDF9"/>
            </w:tcBorders>
            <w:shd w:val="clear" w:color="auto" w:fill="CFEDF9"/>
          </w:tcPr>
          <w:p>
            <w:pPr>
              <w:spacing w:after="0"/>
              <w:rPr>
                <w:sz w:val="21"/>
                <w:szCs w:val="21"/>
                <w:color w:val="auto"/>
              </w:rPr>
            </w:pPr>
          </w:p>
        </w:tc>
        <w:tc>
          <w:tcPr>
            <w:tcW w:w="220" w:type="dxa"/>
            <w:vAlign w:val="bottom"/>
            <w:tcBorders>
              <w:bottom w:val="single" w:sz="8" w:color="231F20"/>
            </w:tcBorders>
            <w:shd w:val="clear" w:color="auto" w:fill="CFEDF9"/>
          </w:tcPr>
          <w:p>
            <w:pPr>
              <w:spacing w:after="0"/>
              <w:rPr>
                <w:sz w:val="21"/>
                <w:szCs w:val="21"/>
                <w:color w:val="auto"/>
              </w:rPr>
            </w:pPr>
          </w:p>
        </w:tc>
        <w:tc>
          <w:tcPr>
            <w:tcW w:w="9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55,842</w:t>
            </w:r>
          </w:p>
        </w:tc>
        <w:tc>
          <w:tcPr>
            <w:tcW w:w="100" w:type="dxa"/>
            <w:vAlign w:val="bottom"/>
            <w:tcBorders>
              <w:bottom w:val="single" w:sz="8" w:color="CFEDF9"/>
            </w:tcBorders>
            <w:shd w:val="clear" w:color="auto" w:fill="CFEDF9"/>
          </w:tcPr>
          <w:p>
            <w:pPr>
              <w:spacing w:after="0"/>
              <w:rPr>
                <w:sz w:val="21"/>
                <w:szCs w:val="21"/>
                <w:color w:val="auto"/>
              </w:rPr>
            </w:pPr>
          </w:p>
        </w:tc>
      </w:tr>
      <w:tr>
        <w:trPr>
          <w:trHeight w:val="200"/>
        </w:trPr>
        <w:tc>
          <w:tcPr>
            <w:tcW w:w="548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color w:val="231F20"/>
              </w:rPr>
              <w:t>Total investments at fair value</w:t>
            </w: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231F20"/>
              </w:rPr>
              <w:t>5,180</w:t>
            </w:r>
          </w:p>
        </w:tc>
        <w:tc>
          <w:tcPr>
            <w:tcW w:w="26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231F20"/>
              </w:rPr>
              <w:t>68,928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20"/>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231F20"/>
              </w:rPr>
              <w:t>3,208,957</w:t>
            </w:r>
          </w:p>
        </w:tc>
        <w:tc>
          <w:tcPr>
            <w:tcW w:w="240" w:type="dxa"/>
            <w:vAlign w:val="bottom"/>
          </w:tcPr>
          <w:p>
            <w:pPr>
              <w:spacing w:after="0"/>
              <w:rPr>
                <w:sz w:val="17"/>
                <w:szCs w:val="17"/>
                <w:color w:val="auto"/>
              </w:rPr>
            </w:pPr>
          </w:p>
        </w:tc>
        <w:tc>
          <w:tcPr>
            <w:tcW w:w="220" w:type="dxa"/>
            <w:vAlign w:val="bottom"/>
          </w:tcPr>
          <w:p>
            <w:pPr>
              <w:jc w:val="right"/>
              <w:ind w:right="20"/>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231F20"/>
              </w:rPr>
              <w:t>3,283,065</w:t>
            </w:r>
          </w:p>
        </w:tc>
        <w:tc>
          <w:tcPr>
            <w:tcW w:w="100" w:type="dxa"/>
            <w:vAlign w:val="bottom"/>
          </w:tcPr>
          <w:p>
            <w:pPr>
              <w:spacing w:after="0"/>
              <w:rPr>
                <w:sz w:val="17"/>
                <w:szCs w:val="17"/>
                <w:color w:val="auto"/>
              </w:rPr>
            </w:pPr>
          </w:p>
        </w:tc>
      </w:tr>
      <w:tr>
        <w:trPr>
          <w:trHeight w:val="250"/>
        </w:trPr>
        <w:tc>
          <w:tcPr>
            <w:tcW w:w="54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Interest rate swaps</w:t>
            </w:r>
          </w:p>
        </w:tc>
        <w:tc>
          <w:tcPr>
            <w:tcW w:w="2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10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(31,840)</w:t>
            </w:r>
          </w:p>
        </w:tc>
        <w:tc>
          <w:tcPr>
            <w:tcW w:w="8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104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(31,840)</w:t>
            </w:r>
          </w:p>
        </w:tc>
      </w:tr>
      <w:tr>
        <w:trPr>
          <w:trHeight w:val="200"/>
        </w:trPr>
        <w:tc>
          <w:tcPr>
            <w:tcW w:w="5480" w:type="dxa"/>
            <w:vAlign w:val="bottom"/>
            <w:tcBorders>
              <w:top w:val="single" w:sz="8" w:color="CFEDF9"/>
            </w:tcBorders>
          </w:tcPr>
          <w:p>
            <w:pPr>
              <w:ind w:left="200"/>
              <w:spacing w:after="0" w:line="20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20" w:type="dxa"/>
            <w:vAlign w:val="bottom"/>
            <w:tcBorders>
              <w:top w:val="single" w:sz="8" w:color="CFEDF9"/>
            </w:tcBorders>
          </w:tcPr>
          <w:p>
            <w:pPr>
              <w:spacing w:after="0"/>
              <w:rPr>
                <w:sz w:val="17"/>
                <w:szCs w:val="17"/>
                <w:color w:val="auto"/>
              </w:rPr>
            </w:pPr>
          </w:p>
        </w:tc>
        <w:tc>
          <w:tcPr>
            <w:tcW w:w="180" w:type="dxa"/>
            <w:vAlign w:val="bottom"/>
            <w:tcBorders>
              <w:top w:val="single" w:sz="8" w:color="231F20"/>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tcBorders>
              <w:top w:val="single" w:sz="8" w:color="231F20"/>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5,180</w:t>
            </w:r>
          </w:p>
        </w:tc>
        <w:tc>
          <w:tcPr>
            <w:tcW w:w="260" w:type="dxa"/>
            <w:vAlign w:val="bottom"/>
            <w:tcBorders>
              <w:top w:val="single" w:sz="8" w:color="CFEDF9"/>
            </w:tcBorders>
          </w:tcPr>
          <w:p>
            <w:pPr>
              <w:spacing w:after="0"/>
              <w:rPr>
                <w:sz w:val="17"/>
                <w:szCs w:val="17"/>
                <w:color w:val="auto"/>
              </w:rPr>
            </w:pPr>
          </w:p>
        </w:tc>
        <w:tc>
          <w:tcPr>
            <w:tcW w:w="180" w:type="dxa"/>
            <w:vAlign w:val="bottom"/>
            <w:tcBorders>
              <w:top w:val="single" w:sz="8" w:color="231F20"/>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37,088</w:t>
            </w:r>
          </w:p>
        </w:tc>
        <w:tc>
          <w:tcPr>
            <w:tcW w:w="160" w:type="dxa"/>
            <w:vAlign w:val="bottom"/>
            <w:tcBorders>
              <w:top w:val="single" w:sz="8" w:color="CFEDF9"/>
            </w:tcBorders>
          </w:tcPr>
          <w:p>
            <w:pPr>
              <w:spacing w:after="0"/>
              <w:rPr>
                <w:sz w:val="17"/>
                <w:szCs w:val="17"/>
                <w:color w:val="auto"/>
              </w:rPr>
            </w:pPr>
          </w:p>
        </w:tc>
        <w:tc>
          <w:tcPr>
            <w:tcW w:w="80" w:type="dxa"/>
            <w:vAlign w:val="bottom"/>
            <w:tcBorders>
              <w:top w:val="single" w:sz="8" w:color="CFEDF9"/>
            </w:tcBorders>
          </w:tcPr>
          <w:p>
            <w:pPr>
              <w:spacing w:after="0"/>
              <w:rPr>
                <w:sz w:val="17"/>
                <w:szCs w:val="17"/>
                <w:color w:val="auto"/>
              </w:rPr>
            </w:pPr>
          </w:p>
        </w:tc>
        <w:tc>
          <w:tcPr>
            <w:tcW w:w="220" w:type="dxa"/>
            <w:vAlign w:val="bottom"/>
            <w:tcBorders>
              <w:top w:val="single" w:sz="8" w:color="231F20"/>
              <w:bottom w:val="single" w:sz="8" w:color="231F20"/>
            </w:tcBorders>
          </w:tcPr>
          <w:p>
            <w:pPr>
              <w:jc w:val="right"/>
              <w:ind w:right="20"/>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3,208,957</w:t>
            </w:r>
          </w:p>
        </w:tc>
        <w:tc>
          <w:tcPr>
            <w:tcW w:w="240" w:type="dxa"/>
            <w:vAlign w:val="bottom"/>
            <w:tcBorders>
              <w:top w:val="single" w:sz="8" w:color="CFEDF9"/>
            </w:tcBorders>
          </w:tcPr>
          <w:p>
            <w:pPr>
              <w:spacing w:after="0"/>
              <w:rPr>
                <w:sz w:val="17"/>
                <w:szCs w:val="17"/>
                <w:color w:val="auto"/>
              </w:rPr>
            </w:pPr>
          </w:p>
        </w:tc>
        <w:tc>
          <w:tcPr>
            <w:tcW w:w="220" w:type="dxa"/>
            <w:vAlign w:val="bottom"/>
            <w:tcBorders>
              <w:top w:val="single" w:sz="8" w:color="231F20"/>
              <w:bottom w:val="single" w:sz="8" w:color="231F20"/>
            </w:tcBorders>
          </w:tcPr>
          <w:p>
            <w:pPr>
              <w:jc w:val="right"/>
              <w:ind w:right="20"/>
              <w:spacing w:after="0" w:line="200"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3,251,225</w:t>
            </w:r>
          </w:p>
        </w:tc>
        <w:tc>
          <w:tcPr>
            <w:tcW w:w="100" w:type="dxa"/>
            <w:vAlign w:val="bottom"/>
            <w:tcBorders>
              <w:top w:val="single" w:sz="8" w:color="CFEDF9"/>
            </w:tcBorders>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3960" w:type="dxa"/>
            <w:vAlign w:val="bottom"/>
            <w:tcBorders>
              <w:bottom w:val="single" w:sz="8" w:color="231F20"/>
            </w:tcBorders>
            <w:gridSpan w:val="9"/>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Fair Value Hierarchy at December 31, 2022</w:t>
            </w: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64"/>
              <w:spacing w:after="0" w:line="174" w:lineRule="exact"/>
              <w:rPr>
                <w:sz w:val="20"/>
                <w:szCs w:val="20"/>
                <w:color w:val="auto"/>
              </w:rPr>
            </w:pPr>
            <w:r>
              <w:rPr>
                <w:rFonts w:ascii="Times New Roman" w:cs="Times New Roman" w:eastAsia="Times New Roman" w:hAnsi="Times New Roman"/>
                <w:sz w:val="16"/>
                <w:szCs w:val="16"/>
                <w:b w:val="1"/>
                <w:bCs w:val="1"/>
                <w:color w:val="231F20"/>
              </w:rPr>
              <w:t>Level 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480"/>
              <w:spacing w:after="0" w:line="174" w:lineRule="exact"/>
              <w:rPr>
                <w:sz w:val="20"/>
                <w:szCs w:val="20"/>
                <w:color w:val="auto"/>
              </w:rPr>
            </w:pPr>
            <w:r>
              <w:rPr>
                <w:rFonts w:ascii="Times New Roman" w:cs="Times New Roman" w:eastAsia="Times New Roman" w:hAnsi="Times New Roman"/>
                <w:sz w:val="16"/>
                <w:szCs w:val="16"/>
                <w:b w:val="1"/>
                <w:bCs w:val="1"/>
                <w:color w:val="231F20"/>
              </w:rPr>
              <w:t>Level 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560"/>
              <w:spacing w:after="0" w:line="174" w:lineRule="exact"/>
              <w:rPr>
                <w:sz w:val="20"/>
                <w:szCs w:val="20"/>
                <w:color w:val="auto"/>
              </w:rPr>
            </w:pPr>
            <w:r>
              <w:rPr>
                <w:rFonts w:ascii="Times New Roman" w:cs="Times New Roman" w:eastAsia="Times New Roman" w:hAnsi="Times New Roman"/>
                <w:sz w:val="16"/>
                <w:szCs w:val="16"/>
                <w:b w:val="1"/>
                <w:bCs w:val="1"/>
                <w:color w:val="231F20"/>
              </w:rPr>
              <w:t>Level 3</w:t>
            </w:r>
          </w:p>
        </w:tc>
        <w:tc>
          <w:tcPr>
            <w:tcW w:w="200" w:type="dxa"/>
            <w:vAlign w:val="bottom"/>
          </w:tcPr>
          <w:p>
            <w:pPr>
              <w:spacing w:after="0"/>
              <w:rPr>
                <w:sz w:val="15"/>
                <w:szCs w:val="15"/>
                <w:color w:val="auto"/>
              </w:rPr>
            </w:pPr>
          </w:p>
        </w:tc>
        <w:tc>
          <w:tcPr>
            <w:tcW w:w="900" w:type="dxa"/>
            <w:vAlign w:val="bottom"/>
          </w:tcPr>
          <w:p>
            <w:pPr>
              <w:jc w:val="right"/>
              <w:ind w:right="262"/>
              <w:spacing w:after="0" w:line="17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100" w:type="dxa"/>
            <w:vAlign w:val="bottom"/>
          </w:tcPr>
          <w:p>
            <w:pPr>
              <w:spacing w:after="0"/>
              <w:rPr>
                <w:sz w:val="15"/>
                <w:szCs w:val="15"/>
                <w:color w:val="auto"/>
              </w:rPr>
            </w:pPr>
          </w:p>
        </w:tc>
      </w:tr>
      <w:tr>
        <w:trPr>
          <w:trHeight w:val="220"/>
        </w:trPr>
        <w:tc>
          <w:tcPr>
            <w:tcW w:w="518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First-lien debt investments</w:t>
            </w:r>
          </w:p>
        </w:tc>
        <w:tc>
          <w:tcPr>
            <w:tcW w:w="2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220" w:type="dxa"/>
            <w:vAlign w:val="bottom"/>
            <w:tcBorders>
              <w:top w:val="single" w:sz="8" w:color="231F20"/>
            </w:tcBorders>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21,935</w:t>
            </w:r>
          </w:p>
        </w:tc>
        <w:tc>
          <w:tcPr>
            <w:tcW w:w="16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220" w:type="dxa"/>
            <w:vAlign w:val="bottom"/>
            <w:tcBorders>
              <w:top w:val="single" w:sz="8" w:color="231F20"/>
            </w:tcBorders>
            <w:shd w:val="clear" w:color="auto" w:fill="CFEDF9"/>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2,495,959</w:t>
            </w:r>
          </w:p>
        </w:tc>
        <w:tc>
          <w:tcPr>
            <w:tcW w:w="24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2,517,894</w:t>
            </w:r>
          </w:p>
        </w:tc>
        <w:tc>
          <w:tcPr>
            <w:tcW w:w="100" w:type="dxa"/>
            <w:vAlign w:val="bottom"/>
            <w:tcBorders>
              <w:top w:val="single" w:sz="8" w:color="CFEDF9"/>
            </w:tcBorders>
            <w:shd w:val="clear" w:color="auto" w:fill="CFEDF9"/>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231F20"/>
              </w:rPr>
              <w:t>Second-lien debt investments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40,762</w:t>
            </w:r>
          </w:p>
        </w:tc>
        <w:tc>
          <w:tcPr>
            <w:tcW w:w="100" w:type="dxa"/>
            <w:vAlign w:val="bottom"/>
          </w:tcPr>
          <w:p>
            <w:pPr>
              <w:spacing w:after="0"/>
              <w:rPr>
                <w:sz w:val="19"/>
                <w:szCs w:val="19"/>
                <w:color w:val="auto"/>
              </w:rPr>
            </w:pPr>
          </w:p>
        </w:tc>
      </w:tr>
      <w:tr>
        <w:trPr>
          <w:trHeight w:val="230"/>
        </w:trPr>
        <w:tc>
          <w:tcPr>
            <w:tcW w:w="51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Mezzanine debt investments</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108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10,158</w:t>
            </w:r>
          </w:p>
        </w:tc>
        <w:tc>
          <w:tcPr>
            <w:tcW w:w="24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10,158</w:t>
            </w:r>
          </w:p>
        </w:tc>
        <w:tc>
          <w:tcPr>
            <w:tcW w:w="100" w:type="dxa"/>
            <w:vAlign w:val="bottom"/>
            <w:shd w:val="clear" w:color="auto" w:fill="CFEDF9"/>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231F20"/>
              </w:rPr>
              <w:t>Equity and other investments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147,059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167,685</w:t>
            </w:r>
          </w:p>
        </w:tc>
        <w:tc>
          <w:tcPr>
            <w:tcW w:w="100" w:type="dxa"/>
            <w:vAlign w:val="bottom"/>
          </w:tcPr>
          <w:p>
            <w:pPr>
              <w:spacing w:after="0"/>
              <w:rPr>
                <w:sz w:val="19"/>
                <w:szCs w:val="19"/>
                <w:color w:val="auto"/>
              </w:rPr>
            </w:pPr>
          </w:p>
        </w:tc>
      </w:tr>
      <w:tr>
        <w:trPr>
          <w:trHeight w:val="230"/>
        </w:trPr>
        <w:tc>
          <w:tcPr>
            <w:tcW w:w="51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Structured credit investments</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51,426</w:t>
            </w:r>
          </w:p>
        </w:tc>
        <w:tc>
          <w:tcPr>
            <w:tcW w:w="1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160" w:type="dxa"/>
            <w:vAlign w:val="bottom"/>
            <w:gridSpan w:val="2"/>
            <w:shd w:val="clear" w:color="auto" w:fill="CFEDF9"/>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19"/>
                <w:szCs w:val="19"/>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51,426</w:t>
            </w:r>
          </w:p>
        </w:tc>
        <w:tc>
          <w:tcPr>
            <w:tcW w:w="100" w:type="dxa"/>
            <w:vAlign w:val="bottom"/>
            <w:shd w:val="clear" w:color="auto" w:fill="CFEDF9"/>
          </w:tcPr>
          <w:p>
            <w:pPr>
              <w:spacing w:after="0"/>
              <w:rPr>
                <w:sz w:val="19"/>
                <w:szCs w:val="19"/>
                <w:color w:val="auto"/>
              </w:rPr>
            </w:pPr>
          </w:p>
        </w:tc>
      </w:tr>
      <w:tr>
        <w:trPr>
          <w:trHeight w:val="220"/>
        </w:trPr>
        <w:tc>
          <w:tcPr>
            <w:tcW w:w="51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 investments at fair value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7,498</w:t>
            </w:r>
          </w:p>
        </w:tc>
        <w:tc>
          <w:tcPr>
            <w:tcW w:w="240" w:type="dxa"/>
            <w:vAlign w:val="bottom"/>
          </w:tcPr>
          <w:p>
            <w:pPr>
              <w:spacing w:after="0"/>
              <w:rPr>
                <w:sz w:val="19"/>
                <w:szCs w:val="19"/>
                <w:color w:val="auto"/>
              </w:rPr>
            </w:pPr>
          </w:p>
        </w:tc>
        <w:tc>
          <w:tcPr>
            <w:tcW w:w="20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86,489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231F20"/>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2,693,938</w:t>
            </w:r>
          </w:p>
        </w:tc>
        <w:tc>
          <w:tcPr>
            <w:tcW w:w="240" w:type="dxa"/>
            <w:vAlign w:val="bottom"/>
          </w:tcPr>
          <w:p>
            <w:pPr>
              <w:spacing w:after="0"/>
              <w:rPr>
                <w:sz w:val="19"/>
                <w:szCs w:val="19"/>
                <w:color w:val="auto"/>
              </w:rPr>
            </w:pPr>
          </w:p>
        </w:tc>
        <w:tc>
          <w:tcPr>
            <w:tcW w:w="20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2,787,925</w:t>
            </w:r>
          </w:p>
        </w:tc>
        <w:tc>
          <w:tcPr>
            <w:tcW w:w="100" w:type="dxa"/>
            <w:vAlign w:val="bottom"/>
          </w:tcPr>
          <w:p>
            <w:pPr>
              <w:spacing w:after="0"/>
              <w:rPr>
                <w:sz w:val="19"/>
                <w:szCs w:val="19"/>
                <w:color w:val="auto"/>
              </w:rPr>
            </w:pPr>
          </w:p>
        </w:tc>
      </w:tr>
      <w:tr>
        <w:trPr>
          <w:trHeight w:val="230"/>
        </w:trPr>
        <w:tc>
          <w:tcPr>
            <w:tcW w:w="51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Interest rate swaps</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108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(55,314)</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160" w:type="dxa"/>
            <w:vAlign w:val="bottom"/>
            <w:gridSpan w:val="2"/>
            <w:shd w:val="clear" w:color="auto" w:fill="CFEDF9"/>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19"/>
                <w:szCs w:val="19"/>
                <w:color w:val="auto"/>
              </w:rPr>
            </w:pPr>
          </w:p>
        </w:tc>
        <w:tc>
          <w:tcPr>
            <w:tcW w:w="100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(55,314)</w:t>
            </w:r>
          </w:p>
        </w:tc>
      </w:tr>
      <w:tr>
        <w:trPr>
          <w:trHeight w:val="220"/>
        </w:trPr>
        <w:tc>
          <w:tcPr>
            <w:tcW w:w="51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231F20"/>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7,498</w:t>
            </w:r>
          </w:p>
        </w:tc>
        <w:tc>
          <w:tcPr>
            <w:tcW w:w="240" w:type="dxa"/>
            <w:vAlign w:val="bottom"/>
          </w:tcPr>
          <w:p>
            <w:pPr>
              <w:spacing w:after="0"/>
              <w:rPr>
                <w:sz w:val="19"/>
                <w:szCs w:val="19"/>
                <w:color w:val="auto"/>
              </w:rPr>
            </w:pPr>
          </w:p>
        </w:tc>
        <w:tc>
          <w:tcPr>
            <w:tcW w:w="2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31,175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231F20"/>
              <w:bottom w:val="single" w:sz="8" w:color="231F20"/>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2,693,938</w:t>
            </w:r>
          </w:p>
        </w:tc>
        <w:tc>
          <w:tcPr>
            <w:tcW w:w="240" w:type="dxa"/>
            <w:vAlign w:val="bottom"/>
          </w:tcPr>
          <w:p>
            <w:pPr>
              <w:spacing w:after="0"/>
              <w:rPr>
                <w:sz w:val="19"/>
                <w:szCs w:val="19"/>
                <w:color w:val="auto"/>
              </w:rPr>
            </w:pPr>
          </w:p>
        </w:tc>
        <w:tc>
          <w:tcPr>
            <w:tcW w:w="2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2,732,611</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Transfers between levels, if any, are recognized at the beginning of the quarter in which the transfers occur.</w:t>
      </w:r>
    </w:p>
    <w:p>
      <w:pPr>
        <w:spacing w:after="0" w:line="240" w:lineRule="exact"/>
        <w:rPr>
          <w:sz w:val="20"/>
          <w:szCs w:val="20"/>
          <w:color w:val="auto"/>
        </w:rPr>
      </w:pPr>
    </w:p>
    <w:p>
      <w:pPr>
        <w:ind w:right="200" w:firstLine="245"/>
        <w:spacing w:after="0" w:line="277" w:lineRule="auto"/>
        <w:rPr>
          <w:sz w:val="20"/>
          <w:szCs w:val="20"/>
          <w:color w:val="auto"/>
        </w:rPr>
      </w:pPr>
      <w:r>
        <w:rPr>
          <w:rFonts w:ascii="Times New Roman" w:cs="Times New Roman" w:eastAsia="Times New Roman" w:hAnsi="Times New Roman"/>
          <w:sz w:val="20"/>
          <w:szCs w:val="20"/>
          <w:color w:val="231F20"/>
        </w:rPr>
        <w:t>The following tables present the changes in the fair value of investments for which Level 3 inputs were used to determine the fair value as of and for the year ended December 31, 2023 and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8"/>
          </w:tcPr>
          <w:p>
            <w:pPr>
              <w:jc w:val="center"/>
              <w:ind w:left="125"/>
              <w:spacing w:after="0"/>
              <w:rPr>
                <w:sz w:val="20"/>
                <w:szCs w:val="20"/>
                <w:color w:val="auto"/>
              </w:rPr>
            </w:pPr>
            <w:r>
              <w:rPr>
                <w:rFonts w:ascii="Times New Roman" w:cs="Times New Roman" w:eastAsia="Times New Roman" w:hAnsi="Times New Roman"/>
                <w:sz w:val="16"/>
                <w:szCs w:val="16"/>
                <w:b w:val="1"/>
                <w:bCs w:val="1"/>
                <w:color w:val="231F20"/>
                <w:w w:val="99"/>
              </w:rPr>
              <w:t>As of and for the Year Ended</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380" w:type="dxa"/>
            <w:vAlign w:val="bottom"/>
            <w:tcBorders>
              <w:bottom w:val="single" w:sz="8" w:color="231F20"/>
            </w:tcBorders>
            <w:gridSpan w:val="7"/>
          </w:tcPr>
          <w:p>
            <w:pPr>
              <w:jc w:val="center"/>
              <w:ind w:left="245"/>
              <w:spacing w:after="0"/>
              <w:rPr>
                <w:sz w:val="20"/>
                <w:szCs w:val="20"/>
                <w:color w:val="auto"/>
              </w:rPr>
            </w:pPr>
            <w:r>
              <w:rPr>
                <w:rFonts w:ascii="Times New Roman" w:cs="Times New Roman" w:eastAsia="Times New Roman" w:hAnsi="Times New Roman"/>
                <w:sz w:val="16"/>
                <w:szCs w:val="16"/>
                <w:b w:val="1"/>
                <w:bCs w:val="1"/>
                <w:color w:val="231F20"/>
                <w:w w:val="98"/>
              </w:rPr>
              <w:t>December 31, 2023</w:t>
            </w:r>
          </w:p>
        </w:tc>
        <w:tc>
          <w:tcPr>
            <w:tcW w:w="12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6"/>
                <w:szCs w:val="16"/>
                <w:b w:val="1"/>
                <w:bCs w:val="1"/>
                <w:color w:val="231F20"/>
              </w:rPr>
              <w:t>First-lien</w:t>
            </w:r>
          </w:p>
        </w:tc>
        <w:tc>
          <w:tcPr>
            <w:tcW w:w="100" w:type="dxa"/>
            <w:vAlign w:val="bottom"/>
          </w:tcPr>
          <w:p>
            <w:pPr>
              <w:spacing w:after="0"/>
              <w:rPr>
                <w:sz w:val="13"/>
                <w:szCs w:val="13"/>
                <w:color w:val="auto"/>
              </w:rPr>
            </w:pPr>
          </w:p>
        </w:tc>
        <w:tc>
          <w:tcPr>
            <w:tcW w:w="1140" w:type="dxa"/>
            <w:vAlign w:val="bottom"/>
            <w:gridSpan w:val="3"/>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231F20"/>
              </w:rPr>
              <w:t>Second-lien</w:t>
            </w:r>
          </w:p>
        </w:tc>
        <w:tc>
          <w:tcPr>
            <w:tcW w:w="100" w:type="dxa"/>
            <w:vAlign w:val="bottom"/>
          </w:tcPr>
          <w:p>
            <w:pPr>
              <w:spacing w:after="0"/>
              <w:rPr>
                <w:sz w:val="13"/>
                <w:szCs w:val="13"/>
                <w:color w:val="auto"/>
              </w:rPr>
            </w:pPr>
          </w:p>
        </w:tc>
        <w:tc>
          <w:tcPr>
            <w:tcW w:w="1140" w:type="dxa"/>
            <w:vAlign w:val="bottom"/>
            <w:gridSpan w:val="3"/>
          </w:tcPr>
          <w:p>
            <w:pPr>
              <w:jc w:val="center"/>
              <w:ind w:right="360"/>
              <w:spacing w:after="0" w:line="155" w:lineRule="exact"/>
              <w:rPr>
                <w:sz w:val="20"/>
                <w:szCs w:val="20"/>
                <w:color w:val="auto"/>
              </w:rPr>
            </w:pPr>
            <w:r>
              <w:rPr>
                <w:rFonts w:ascii="Times New Roman" w:cs="Times New Roman" w:eastAsia="Times New Roman" w:hAnsi="Times New Roman"/>
                <w:sz w:val="16"/>
                <w:szCs w:val="16"/>
                <w:b w:val="1"/>
                <w:bCs w:val="1"/>
                <w:color w:val="231F20"/>
              </w:rPr>
              <w:t>Mezzanine</w:t>
            </w:r>
          </w:p>
        </w:tc>
        <w:tc>
          <w:tcPr>
            <w:tcW w:w="120" w:type="dxa"/>
            <w:vAlign w:val="bottom"/>
          </w:tcPr>
          <w:p>
            <w:pPr>
              <w:spacing w:after="0"/>
              <w:rPr>
                <w:sz w:val="13"/>
                <w:szCs w:val="13"/>
                <w:color w:val="auto"/>
              </w:rPr>
            </w:pPr>
          </w:p>
        </w:tc>
        <w:tc>
          <w:tcPr>
            <w:tcW w:w="1120" w:type="dxa"/>
            <w:vAlign w:val="bottom"/>
            <w:gridSpan w:val="3"/>
          </w:tcPr>
          <w:p>
            <w:pPr>
              <w:jc w:val="center"/>
              <w:ind w:right="380"/>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Equity</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231F20"/>
              </w:rPr>
              <w:t>debt</w:t>
            </w:r>
          </w:p>
        </w:tc>
        <w:tc>
          <w:tcPr>
            <w:tcW w:w="100" w:type="dxa"/>
            <w:vAlign w:val="bottom"/>
          </w:tcPr>
          <w:p>
            <w:pPr>
              <w:spacing w:after="0"/>
              <w:rPr>
                <w:sz w:val="15"/>
                <w:szCs w:val="15"/>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debt</w:t>
            </w:r>
          </w:p>
        </w:tc>
        <w:tc>
          <w:tcPr>
            <w:tcW w:w="100" w:type="dxa"/>
            <w:vAlign w:val="bottom"/>
          </w:tcPr>
          <w:p>
            <w:pPr>
              <w:spacing w:after="0"/>
              <w:rPr>
                <w:sz w:val="15"/>
                <w:szCs w:val="15"/>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9"/>
              </w:rPr>
              <w:t>debt</w:t>
            </w:r>
          </w:p>
        </w:tc>
        <w:tc>
          <w:tcPr>
            <w:tcW w:w="120" w:type="dxa"/>
            <w:vAlign w:val="bottom"/>
          </w:tcPr>
          <w:p>
            <w:pPr>
              <w:spacing w:after="0"/>
              <w:rPr>
                <w:sz w:val="15"/>
                <w:szCs w:val="15"/>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9"/>
              </w:rPr>
              <w:t>and other</w:t>
            </w: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231F20"/>
                <w:w w:val="98"/>
              </w:rPr>
              <w:t>investments</w:t>
            </w: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investments</w:t>
            </w: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investments</w:t>
            </w: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8"/>
              </w:rPr>
              <w:t>investments</w:t>
            </w: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tcBorders>
              <w:top w:val="single" w:sz="8" w:color="CFEDF9"/>
            </w:tcBorders>
            <w:gridSpan w:val="2"/>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Balance, beginning of period</w:t>
            </w:r>
          </w:p>
        </w:tc>
        <w:tc>
          <w:tcPr>
            <w:tcW w:w="200" w:type="dxa"/>
            <w:vAlign w:val="bottom"/>
            <w:tcBorders>
              <w:top w:val="single" w:sz="8" w:color="231F20"/>
            </w:tcBorders>
            <w:shd w:val="clear" w:color="auto" w:fill="CFEDF9"/>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2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2,495,959</w:t>
            </w:r>
          </w:p>
        </w:tc>
        <w:tc>
          <w:tcPr>
            <w:tcW w:w="24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40,762</w:t>
            </w:r>
          </w:p>
        </w:tc>
        <w:tc>
          <w:tcPr>
            <w:tcW w:w="2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9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10,158</w:t>
            </w:r>
          </w:p>
        </w:tc>
        <w:tc>
          <w:tcPr>
            <w:tcW w:w="2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147,059</w:t>
            </w:r>
          </w:p>
        </w:tc>
        <w:tc>
          <w:tcPr>
            <w:tcW w:w="24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9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96"/>
                <w:shd w:val="clear" w:color="auto" w:fill="CFEDF9"/>
              </w:rPr>
              <w:t>$ 2,693,938</w:t>
            </w:r>
          </w:p>
        </w:tc>
        <w:tc>
          <w:tcPr>
            <w:tcW w:w="10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Purchases or originations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887,495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30,197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13,709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939,362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Repayments / redemptions</w:t>
            </w:r>
          </w:p>
        </w:tc>
        <w:tc>
          <w:tcPr>
            <w:tcW w:w="200" w:type="dxa"/>
            <w:vAlign w:val="bottom"/>
            <w:shd w:val="clear" w:color="auto" w:fill="CFEDF9"/>
          </w:tcPr>
          <w:p>
            <w:pPr>
              <w:spacing w:after="0"/>
              <w:rPr>
                <w:sz w:val="19"/>
                <w:szCs w:val="19"/>
                <w:color w:val="auto"/>
              </w:rPr>
            </w:pPr>
          </w:p>
        </w:tc>
        <w:tc>
          <w:tcPr>
            <w:tcW w:w="12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40" w:type="dxa"/>
            <w:vAlign w:val="bottom"/>
            <w:gridSpan w:val="3"/>
            <w:shd w:val="clear" w:color="auto" w:fill="CFEDF9"/>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19"/>
                <w:szCs w:val="19"/>
                <w:color w:val="auto"/>
              </w:rPr>
            </w:pPr>
          </w:p>
        </w:tc>
        <w:tc>
          <w:tcPr>
            <w:tcW w:w="1140" w:type="dxa"/>
            <w:vAlign w:val="bottom"/>
            <w:gridSpan w:val="3"/>
            <w:shd w:val="clear" w:color="auto" w:fill="CFEDF9"/>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CFEDF9"/>
          </w:tcPr>
          <w:p>
            <w:pPr>
              <w:spacing w:after="0"/>
              <w:rPr>
                <w:sz w:val="19"/>
                <w:szCs w:val="19"/>
                <w:color w:val="auto"/>
              </w:rPr>
            </w:pPr>
          </w:p>
        </w:tc>
        <w:tc>
          <w:tcPr>
            <w:tcW w:w="110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(11,217)</w:t>
            </w:r>
          </w:p>
        </w:tc>
        <w:tc>
          <w:tcPr>
            <w:tcW w:w="20" w:type="dxa"/>
            <w:vAlign w:val="bottom"/>
            <w:shd w:val="clear" w:color="auto" w:fill="CFEDF9"/>
          </w:tcPr>
          <w:p>
            <w:pPr>
              <w:spacing w:after="0"/>
              <w:rPr>
                <w:sz w:val="19"/>
                <w:szCs w:val="19"/>
                <w:color w:val="auto"/>
              </w:rPr>
            </w:pPr>
          </w:p>
        </w:tc>
        <w:tc>
          <w:tcPr>
            <w:tcW w:w="104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(11,217)</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Sales Proceeds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(472,044)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(472,146)</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Paid-in-kind interest</w:t>
            </w:r>
          </w:p>
        </w:tc>
        <w:tc>
          <w:tcPr>
            <w:tcW w:w="200" w:type="dxa"/>
            <w:vAlign w:val="bottom"/>
            <w:shd w:val="clear" w:color="auto" w:fill="CFEDF9"/>
          </w:tcPr>
          <w:p>
            <w:pPr>
              <w:spacing w:after="0"/>
              <w:rPr>
                <w:sz w:val="19"/>
                <w:szCs w:val="19"/>
                <w:color w:val="auto"/>
              </w:rPr>
            </w:pPr>
          </w:p>
        </w:tc>
        <w:tc>
          <w:tcPr>
            <w:tcW w:w="12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15,296</w:t>
            </w:r>
          </w:p>
        </w:tc>
        <w:tc>
          <w:tcPr>
            <w:tcW w:w="2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623</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2,242</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20" w:type="dxa"/>
            <w:vAlign w:val="bottom"/>
            <w:gridSpan w:val="3"/>
            <w:shd w:val="clear" w:color="auto" w:fill="CFEDF9"/>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18,161</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change in unrealized gains (losses)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51,240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(13,467)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(1,186)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(20,917)</w:t>
            </w: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realized gains (losses)</w:t>
            </w:r>
          </w:p>
        </w:tc>
        <w:tc>
          <w:tcPr>
            <w:tcW w:w="200" w:type="dxa"/>
            <w:vAlign w:val="bottom"/>
            <w:shd w:val="clear" w:color="auto" w:fill="CFEDF9"/>
          </w:tcPr>
          <w:p>
            <w:pPr>
              <w:spacing w:after="0"/>
              <w:rPr>
                <w:sz w:val="19"/>
                <w:szCs w:val="19"/>
                <w:color w:val="auto"/>
              </w:rPr>
            </w:pPr>
          </w:p>
        </w:tc>
        <w:tc>
          <w:tcPr>
            <w:tcW w:w="12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(487)</w:t>
            </w:r>
          </w:p>
        </w:tc>
        <w:tc>
          <w:tcPr>
            <w:tcW w:w="2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40" w:type="dxa"/>
            <w:vAlign w:val="bottom"/>
            <w:gridSpan w:val="3"/>
            <w:shd w:val="clear" w:color="auto" w:fill="CFEDF9"/>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19"/>
                <w:szCs w:val="19"/>
                <w:color w:val="auto"/>
              </w:rPr>
            </w:pPr>
          </w:p>
        </w:tc>
        <w:tc>
          <w:tcPr>
            <w:tcW w:w="1140" w:type="dxa"/>
            <w:vAlign w:val="bottom"/>
            <w:gridSpan w:val="3"/>
            <w:shd w:val="clear" w:color="auto" w:fill="CFEDF9"/>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8,466</w:t>
            </w:r>
          </w:p>
        </w:tc>
        <w:tc>
          <w:tcPr>
            <w:tcW w:w="2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7,979</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amortization of discount on securities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Transfers within Level 3</w:t>
            </w:r>
          </w:p>
        </w:tc>
        <w:tc>
          <w:tcPr>
            <w:tcW w:w="200" w:type="dxa"/>
            <w:vAlign w:val="bottom"/>
            <w:shd w:val="clear" w:color="auto" w:fill="CFEDF9"/>
          </w:tcPr>
          <w:p>
            <w:pPr>
              <w:spacing w:after="0"/>
              <w:rPr>
                <w:sz w:val="19"/>
                <w:szCs w:val="19"/>
                <w:color w:val="auto"/>
              </w:rPr>
            </w:pPr>
          </w:p>
        </w:tc>
        <w:tc>
          <w:tcPr>
            <w:tcW w:w="12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40" w:type="dxa"/>
            <w:vAlign w:val="bottom"/>
            <w:gridSpan w:val="3"/>
            <w:shd w:val="clear" w:color="auto" w:fill="CFEDF9"/>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19"/>
                <w:szCs w:val="19"/>
                <w:color w:val="auto"/>
              </w:rPr>
            </w:pPr>
          </w:p>
        </w:tc>
        <w:tc>
          <w:tcPr>
            <w:tcW w:w="112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(2,500)</w:t>
            </w: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2,500</w:t>
            </w:r>
          </w:p>
        </w:tc>
        <w:tc>
          <w:tcPr>
            <w:tcW w:w="24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4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Transfers into (out of) Level 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Borders>
              <w:top w:val="single" w:sz="8" w:color="CFEDF9"/>
            </w:tcBorders>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Balance, End of Period</w:t>
            </w:r>
          </w:p>
        </w:tc>
        <w:tc>
          <w:tcPr>
            <w:tcW w:w="20" w:type="dxa"/>
            <w:vAlign w:val="bottom"/>
            <w:tcBorders>
              <w:top w:val="single" w:sz="8" w:color="231F20"/>
            </w:tcBorders>
            <w:shd w:val="clear" w:color="auto" w:fill="CFEDF9"/>
          </w:tcPr>
          <w:p>
            <w:pPr>
              <w:spacing w:after="0"/>
              <w:rPr>
                <w:sz w:val="19"/>
                <w:szCs w:val="19"/>
                <w:color w:val="auto"/>
              </w:rPr>
            </w:pPr>
          </w:p>
        </w:tc>
        <w:tc>
          <w:tcPr>
            <w:tcW w:w="200" w:type="dxa"/>
            <w:vAlign w:val="bottom"/>
            <w:tcBorders>
              <w:top w:val="single" w:sz="8" w:color="231F20"/>
              <w:bottom w:val="single" w:sz="8" w:color="231F20"/>
            </w:tcBorders>
            <w:shd w:val="clear" w:color="auto" w:fill="CFEDF9"/>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26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2,993,786</w:t>
            </w:r>
          </w:p>
        </w:tc>
        <w:tc>
          <w:tcPr>
            <w:tcW w:w="24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0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35,975</w:t>
            </w:r>
          </w:p>
        </w:tc>
        <w:tc>
          <w:tcPr>
            <w:tcW w:w="2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10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90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38,865</w:t>
            </w:r>
          </w:p>
        </w:tc>
        <w:tc>
          <w:tcPr>
            <w:tcW w:w="2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1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6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140,331</w:t>
            </w:r>
          </w:p>
        </w:tc>
        <w:tc>
          <w:tcPr>
            <w:tcW w:w="24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94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96"/>
                <w:shd w:val="clear" w:color="auto" w:fill="CFEDF9"/>
              </w:rPr>
              <w:t>$ 3,208,957</w:t>
            </w:r>
          </w:p>
        </w:tc>
        <w:tc>
          <w:tcPr>
            <w:tcW w:w="10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3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F-30</w:t>
      </w:r>
    </w:p>
    <w:p>
      <w:pPr>
        <w:sectPr>
          <w:pgSz w:w="12240" w:h="15840" w:orient="portrait"/>
          <w:cols w:equalWidth="0" w:num="1">
            <w:col w:w="10800"/>
          </w:cols>
          <w:pgMar w:left="720" w:top="930" w:right="720" w:bottom="186" w:gutter="0" w:footer="0" w:header="0"/>
          <w:type w:val="continuous"/>
        </w:sectPr>
      </w:pPr>
    </w:p>
    <w:bookmarkStart w:id="115" w:name="page116"/>
    <w:bookmarkEnd w:id="115"/>
    <w:p>
      <w:pPr>
        <w:ind w:right="60" w:firstLine="245"/>
        <w:spacing w:after="0" w:line="258" w:lineRule="auto"/>
        <w:rPr>
          <w:sz w:val="20"/>
          <w:szCs w:val="20"/>
          <w:color w:val="auto"/>
        </w:rPr>
      </w:pPr>
      <w:r>
        <w:rPr>
          <w:rFonts w:ascii="Times New Roman" w:cs="Times New Roman" w:eastAsia="Times New Roman" w:hAnsi="Times New Roman"/>
          <w:sz w:val="20"/>
          <w:szCs w:val="20"/>
          <w:color w:val="231F20"/>
        </w:rPr>
        <w:t>Certain of the Company's investment positions in Copper Bidco, LLC were transferred into Level 3 from Level 2 for fair value measurement purposes during the year ended December 31, 2023, as a result of changes in the observability of inputs into the security valuation for this portfolio company.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231F20"/>
              </w:rPr>
              <w:t>As of and for the Year Ended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180" w:type="dxa"/>
            <w:vAlign w:val="bottom"/>
            <w:tcBorders>
              <w:bottom w:val="single" w:sz="8" w:color="231F20"/>
            </w:tcBorders>
            <w:gridSpan w:val="8"/>
          </w:tcPr>
          <w:p>
            <w:pPr>
              <w:jc w:val="center"/>
              <w:ind w:left="65"/>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First-lien debt</w:t>
            </w:r>
          </w:p>
        </w:tc>
        <w:tc>
          <w:tcPr>
            <w:tcW w:w="1200" w:type="dxa"/>
            <w:vAlign w:val="bottom"/>
            <w:gridSpan w:val="4"/>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231F20"/>
                <w:w w:val="98"/>
              </w:rPr>
              <w:t>Second-lien</w:t>
            </w:r>
          </w:p>
        </w:tc>
        <w:tc>
          <w:tcPr>
            <w:tcW w:w="80" w:type="dxa"/>
            <w:vAlign w:val="bottom"/>
          </w:tcPr>
          <w:p>
            <w:pPr>
              <w:spacing w:after="0"/>
              <w:rPr>
                <w:sz w:val="13"/>
                <w:szCs w:val="13"/>
                <w:color w:val="auto"/>
              </w:rPr>
            </w:pPr>
          </w:p>
        </w:tc>
        <w:tc>
          <w:tcPr>
            <w:tcW w:w="1100" w:type="dxa"/>
            <w:vAlign w:val="bottom"/>
            <w:gridSpan w:val="4"/>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231F20"/>
              </w:rPr>
              <w:t>Mezzanine</w:t>
            </w:r>
          </w:p>
        </w:tc>
        <w:tc>
          <w:tcPr>
            <w:tcW w:w="100" w:type="dxa"/>
            <w:vAlign w:val="bottom"/>
          </w:tcPr>
          <w:p>
            <w:pPr>
              <w:spacing w:after="0"/>
              <w:rPr>
                <w:sz w:val="13"/>
                <w:szCs w:val="13"/>
                <w:color w:val="auto"/>
              </w:rPr>
            </w:pPr>
          </w:p>
        </w:tc>
        <w:tc>
          <w:tcPr>
            <w:tcW w:w="1120" w:type="dxa"/>
            <w:vAlign w:val="bottom"/>
            <w:gridSpan w:val="3"/>
          </w:tcPr>
          <w:p>
            <w:pPr>
              <w:jc w:val="center"/>
              <w:ind w:right="360"/>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Equity and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231F20"/>
                <w:w w:val="99"/>
              </w:rPr>
              <w:t>debt</w:t>
            </w:r>
          </w:p>
        </w:tc>
        <w:tc>
          <w:tcPr>
            <w:tcW w:w="80" w:type="dxa"/>
            <w:vAlign w:val="bottom"/>
          </w:tcPr>
          <w:p>
            <w:pPr>
              <w:spacing w:after="0"/>
              <w:rPr>
                <w:sz w:val="15"/>
                <w:szCs w:val="15"/>
                <w:color w:val="auto"/>
              </w:rPr>
            </w:pPr>
          </w:p>
        </w:tc>
        <w:tc>
          <w:tcPr>
            <w:tcW w:w="110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9"/>
              </w:rPr>
              <w:t>debt</w:t>
            </w:r>
          </w:p>
        </w:tc>
        <w:tc>
          <w:tcPr>
            <w:tcW w:w="10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8"/>
              </w:rPr>
              <w:t>other</w:t>
            </w:r>
          </w:p>
        </w:tc>
        <w:tc>
          <w:tcPr>
            <w:tcW w:w="100" w:type="dxa"/>
            <w:vAlign w:val="bottom"/>
          </w:tcPr>
          <w:p>
            <w:pPr>
              <w:spacing w:after="0"/>
              <w:rPr>
                <w:sz w:val="15"/>
                <w:szCs w:val="15"/>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investments</w:t>
            </w: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investments</w:t>
            </w:r>
          </w:p>
        </w:tc>
        <w:tc>
          <w:tcPr>
            <w:tcW w:w="11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investments</w:t>
            </w: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investments</w:t>
            </w: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tcBorders>
              <w:top w:val="single" w:sz="8" w:color="CFEDF9"/>
            </w:tcBorders>
            <w:gridSpan w:val="2"/>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Balance, beginning of period</w:t>
            </w:r>
          </w:p>
        </w:tc>
        <w:tc>
          <w:tcPr>
            <w:tcW w:w="1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14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2,298,856</w:t>
            </w:r>
          </w:p>
        </w:tc>
        <w:tc>
          <w:tcPr>
            <w:tcW w:w="2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231F20"/>
            </w:tcBorders>
            <w:shd w:val="clear" w:color="auto" w:fill="CFEDF9"/>
          </w:tcPr>
          <w:p>
            <w:pPr>
              <w:jc w:val="right"/>
              <w:ind w:right="38"/>
              <w:spacing w:after="0"/>
              <w:rPr>
                <w:sz w:val="20"/>
                <w:szCs w:val="20"/>
                <w:color w:val="auto"/>
              </w:rPr>
            </w:pPr>
            <w:r>
              <w:rPr>
                <w:rFonts w:ascii="Times New Roman" w:cs="Times New Roman" w:eastAsia="Times New Roman" w:hAnsi="Times New Roman"/>
                <w:sz w:val="17"/>
                <w:szCs w:val="17"/>
                <w:color w:val="231F20"/>
                <w:w w:val="70"/>
              </w:rPr>
              <w:t>$</w:t>
            </w:r>
          </w:p>
        </w:tc>
        <w:tc>
          <w:tcPr>
            <w:tcW w:w="7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80" w:type="dxa"/>
            <w:vAlign w:val="bottom"/>
            <w:tcBorders>
              <w:top w:val="single" w:sz="8" w:color="231F20"/>
            </w:tcBorders>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18,549</w:t>
            </w:r>
          </w:p>
        </w:tc>
        <w:tc>
          <w:tcPr>
            <w:tcW w:w="20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117,233</w:t>
            </w:r>
          </w:p>
        </w:tc>
        <w:tc>
          <w:tcPr>
            <w:tcW w:w="2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2,434,638</w:t>
            </w:r>
          </w:p>
        </w:tc>
        <w:tc>
          <w:tcPr>
            <w:tcW w:w="10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Purchases or originations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876,485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45,144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921,683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Repayments / redemptions</w:t>
            </w:r>
          </w:p>
        </w:tc>
        <w:tc>
          <w:tcPr>
            <w:tcW w:w="120" w:type="dxa"/>
            <w:vAlign w:val="bottom"/>
            <w:shd w:val="clear" w:color="auto" w:fill="CFEDF9"/>
          </w:tcPr>
          <w:p>
            <w:pPr>
              <w:spacing w:after="0"/>
              <w:rPr>
                <w:sz w:val="19"/>
                <w:szCs w:val="19"/>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(665,531)</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8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(10)</w:t>
            </w: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100" w:type="dxa"/>
            <w:vAlign w:val="bottom"/>
            <w:gridSpan w:val="4"/>
            <w:shd w:val="clear" w:color="auto" w:fill="CFEDF9"/>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19"/>
                <w:szCs w:val="19"/>
                <w:color w:val="auto"/>
              </w:rPr>
            </w:pPr>
          </w:p>
        </w:tc>
        <w:tc>
          <w:tcPr>
            <w:tcW w:w="110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(18,316)</w:t>
            </w:r>
          </w:p>
        </w:tc>
        <w:tc>
          <w:tcPr>
            <w:tcW w:w="20" w:type="dxa"/>
            <w:vAlign w:val="bottom"/>
            <w:shd w:val="clear" w:color="auto" w:fill="CFEDF9"/>
          </w:tcPr>
          <w:p>
            <w:pPr>
              <w:spacing w:after="0"/>
              <w:rPr>
                <w:sz w:val="19"/>
                <w:szCs w:val="19"/>
                <w:color w:val="auto"/>
              </w:rPr>
            </w:pPr>
          </w:p>
        </w:tc>
        <w:tc>
          <w:tcPr>
            <w:tcW w:w="106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(683,857)</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Paid-in-kind interest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change in unrealized gains (losses)</w:t>
            </w:r>
          </w:p>
        </w:tc>
        <w:tc>
          <w:tcPr>
            <w:tcW w:w="120" w:type="dxa"/>
            <w:vAlign w:val="bottom"/>
            <w:shd w:val="clear" w:color="auto" w:fill="CFEDF9"/>
          </w:tcPr>
          <w:p>
            <w:pPr>
              <w:spacing w:after="0"/>
              <w:rPr>
                <w:sz w:val="19"/>
                <w:szCs w:val="19"/>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(44,455)</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8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(2,081)</w:t>
            </w: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080" w:type="dxa"/>
            <w:vAlign w:val="bottom"/>
            <w:gridSpan w:val="3"/>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(6,520)</w:t>
            </w: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0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(13,158)</w:t>
            </w:r>
          </w:p>
        </w:tc>
        <w:tc>
          <w:tcPr>
            <w:tcW w:w="20" w:type="dxa"/>
            <w:vAlign w:val="bottom"/>
            <w:shd w:val="clear" w:color="auto" w:fill="CFEDF9"/>
          </w:tcPr>
          <w:p>
            <w:pPr>
              <w:spacing w:after="0"/>
              <w:rPr>
                <w:sz w:val="19"/>
                <w:szCs w:val="19"/>
                <w:color w:val="auto"/>
              </w:rPr>
            </w:pPr>
          </w:p>
        </w:tc>
        <w:tc>
          <w:tcPr>
            <w:tcW w:w="106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(66,214)</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realized gains (losses)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9"/>
                <w:szCs w:val="19"/>
                <w:color w:val="auto"/>
              </w:rPr>
            </w:pP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amortization of discount on securities</w:t>
            </w:r>
          </w:p>
        </w:tc>
        <w:tc>
          <w:tcPr>
            <w:tcW w:w="120" w:type="dxa"/>
            <w:vAlign w:val="bottom"/>
            <w:shd w:val="clear" w:color="auto" w:fill="CFEDF9"/>
          </w:tcPr>
          <w:p>
            <w:pPr>
              <w:spacing w:after="0"/>
              <w:rPr>
                <w:sz w:val="19"/>
                <w:szCs w:val="19"/>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18,583</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8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20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20" w:type="dxa"/>
            <w:vAlign w:val="bottom"/>
            <w:gridSpan w:val="3"/>
            <w:shd w:val="clear" w:color="auto" w:fill="CFEDF9"/>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18,658</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Transfers within Level 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(2,134)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Transfers into (out of) Level 3</w:t>
            </w:r>
          </w:p>
        </w:tc>
        <w:tc>
          <w:tcPr>
            <w:tcW w:w="120" w:type="dxa"/>
            <w:vAlign w:val="bottom"/>
            <w:shd w:val="clear" w:color="auto" w:fill="CFEDF9"/>
          </w:tcPr>
          <w:p>
            <w:pPr>
              <w:spacing w:after="0"/>
              <w:rPr>
                <w:sz w:val="19"/>
                <w:szCs w:val="19"/>
                <w:color w:val="auto"/>
              </w:rPr>
            </w:pPr>
          </w:p>
        </w:tc>
        <w:tc>
          <w:tcPr>
            <w:tcW w:w="14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42,729</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100" w:type="dxa"/>
            <w:vAlign w:val="bottom"/>
            <w:gridSpan w:val="4"/>
            <w:shd w:val="clear" w:color="auto" w:fill="CFEDF9"/>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19"/>
                <w:szCs w:val="19"/>
                <w:color w:val="auto"/>
              </w:rPr>
            </w:pPr>
          </w:p>
        </w:tc>
        <w:tc>
          <w:tcPr>
            <w:tcW w:w="1120" w:type="dxa"/>
            <w:vAlign w:val="bottom"/>
            <w:gridSpan w:val="3"/>
            <w:shd w:val="clear" w:color="auto" w:fill="CFEDF9"/>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42,729</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Balance, End of Period</w:t>
            </w:r>
          </w:p>
        </w:tc>
        <w:tc>
          <w:tcPr>
            <w:tcW w:w="20" w:type="dxa"/>
            <w:vAlign w:val="bottom"/>
            <w:tcBorders>
              <w:top w:val="single" w:sz="8" w:color="231F20"/>
            </w:tcBorders>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2,495,959</w:t>
            </w:r>
          </w:p>
        </w:tc>
        <w:tc>
          <w:tcPr>
            <w:tcW w:w="22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200" w:type="dxa"/>
            <w:vAlign w:val="bottom"/>
            <w:tcBorders>
              <w:top w:val="single" w:sz="8" w:color="231F20"/>
              <w:bottom w:val="single" w:sz="8" w:color="231F20"/>
            </w:tcBorders>
          </w:tcPr>
          <w:p>
            <w:pPr>
              <w:jc w:val="right"/>
              <w:ind w:right="38"/>
              <w:spacing w:after="0"/>
              <w:rPr>
                <w:sz w:val="20"/>
                <w:szCs w:val="20"/>
                <w:color w:val="auto"/>
              </w:rPr>
            </w:pPr>
            <w:r>
              <w:rPr>
                <w:rFonts w:ascii="Times New Roman" w:cs="Times New Roman" w:eastAsia="Times New Roman" w:hAnsi="Times New Roman"/>
                <w:sz w:val="17"/>
                <w:szCs w:val="17"/>
                <w:color w:val="231F20"/>
                <w:w w:val="70"/>
              </w:rPr>
              <w:t>$</w:t>
            </w:r>
          </w:p>
        </w:tc>
        <w:tc>
          <w:tcPr>
            <w:tcW w:w="7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40,762</w:t>
            </w:r>
          </w:p>
        </w:tc>
        <w:tc>
          <w:tcPr>
            <w:tcW w:w="22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10,158</w:t>
            </w:r>
          </w:p>
        </w:tc>
        <w:tc>
          <w:tcPr>
            <w:tcW w:w="20" w:type="dxa"/>
            <w:vAlign w:val="bottom"/>
            <w:tcBorders>
              <w:bottom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147,059</w:t>
            </w:r>
          </w:p>
        </w:tc>
        <w:tc>
          <w:tcPr>
            <w:tcW w:w="22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960" w:type="dxa"/>
            <w:vAlign w:val="bottom"/>
            <w:tcBorders>
              <w:top w:val="single" w:sz="8" w:color="231F20"/>
              <w:bottom w:val="single" w:sz="8" w:color="231F2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rPr>
              <w:t>$ 2,693,938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right="500" w:firstLine="245"/>
        <w:spacing w:after="0" w:line="305" w:lineRule="auto"/>
        <w:rPr>
          <w:sz w:val="20"/>
          <w:szCs w:val="20"/>
          <w:color w:val="auto"/>
        </w:rPr>
      </w:pPr>
      <w:r>
        <w:rPr>
          <w:rFonts w:ascii="Times New Roman" w:cs="Times New Roman" w:eastAsia="Times New Roman" w:hAnsi="Times New Roman"/>
          <w:sz w:val="19"/>
          <w:szCs w:val="19"/>
          <w:color w:val="231F20"/>
        </w:rPr>
        <w:t>Astra Acquisition Corp. was transferred into Level 3 from Level 2 for fair value measurement purposes during the year ended December 31, 2022, as a result of changes in the observability of inputs into the security valuation for this portfolio company.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following table presents information with respect to the net change in unrealized gains or losses on investments for which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Level 3 inputs were used in determining fair value that are still held by the Company at December 31, 2023 and 2022:</w:t>
      </w:r>
    </w:p>
    <w:p>
      <w:pPr>
        <w:spacing w:after="0" w:line="212"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w w:val="99"/>
              </w:rPr>
              <w:t>Net Change in Unrealized</w:t>
            </w:r>
          </w:p>
        </w:tc>
        <w:tc>
          <w:tcPr>
            <w:tcW w:w="60" w:type="dxa"/>
            <w:vAlign w:val="bottom"/>
          </w:tcPr>
          <w:p>
            <w:pPr>
              <w:spacing w:after="0"/>
              <w:rPr>
                <w:sz w:val="16"/>
                <w:szCs w:val="16"/>
                <w:color w:val="auto"/>
              </w:rPr>
            </w:pPr>
          </w:p>
        </w:tc>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9"/>
              </w:rPr>
              <w:t>Net Change in Unrealized</w:t>
            </w:r>
          </w:p>
        </w:tc>
      </w:tr>
      <w:tr>
        <w:trPr>
          <w:trHeight w:val="184"/>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Gains or (Losses)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Gains or (Losses)</w:t>
            </w:r>
          </w:p>
        </w:tc>
      </w:tr>
      <w:tr>
        <w:trPr>
          <w:trHeight w:val="184"/>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9"/>
              </w:rPr>
              <w:t>for the Year Ended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for the Year Ended</w:t>
            </w:r>
          </w:p>
        </w:tc>
      </w:tr>
      <w:tr>
        <w:trPr>
          <w:trHeight w:val="184"/>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December 31, 2023 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December 31, 2022 on</w:t>
            </w:r>
          </w:p>
        </w:tc>
      </w:tr>
      <w:tr>
        <w:trPr>
          <w:trHeight w:val="184"/>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9"/>
              </w:rPr>
              <w:t>Investments Held at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Investments Held at</w:t>
            </w: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December 31, 2022</w:t>
            </w:r>
          </w:p>
        </w:tc>
      </w:tr>
      <w:tr>
        <w:trPr>
          <w:trHeight w:val="220"/>
        </w:trPr>
        <w:tc>
          <w:tcPr>
            <w:tcW w:w="450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First-lien debt investments</w:t>
            </w:r>
          </w:p>
        </w:tc>
        <w:tc>
          <w:tcPr>
            <w:tcW w:w="10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7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55,032</w:t>
            </w:r>
          </w:p>
        </w:tc>
        <w:tc>
          <w:tcPr>
            <w:tcW w:w="140" w:type="dxa"/>
            <w:vAlign w:val="bottom"/>
            <w:tcBorders>
              <w:top w:val="single" w:sz="8" w:color="CFEDF9"/>
            </w:tcBorders>
            <w:shd w:val="clear" w:color="auto" w:fill="CFEDF9"/>
          </w:tcPr>
          <w:p>
            <w:pPr>
              <w:spacing w:after="0"/>
              <w:rPr>
                <w:sz w:val="19"/>
                <w:szCs w:val="19"/>
                <w:color w:val="auto"/>
              </w:rPr>
            </w:pPr>
          </w:p>
        </w:tc>
        <w:tc>
          <w:tcPr>
            <w:tcW w:w="6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7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(35,643)</w:t>
            </w:r>
          </w:p>
        </w:tc>
        <w:tc>
          <w:tcPr>
            <w:tcW w:w="80" w:type="dxa"/>
            <w:vAlign w:val="bottom"/>
            <w:tcBorders>
              <w:top w:val="single" w:sz="8" w:color="CFEDF9"/>
            </w:tcBorders>
            <w:shd w:val="clear" w:color="auto" w:fill="CFEDF9"/>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231F20"/>
              </w:rPr>
              <w:t>Second-lien debt investments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(13,467)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(2,081)</w:t>
            </w:r>
          </w:p>
        </w:tc>
        <w:tc>
          <w:tcPr>
            <w:tcW w:w="80" w:type="dxa"/>
            <w:vAlign w:val="bottom"/>
          </w:tcPr>
          <w:p>
            <w:pPr>
              <w:spacing w:after="0"/>
              <w:rPr>
                <w:sz w:val="19"/>
                <w:szCs w:val="19"/>
                <w:color w:val="auto"/>
              </w:rPr>
            </w:pPr>
          </w:p>
        </w:tc>
      </w:tr>
      <w:tr>
        <w:trPr>
          <w:trHeight w:val="230"/>
        </w:trPr>
        <w:tc>
          <w:tcPr>
            <w:tcW w:w="45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Mezzanine debt investments</w:t>
            </w:r>
          </w:p>
        </w:tc>
        <w:tc>
          <w:tcPr>
            <w:tcW w:w="10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2,060</w:t>
            </w:r>
          </w:p>
        </w:tc>
        <w:tc>
          <w:tcPr>
            <w:tcW w:w="14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82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(6,519)</w:t>
            </w: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231F20"/>
              </w:rPr>
              <w:t>Equity and other investments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(12,834)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1,454</w:t>
            </w:r>
          </w:p>
        </w:tc>
        <w:tc>
          <w:tcPr>
            <w:tcW w:w="80" w:type="dxa"/>
            <w:vAlign w:val="bottom"/>
          </w:tcPr>
          <w:p>
            <w:pPr>
              <w:spacing w:after="0"/>
              <w:rPr>
                <w:sz w:val="19"/>
                <w:szCs w:val="19"/>
                <w:color w:val="auto"/>
              </w:rPr>
            </w:pPr>
          </w:p>
        </w:tc>
      </w:tr>
      <w:tr>
        <w:trPr>
          <w:trHeight w:val="220"/>
        </w:trPr>
        <w:tc>
          <w:tcPr>
            <w:tcW w:w="4500" w:type="dxa"/>
            <w:vAlign w:val="bottom"/>
            <w:tcBorders>
              <w:top w:val="single" w:sz="8" w:color="CFEDF9"/>
            </w:tcBorders>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0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74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30,791</w:t>
            </w:r>
          </w:p>
        </w:tc>
        <w:tc>
          <w:tcPr>
            <w:tcW w:w="140" w:type="dxa"/>
            <w:vAlign w:val="bottom"/>
            <w:tcBorders>
              <w:top w:val="single" w:sz="8" w:color="CFEDF9"/>
            </w:tcBorders>
            <w:shd w:val="clear" w:color="auto" w:fill="CFEDF9"/>
          </w:tcPr>
          <w:p>
            <w:pPr>
              <w:spacing w:after="0"/>
              <w:rPr>
                <w:sz w:val="19"/>
                <w:szCs w:val="19"/>
                <w:color w:val="auto"/>
              </w:rPr>
            </w:pPr>
          </w:p>
        </w:tc>
        <w:tc>
          <w:tcPr>
            <w:tcW w:w="6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74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(42,789)</w:t>
            </w:r>
          </w:p>
        </w:tc>
        <w:tc>
          <w:tcPr>
            <w:tcW w:w="80" w:type="dxa"/>
            <w:vAlign w:val="bottom"/>
            <w:tcBorders>
              <w:top w:val="single" w:sz="8" w:color="CFEDF9"/>
            </w:tcBorders>
            <w:shd w:val="clear" w:color="auto" w:fill="CFEDF9"/>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7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245"/>
        <w:spacing w:after="0" w:line="258" w:lineRule="auto"/>
        <w:rPr>
          <w:sz w:val="20"/>
          <w:szCs w:val="20"/>
          <w:color w:val="auto"/>
        </w:rPr>
      </w:pPr>
      <w:r>
        <w:rPr>
          <w:rFonts w:ascii="Times New Roman" w:cs="Times New Roman" w:eastAsia="Times New Roman" w:hAnsi="Times New Roman"/>
          <w:sz w:val="20"/>
          <w:szCs w:val="20"/>
          <w:color w:val="231F20"/>
        </w:rPr>
        <w:t>The following tables present the fair value of Level 3 Investments and the significant unobservable inputs used in the valuations as of December 31, 2023 and 2022. The tables are not intended to be all-inclusive, but instead capture the significant unobservable inputs relevant to the Company’s determination of fair values.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60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3660" w:type="dxa"/>
            <w:vAlign w:val="bottom"/>
            <w:tcBorders>
              <w:bottom w:val="single" w:sz="8" w:color="231F20"/>
            </w:tcBorders>
            <w:gridSpan w:val="4"/>
          </w:tcPr>
          <w:p>
            <w:pPr>
              <w:ind w:left="62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0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7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Valuation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231F20"/>
              </w:rPr>
              <w:t>Unobservable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Range (Weighted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Impact to Valuation</w:t>
            </w:r>
          </w:p>
        </w:tc>
        <w:tc>
          <w:tcPr>
            <w:tcW w:w="0" w:type="dxa"/>
            <w:vAlign w:val="bottom"/>
          </w:tcPr>
          <w:p>
            <w:pPr>
              <w:spacing w:after="0"/>
              <w:rPr>
                <w:sz w:val="1"/>
                <w:szCs w:val="1"/>
                <w:color w:val="auto"/>
              </w:rPr>
            </w:pPr>
          </w:p>
        </w:tc>
      </w:tr>
      <w:tr>
        <w:trPr>
          <w:trHeight w:val="184"/>
        </w:trPr>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from an</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22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Technique</w:t>
            </w:r>
          </w:p>
        </w:tc>
        <w:tc>
          <w:tcPr>
            <w:tcW w:w="10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600" w:type="dxa"/>
            <w:vAlign w:val="bottom"/>
            <w:tcBorders>
              <w:bottom w:val="single" w:sz="8" w:color="231F20"/>
            </w:tcBorders>
          </w:tcPr>
          <w:p>
            <w:pPr>
              <w:ind w:left="600"/>
              <w:spacing w:after="0"/>
              <w:rPr>
                <w:sz w:val="20"/>
                <w:szCs w:val="20"/>
                <w:color w:val="auto"/>
              </w:rPr>
            </w:pPr>
            <w:r>
              <w:rPr>
                <w:rFonts w:ascii="Times New Roman" w:cs="Times New Roman" w:eastAsia="Times New Roman" w:hAnsi="Times New Roman"/>
                <w:sz w:val="16"/>
                <w:szCs w:val="16"/>
                <w:b w:val="1"/>
                <w:bCs w:val="1"/>
                <w:color w:val="231F20"/>
              </w:rPr>
              <w:t>Input</w:t>
            </w:r>
          </w:p>
        </w:tc>
        <w:tc>
          <w:tcPr>
            <w:tcW w:w="12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Average)</w:t>
            </w:r>
          </w:p>
        </w:tc>
        <w:tc>
          <w:tcPr>
            <w:tcW w:w="10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7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Increase to Input</w:t>
            </w: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FEDF9"/>
          </w:tcPr>
          <w:p>
            <w:pPr>
              <w:spacing w:after="0" w:line="197" w:lineRule="exact"/>
              <w:rPr>
                <w:sz w:val="20"/>
                <w:szCs w:val="20"/>
                <w:color w:val="auto"/>
              </w:rPr>
            </w:pPr>
            <w:r>
              <w:rPr>
                <w:rFonts w:ascii="Times New Roman" w:cs="Times New Roman" w:eastAsia="Times New Roman" w:hAnsi="Times New Roman"/>
                <w:sz w:val="18"/>
                <w:szCs w:val="18"/>
                <w:color w:val="231F20"/>
              </w:rPr>
              <w:t>First-lien debt investments</w:t>
            </w:r>
          </w:p>
        </w:tc>
        <w:tc>
          <w:tcPr>
            <w:tcW w:w="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80" w:type="dxa"/>
            <w:vAlign w:val="bottom"/>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shd w:val="clear" w:color="auto" w:fill="CFEDF9"/>
              </w:rPr>
              <w:t>2,993,786</w:t>
            </w:r>
          </w:p>
        </w:tc>
        <w:tc>
          <w:tcPr>
            <w:tcW w:w="2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600" w:type="dxa"/>
            <w:vAlign w:val="bottom"/>
            <w:shd w:val="clear" w:color="auto" w:fill="CFEDF9"/>
          </w:tcPr>
          <w:p>
            <w:pPr>
              <w:spacing w:after="0" w:line="197" w:lineRule="exact"/>
              <w:rPr>
                <w:sz w:val="20"/>
                <w:szCs w:val="20"/>
                <w:color w:val="auto"/>
              </w:rPr>
            </w:pPr>
            <w:r>
              <w:rPr>
                <w:rFonts w:ascii="Times New Roman" w:cs="Times New Roman" w:eastAsia="Times New Roman" w:hAnsi="Times New Roman"/>
                <w:sz w:val="17"/>
                <w:szCs w:val="17"/>
                <w:color w:val="231F20"/>
              </w:rPr>
              <w:t xml:space="preserve">Income approach </w:t>
            </w:r>
            <w:r>
              <w:rPr>
                <w:rFonts w:ascii="Times New Roman" w:cs="Times New Roman" w:eastAsia="Times New Roman" w:hAnsi="Times New Roman"/>
                <w:sz w:val="22"/>
                <w:szCs w:val="22"/>
                <w:color w:val="231F20"/>
                <w:vertAlign w:val="superscript"/>
              </w:rPr>
              <w:t>(1)</w:t>
            </w:r>
          </w:p>
        </w:tc>
        <w:tc>
          <w:tcPr>
            <w:tcW w:w="10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600" w:type="dxa"/>
            <w:vAlign w:val="bottom"/>
            <w:shd w:val="clear" w:color="auto" w:fill="CFEDF9"/>
          </w:tcPr>
          <w:p>
            <w:pPr>
              <w:spacing w:after="0" w:line="197" w:lineRule="exact"/>
              <w:rPr>
                <w:sz w:val="20"/>
                <w:szCs w:val="20"/>
                <w:color w:val="auto"/>
              </w:rPr>
            </w:pPr>
            <w:r>
              <w:rPr>
                <w:rFonts w:ascii="Times New Roman" w:cs="Times New Roman" w:eastAsia="Times New Roman" w:hAnsi="Times New Roman"/>
                <w:sz w:val="18"/>
                <w:szCs w:val="18"/>
                <w:color w:val="231F20"/>
              </w:rPr>
              <w:t>Discount rate</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920" w:type="dxa"/>
            <w:vAlign w:val="bottom"/>
            <w:shd w:val="clear" w:color="auto" w:fill="CFEDF9"/>
          </w:tcPr>
          <w:p>
            <w:pPr>
              <w:jc w:val="center"/>
              <w:spacing w:after="0" w:line="197" w:lineRule="exact"/>
              <w:rPr>
                <w:sz w:val="20"/>
                <w:szCs w:val="20"/>
                <w:color w:val="auto"/>
              </w:rPr>
            </w:pPr>
            <w:r>
              <w:rPr>
                <w:rFonts w:ascii="Times New Roman" w:cs="Times New Roman" w:eastAsia="Times New Roman" w:hAnsi="Times New Roman"/>
                <w:sz w:val="18"/>
                <w:szCs w:val="18"/>
                <w:color w:val="231F20"/>
                <w:w w:val="99"/>
              </w:rPr>
              <w:t>8.7% — 17.9% (14.2%)</w:t>
            </w:r>
          </w:p>
        </w:tc>
        <w:tc>
          <w:tcPr>
            <w:tcW w:w="10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700" w:type="dxa"/>
            <w:vAlign w:val="bottom"/>
            <w:shd w:val="clear" w:color="auto" w:fill="CFEDF9"/>
          </w:tcPr>
          <w:p>
            <w:pPr>
              <w:spacing w:after="0" w:line="197" w:lineRule="exact"/>
              <w:rPr>
                <w:sz w:val="20"/>
                <w:szCs w:val="20"/>
                <w:color w:val="auto"/>
              </w:rPr>
            </w:pPr>
            <w:r>
              <w:rPr>
                <w:rFonts w:ascii="Times New Roman" w:cs="Times New Roman" w:eastAsia="Times New Roman" w:hAnsi="Times New Roman"/>
                <w:sz w:val="18"/>
                <w:szCs w:val="18"/>
                <w:color w:val="231F20"/>
              </w:rPr>
              <w:t>Decrease</w:t>
            </w:r>
          </w:p>
        </w:tc>
        <w:tc>
          <w:tcPr>
            <w:tcW w:w="0" w:type="dxa"/>
            <w:vAlign w:val="bottom"/>
          </w:tcPr>
          <w:p>
            <w:pPr>
              <w:spacing w:after="0"/>
              <w:rPr>
                <w:sz w:val="1"/>
                <w:szCs w:val="1"/>
                <w:color w:val="auto"/>
              </w:rPr>
            </w:pPr>
          </w:p>
        </w:tc>
      </w:t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Second-lien debt investments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35,975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line="207" w:lineRule="exact"/>
              <w:rPr>
                <w:sz w:val="20"/>
                <w:szCs w:val="20"/>
                <w:color w:val="auto"/>
              </w:rPr>
            </w:pPr>
            <w:r>
              <w:rPr>
                <w:rFonts w:ascii="Times New Roman" w:cs="Times New Roman" w:eastAsia="Times New Roman" w:hAnsi="Times New Roman"/>
                <w:sz w:val="17"/>
                <w:szCs w:val="17"/>
                <w:color w:val="231F20"/>
              </w:rPr>
              <w:t xml:space="preserve">Income approach </w:t>
            </w:r>
            <w:r>
              <w:rPr>
                <w:rFonts w:ascii="Times New Roman" w:cs="Times New Roman" w:eastAsia="Times New Roman" w:hAnsi="Times New Roman"/>
                <w:sz w:val="23"/>
                <w:szCs w:val="23"/>
                <w:color w:val="231F20"/>
                <w:vertAlign w:val="superscript"/>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231F20"/>
              </w:rPr>
              <w:t>Discount rate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15.3% — 21.7% (17.6%)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231F20"/>
              </w:rPr>
              <w:t>Decrease</w:t>
            </w:r>
          </w:p>
        </w:tc>
        <w:tc>
          <w:tcPr>
            <w:tcW w:w="0" w:type="dxa"/>
            <w:vAlign w:val="bottom"/>
          </w:tcPr>
          <w:p>
            <w:pPr>
              <w:spacing w:after="0"/>
              <w:rPr>
                <w:sz w:val="1"/>
                <w:szCs w:val="1"/>
                <w:color w:val="auto"/>
              </w:rPr>
            </w:pPr>
          </w:p>
        </w:tc>
      </w:tr>
      <w:tr>
        <w:trPr>
          <w:trHeight w:val="207"/>
        </w:trPr>
        <w:tc>
          <w:tcPr>
            <w:tcW w:w="238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18"/>
                <w:szCs w:val="18"/>
                <w:color w:val="231F20"/>
              </w:rPr>
              <w:t>Mezzanine debt investments</w:t>
            </w:r>
          </w:p>
        </w:tc>
        <w:tc>
          <w:tcPr>
            <w:tcW w:w="100" w:type="dxa"/>
            <w:vAlign w:val="bottom"/>
            <w:shd w:val="clear" w:color="auto" w:fill="CFEDF9"/>
          </w:tcPr>
          <w:p>
            <w:pPr>
              <w:spacing w:after="0"/>
              <w:rPr>
                <w:sz w:val="17"/>
                <w:szCs w:val="17"/>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38,865</w:t>
            </w:r>
          </w:p>
        </w:tc>
        <w:tc>
          <w:tcPr>
            <w:tcW w:w="2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600" w:type="dxa"/>
            <w:vAlign w:val="bottom"/>
            <w:shd w:val="clear" w:color="auto" w:fill="CFEDF9"/>
          </w:tcPr>
          <w:p>
            <w:pPr>
              <w:spacing w:after="0" w:line="207" w:lineRule="exact"/>
              <w:rPr>
                <w:sz w:val="20"/>
                <w:szCs w:val="20"/>
                <w:color w:val="auto"/>
              </w:rPr>
            </w:pPr>
            <w:r>
              <w:rPr>
                <w:rFonts w:ascii="Times New Roman" w:cs="Times New Roman" w:eastAsia="Times New Roman" w:hAnsi="Times New Roman"/>
                <w:sz w:val="17"/>
                <w:szCs w:val="17"/>
                <w:color w:val="231F20"/>
              </w:rPr>
              <w:t xml:space="preserve">Income approach </w:t>
            </w:r>
            <w:r>
              <w:rPr>
                <w:rFonts w:ascii="Times New Roman" w:cs="Times New Roman" w:eastAsia="Times New Roman" w:hAnsi="Times New Roman"/>
                <w:sz w:val="23"/>
                <w:szCs w:val="23"/>
                <w:color w:val="231F20"/>
                <w:vertAlign w:val="superscript"/>
              </w:rPr>
              <w:t>(3)</w:t>
            </w:r>
          </w:p>
        </w:tc>
        <w:tc>
          <w:tcPr>
            <w:tcW w:w="10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60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Discount rate</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9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18"/>
                <w:szCs w:val="18"/>
                <w:color w:val="231F20"/>
                <w:w w:val="99"/>
              </w:rPr>
              <w:t>14.6% — 22.5% (15.4%)</w:t>
            </w:r>
          </w:p>
        </w:tc>
        <w:tc>
          <w:tcPr>
            <w:tcW w:w="10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70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Decrease</w:t>
            </w:r>
          </w:p>
        </w:tc>
        <w:tc>
          <w:tcPr>
            <w:tcW w:w="0" w:type="dxa"/>
            <w:vAlign w:val="bottom"/>
          </w:tcPr>
          <w:p>
            <w:pPr>
              <w:spacing w:after="0"/>
              <w:rPr>
                <w:sz w:val="1"/>
                <w:szCs w:val="1"/>
                <w:color w:val="auto"/>
              </w:rPr>
            </w:pPr>
          </w:p>
        </w:tc>
      </w:tr>
      <w:tr>
        <w:trPr>
          <w:trHeight w:val="22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Equity and other investments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140,331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Pr>
          <w:p>
            <w:pPr>
              <w:spacing w:after="0" w:line="220" w:lineRule="exact"/>
              <w:rPr>
                <w:sz w:val="20"/>
                <w:szCs w:val="20"/>
                <w:color w:val="auto"/>
              </w:rPr>
            </w:pPr>
            <w:r>
              <w:rPr>
                <w:rFonts w:ascii="Times New Roman" w:cs="Times New Roman" w:eastAsia="Times New Roman" w:hAnsi="Times New Roman"/>
                <w:sz w:val="18"/>
                <w:szCs w:val="18"/>
                <w:color w:val="231F20"/>
              </w:rPr>
              <w:t xml:space="preserve">Market Multiple </w:t>
            </w:r>
            <w:r>
              <w:rPr>
                <w:rFonts w:ascii="Times New Roman" w:cs="Times New Roman" w:eastAsia="Times New Roman" w:hAnsi="Times New Roman"/>
                <w:sz w:val="24"/>
                <w:szCs w:val="24"/>
                <w:color w:val="231F20"/>
                <w:vertAlign w:val="superscript"/>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231F20"/>
              </w:rPr>
              <w:t>Comparable multiple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2.0x — 19.2x (6.7x)</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231F20"/>
              </w:rPr>
              <w:t>Increase</w:t>
            </w:r>
          </w:p>
        </w:tc>
        <w:tc>
          <w:tcPr>
            <w:tcW w:w="0" w:type="dxa"/>
            <w:vAlign w:val="bottom"/>
          </w:tcPr>
          <w:p>
            <w:pPr>
              <w:spacing w:after="0"/>
              <w:rPr>
                <w:sz w:val="1"/>
                <w:szCs w:val="1"/>
                <w:color w:val="auto"/>
              </w:rPr>
            </w:pPr>
          </w:p>
        </w:tc>
      </w:tr>
      <w:tr>
        <w:trPr>
          <w:trHeight w:val="197"/>
        </w:trPr>
        <w:tc>
          <w:tcPr>
            <w:tcW w:w="2360" w:type="dxa"/>
            <w:vAlign w:val="bottom"/>
            <w:tcBorders>
              <w:top w:val="single" w:sz="8" w:color="CFEDF9"/>
            </w:tcBorders>
            <w:shd w:val="clear" w:color="auto" w:fill="CFEDF9"/>
          </w:tcPr>
          <w:p>
            <w:pPr>
              <w:ind w:left="200"/>
              <w:spacing w:after="0" w:line="197" w:lineRule="exact"/>
              <w:rPr>
                <w:sz w:val="20"/>
                <w:szCs w:val="20"/>
                <w:color w:val="auto"/>
              </w:rPr>
            </w:pPr>
            <w:r>
              <w:rPr>
                <w:rFonts w:ascii="Times New Roman" w:cs="Times New Roman" w:eastAsia="Times New Roman" w:hAnsi="Times New Roman"/>
                <w:sz w:val="18"/>
                <w:szCs w:val="18"/>
                <w:b w:val="1"/>
                <w:bCs w:val="1"/>
                <w:color w:val="231F20"/>
              </w:rPr>
              <w:t>Total</w:t>
            </w:r>
          </w:p>
        </w:tc>
        <w:tc>
          <w:tcPr>
            <w:tcW w:w="20" w:type="dxa"/>
            <w:vAlign w:val="bottom"/>
            <w:tcBorders>
              <w:top w:val="single" w:sz="8" w:color="231F20"/>
            </w:tcBorders>
            <w:shd w:val="clear" w:color="auto" w:fill="CFEDF9"/>
          </w:tcPr>
          <w:p>
            <w:pPr>
              <w:spacing w:after="0"/>
              <w:rPr>
                <w:sz w:val="17"/>
                <w:szCs w:val="17"/>
                <w:color w:val="auto"/>
              </w:rPr>
            </w:pPr>
          </w:p>
        </w:tc>
        <w:tc>
          <w:tcPr>
            <w:tcW w:w="10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80" w:type="dxa"/>
            <w:vAlign w:val="bottom"/>
            <w:tcBorders>
              <w:top w:val="single" w:sz="8" w:color="231F20"/>
              <w:bottom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shd w:val="clear" w:color="auto" w:fill="CFEDF9"/>
              </w:rPr>
              <w:t>3,208,957</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600" w:type="dxa"/>
            <w:vAlign w:val="bottom"/>
            <w:tcBorders>
              <w:top w:val="single" w:sz="8" w:color="231F20"/>
            </w:tcBorders>
            <w:shd w:val="clear" w:color="auto" w:fill="CFEDF9"/>
          </w:tcPr>
          <w:p>
            <w:pPr>
              <w:spacing w:after="0"/>
              <w:rPr>
                <w:sz w:val="17"/>
                <w:szCs w:val="17"/>
                <w:color w:val="auto"/>
              </w:rPr>
            </w:pPr>
          </w:p>
        </w:tc>
        <w:tc>
          <w:tcPr>
            <w:tcW w:w="10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60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920" w:type="dxa"/>
            <w:vAlign w:val="bottom"/>
            <w:tcBorders>
              <w:top w:val="single" w:sz="8" w:color="231F20"/>
            </w:tcBorders>
            <w:shd w:val="clear" w:color="auto" w:fill="CFEDF9"/>
          </w:tcPr>
          <w:p>
            <w:pPr>
              <w:spacing w:after="0"/>
              <w:rPr>
                <w:sz w:val="17"/>
                <w:szCs w:val="17"/>
                <w:color w:val="auto"/>
              </w:rPr>
            </w:pPr>
          </w:p>
        </w:tc>
        <w:tc>
          <w:tcPr>
            <w:tcW w:w="10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700" w:type="dxa"/>
            <w:vAlign w:val="bottom"/>
            <w:tcBorders>
              <w:top w:val="single" w:sz="8" w:color="231F20"/>
            </w:tcBorders>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00" w:hanging="500"/>
        <w:spacing w:after="0"/>
        <w:tabs>
          <w:tab w:leader="none" w:pos="5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$63.4 million of debt investments which were valued using an asset valuation waterfall.</w:t>
      </w:r>
    </w:p>
    <w:p>
      <w:pPr>
        <w:spacing w:after="0" w:line="36" w:lineRule="exact"/>
        <w:rPr>
          <w:rFonts w:ascii="Times New Roman" w:cs="Times New Roman" w:eastAsia="Times New Roman" w:hAnsi="Times New Roman"/>
          <w:sz w:val="20"/>
          <w:szCs w:val="20"/>
          <w:color w:val="231F20"/>
        </w:rPr>
      </w:pPr>
    </w:p>
    <w:p>
      <w:pPr>
        <w:ind w:left="500" w:hanging="500"/>
        <w:spacing w:after="0"/>
        <w:tabs>
          <w:tab w:leader="none" w:pos="5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$27.2 million of debt investments which were valued using an asset valuation waterfall.</w:t>
      </w:r>
    </w:p>
    <w:p>
      <w:pPr>
        <w:spacing w:after="0" w:line="26" w:lineRule="exact"/>
        <w:rPr>
          <w:rFonts w:ascii="Times New Roman" w:cs="Times New Roman" w:eastAsia="Times New Roman" w:hAnsi="Times New Roman"/>
          <w:sz w:val="20"/>
          <w:szCs w:val="20"/>
          <w:color w:val="231F20"/>
        </w:rPr>
      </w:pPr>
    </w:p>
    <w:p>
      <w:pPr>
        <w:ind w:left="500" w:hanging="500"/>
        <w:spacing w:after="0"/>
        <w:tabs>
          <w:tab w:leader="none" w:pos="5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$0.1 million of debt investments which were valued using an asset valuation waterfall.</w:t>
      </w:r>
    </w:p>
    <w:p>
      <w:pPr>
        <w:spacing w:after="0" w:line="26" w:lineRule="exact"/>
        <w:rPr>
          <w:rFonts w:ascii="Times New Roman" w:cs="Times New Roman" w:eastAsia="Times New Roman" w:hAnsi="Times New Roman"/>
          <w:sz w:val="20"/>
          <w:szCs w:val="20"/>
          <w:color w:val="231F20"/>
        </w:rPr>
      </w:pPr>
    </w:p>
    <w:p>
      <w:pPr>
        <w:ind w:left="500" w:right="60" w:hanging="500"/>
        <w:spacing w:after="0" w:line="236" w:lineRule="auto"/>
        <w:tabs>
          <w:tab w:leader="none" w:pos="500" w:val="left"/>
        </w:tabs>
        <w:numPr>
          <w:ilvl w:val="0"/>
          <w:numId w:val="9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Includes $6.4 million of equity investments which were valued using an asset valuation waterfall, $2.4 million of equity investments using a Black-Scholes model, $15.7 million of equity investments using a discounted cash flow analysis </w:t>
      </w:r>
      <w:r>
        <w:rPr>
          <w:rFonts w:ascii="Times New Roman" w:cs="Times New Roman" w:eastAsia="Times New Roman" w:hAnsi="Times New Roman"/>
          <w:sz w:val="20"/>
          <w:szCs w:val="20"/>
          <w:color w:val="1C1B1C"/>
        </w:rPr>
        <w:t>and $6.2</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1C1B1C"/>
        </w:rPr>
        <w:t>million of equity investments which, due to the proximity of the transactions relative to the measurement dates, we valued using the cost of the investments.</w:t>
      </w:r>
    </w:p>
    <w:p>
      <w:pPr>
        <w:sectPr>
          <w:pgSz w:w="12240" w:h="15840" w:orient="portrait"/>
          <w:cols w:equalWidth="0" w:num="1">
            <w:col w:w="10800"/>
          </w:cols>
          <w:pgMar w:left="720" w:top="93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F-31</w:t>
      </w:r>
    </w:p>
    <w:p>
      <w:pPr>
        <w:sectPr>
          <w:pgSz w:w="12240" w:h="15840" w:orient="portrait"/>
          <w:cols w:equalWidth="0" w:num="1">
            <w:col w:w="10800"/>
          </w:cols>
          <w:pgMar w:left="720" w:top="930" w:right="720" w:bottom="186"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58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3600" w:type="dxa"/>
            <w:vAlign w:val="bottom"/>
            <w:tcBorders>
              <w:bottom w:val="single" w:sz="8" w:color="231F20"/>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5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231F20"/>
              </w:rPr>
              <w:t>Valuation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231F20"/>
              </w:rPr>
              <w:t>Unobservable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Range (Weighted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8"/>
              </w:rPr>
              <w:t>Impact to Valuation</w:t>
            </w: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from an</w:t>
            </w:r>
          </w:p>
        </w:tc>
        <w:tc>
          <w:tcPr>
            <w:tcW w:w="0" w:type="dxa"/>
            <w:vAlign w:val="bottom"/>
          </w:tcPr>
          <w:p>
            <w:pPr>
              <w:spacing w:after="0"/>
              <w:rPr>
                <w:sz w:val="1"/>
                <w:szCs w:val="1"/>
                <w:color w:val="auto"/>
              </w:rPr>
            </w:pPr>
          </w:p>
        </w:tc>
      </w:tr>
      <w:tr>
        <w:trPr>
          <w:trHeight w:val="203"/>
        </w:trPr>
        <w:tc>
          <w:tcPr>
            <w:tcW w:w="264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22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580" w:type="dxa"/>
            <w:vAlign w:val="bottom"/>
            <w:tcBorders>
              <w:bottom w:val="single" w:sz="8" w:color="231F20"/>
            </w:tcBorders>
          </w:tcPr>
          <w:p>
            <w:pPr>
              <w:ind w:left="420"/>
              <w:spacing w:after="0"/>
              <w:rPr>
                <w:sz w:val="20"/>
                <w:szCs w:val="20"/>
                <w:color w:val="auto"/>
              </w:rPr>
            </w:pPr>
            <w:r>
              <w:rPr>
                <w:rFonts w:ascii="Times New Roman" w:cs="Times New Roman" w:eastAsia="Times New Roman" w:hAnsi="Times New Roman"/>
                <w:sz w:val="16"/>
                <w:szCs w:val="16"/>
                <w:b w:val="1"/>
                <w:bCs w:val="1"/>
                <w:color w:val="231F20"/>
              </w:rPr>
              <w:t>Technique</w:t>
            </w:r>
          </w:p>
        </w:tc>
        <w:tc>
          <w:tcPr>
            <w:tcW w:w="12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580" w:type="dxa"/>
            <w:vAlign w:val="bottom"/>
            <w:tcBorders>
              <w:bottom w:val="single" w:sz="8" w:color="231F20"/>
            </w:tcBorders>
          </w:tcPr>
          <w:p>
            <w:pPr>
              <w:ind w:left="580"/>
              <w:spacing w:after="0"/>
              <w:rPr>
                <w:sz w:val="20"/>
                <w:szCs w:val="20"/>
                <w:color w:val="auto"/>
              </w:rPr>
            </w:pPr>
            <w:r>
              <w:rPr>
                <w:rFonts w:ascii="Times New Roman" w:cs="Times New Roman" w:eastAsia="Times New Roman" w:hAnsi="Times New Roman"/>
                <w:sz w:val="16"/>
                <w:szCs w:val="16"/>
                <w:b w:val="1"/>
                <w:bCs w:val="1"/>
                <w:color w:val="231F20"/>
              </w:rPr>
              <w:t>Input</w:t>
            </w:r>
          </w:p>
        </w:tc>
        <w:tc>
          <w:tcPr>
            <w:tcW w:w="12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Average)</w:t>
            </w:r>
          </w:p>
        </w:tc>
        <w:tc>
          <w:tcPr>
            <w:tcW w:w="12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Increase to Input</w:t>
            </w:r>
          </w:p>
        </w:tc>
        <w:tc>
          <w:tcPr>
            <w:tcW w:w="0" w:type="dxa"/>
            <w:vAlign w:val="bottom"/>
          </w:tcPr>
          <w:p>
            <w:pPr>
              <w:spacing w:after="0"/>
              <w:rPr>
                <w:sz w:val="1"/>
                <w:szCs w:val="1"/>
                <w:color w:val="auto"/>
              </w:rPr>
            </w:pPr>
          </w:p>
        </w:tc>
      </w:tr>
      <w:tr>
        <w:trPr>
          <w:trHeight w:val="197"/>
        </w:trPr>
        <w:tc>
          <w:tcPr>
            <w:tcW w:w="2660" w:type="dxa"/>
            <w:vAlign w:val="bottom"/>
            <w:gridSpan w:val="2"/>
            <w:shd w:val="clear" w:color="auto" w:fill="CFEDF9"/>
          </w:tcPr>
          <w:p>
            <w:pPr>
              <w:spacing w:after="0" w:line="197" w:lineRule="exact"/>
              <w:rPr>
                <w:sz w:val="20"/>
                <w:szCs w:val="20"/>
                <w:color w:val="auto"/>
              </w:rPr>
            </w:pPr>
            <w:r>
              <w:rPr>
                <w:rFonts w:ascii="Times New Roman" w:cs="Times New Roman" w:eastAsia="Times New Roman" w:hAnsi="Times New Roman"/>
                <w:sz w:val="18"/>
                <w:szCs w:val="18"/>
                <w:color w:val="231F20"/>
              </w:rPr>
              <w:t>First-lien debt investments</w:t>
            </w:r>
          </w:p>
        </w:tc>
        <w:tc>
          <w:tcPr>
            <w:tcW w:w="860" w:type="dxa"/>
            <w:vAlign w:val="bottom"/>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w w:val="98"/>
                <w:shd w:val="clear" w:color="auto" w:fill="CFEDF9"/>
              </w:rPr>
              <w:t>$ 2,495,959</w:t>
            </w:r>
          </w:p>
        </w:tc>
        <w:tc>
          <w:tcPr>
            <w:tcW w:w="2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580" w:type="dxa"/>
            <w:vAlign w:val="bottom"/>
            <w:shd w:val="clear" w:color="auto" w:fill="CFEDF9"/>
          </w:tcPr>
          <w:p>
            <w:pPr>
              <w:spacing w:after="0" w:line="197" w:lineRule="exact"/>
              <w:rPr>
                <w:sz w:val="20"/>
                <w:szCs w:val="20"/>
                <w:color w:val="auto"/>
              </w:rPr>
            </w:pPr>
            <w:r>
              <w:rPr>
                <w:rFonts w:ascii="Times New Roman" w:cs="Times New Roman" w:eastAsia="Times New Roman" w:hAnsi="Times New Roman"/>
                <w:sz w:val="17"/>
                <w:szCs w:val="17"/>
                <w:color w:val="231F20"/>
              </w:rPr>
              <w:t xml:space="preserve">Income approach </w:t>
            </w:r>
            <w:r>
              <w:rPr>
                <w:rFonts w:ascii="Times New Roman" w:cs="Times New Roman" w:eastAsia="Times New Roman" w:hAnsi="Times New Roman"/>
                <w:sz w:val="22"/>
                <w:szCs w:val="22"/>
                <w:color w:val="231F20"/>
                <w:vertAlign w:val="superscript"/>
              </w:rPr>
              <w:t>(1)</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580" w:type="dxa"/>
            <w:vAlign w:val="bottom"/>
            <w:shd w:val="clear" w:color="auto" w:fill="CFEDF9"/>
          </w:tcPr>
          <w:p>
            <w:pPr>
              <w:spacing w:after="0" w:line="197" w:lineRule="exact"/>
              <w:rPr>
                <w:sz w:val="20"/>
                <w:szCs w:val="20"/>
                <w:color w:val="auto"/>
              </w:rPr>
            </w:pPr>
            <w:r>
              <w:rPr>
                <w:rFonts w:ascii="Times New Roman" w:cs="Times New Roman" w:eastAsia="Times New Roman" w:hAnsi="Times New Roman"/>
                <w:sz w:val="18"/>
                <w:szCs w:val="18"/>
                <w:color w:val="231F20"/>
              </w:rPr>
              <w:t>Discount rate</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880" w:type="dxa"/>
            <w:vAlign w:val="bottom"/>
            <w:shd w:val="clear" w:color="auto" w:fill="CFEDF9"/>
          </w:tcPr>
          <w:p>
            <w:pPr>
              <w:jc w:val="center"/>
              <w:spacing w:after="0" w:line="197" w:lineRule="exact"/>
              <w:rPr>
                <w:sz w:val="20"/>
                <w:szCs w:val="20"/>
                <w:color w:val="auto"/>
              </w:rPr>
            </w:pPr>
            <w:r>
              <w:rPr>
                <w:rFonts w:ascii="Times New Roman" w:cs="Times New Roman" w:eastAsia="Times New Roman" w:hAnsi="Times New Roman"/>
                <w:sz w:val="18"/>
                <w:szCs w:val="18"/>
                <w:color w:val="231F20"/>
                <w:w w:val="99"/>
              </w:rPr>
              <w:t>9.3% — 18.5% (15.1%)</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580" w:type="dxa"/>
            <w:vAlign w:val="bottom"/>
            <w:shd w:val="clear" w:color="auto" w:fill="CFEDF9"/>
          </w:tcPr>
          <w:p>
            <w:pPr>
              <w:spacing w:after="0" w:line="197" w:lineRule="exact"/>
              <w:rPr>
                <w:sz w:val="20"/>
                <w:szCs w:val="20"/>
                <w:color w:val="auto"/>
              </w:rPr>
            </w:pPr>
            <w:r>
              <w:rPr>
                <w:rFonts w:ascii="Times New Roman" w:cs="Times New Roman" w:eastAsia="Times New Roman" w:hAnsi="Times New Roman"/>
                <w:sz w:val="18"/>
                <w:szCs w:val="18"/>
                <w:color w:val="231F20"/>
              </w:rPr>
              <w:t>Decrease</w:t>
            </w:r>
          </w:p>
        </w:tc>
        <w:tc>
          <w:tcPr>
            <w:tcW w:w="0" w:type="dxa"/>
            <w:vAlign w:val="bottom"/>
          </w:tcPr>
          <w:p>
            <w:pPr>
              <w:spacing w:after="0"/>
              <w:rPr>
                <w:sz w:val="1"/>
                <w:szCs w:val="1"/>
                <w:color w:val="auto"/>
              </w:rPr>
            </w:pPr>
          </w:p>
        </w:tc>
      </w:tr>
      <w:tr>
        <w:trPr>
          <w:trHeight w:val="207"/>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Second-lien debt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40,762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231F20"/>
              </w:rPr>
              <w:t>Income approach</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231F20"/>
              </w:rPr>
              <w:t>Discount rate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19.6% — 19.6% (19.6%)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231F20"/>
              </w:rPr>
              <w:t>Decrease</w:t>
            </w:r>
          </w:p>
        </w:tc>
        <w:tc>
          <w:tcPr>
            <w:tcW w:w="0" w:type="dxa"/>
            <w:vAlign w:val="bottom"/>
          </w:tcPr>
          <w:p>
            <w:pPr>
              <w:spacing w:after="0"/>
              <w:rPr>
                <w:sz w:val="1"/>
                <w:szCs w:val="1"/>
                <w:color w:val="auto"/>
              </w:rPr>
            </w:pPr>
          </w:p>
        </w:tc>
      </w:tr>
      <w:tr>
        <w:trPr>
          <w:trHeight w:val="207"/>
        </w:trPr>
        <w:tc>
          <w:tcPr>
            <w:tcW w:w="266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18"/>
                <w:szCs w:val="18"/>
                <w:color w:val="231F20"/>
              </w:rPr>
              <w:t>Mezzanine debt investments</w:t>
            </w: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10,158</w:t>
            </w:r>
          </w:p>
        </w:tc>
        <w:tc>
          <w:tcPr>
            <w:tcW w:w="2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580" w:type="dxa"/>
            <w:vAlign w:val="bottom"/>
            <w:shd w:val="clear" w:color="auto" w:fill="CFEDF9"/>
          </w:tcPr>
          <w:p>
            <w:pPr>
              <w:spacing w:after="0" w:line="207" w:lineRule="exact"/>
              <w:rPr>
                <w:sz w:val="20"/>
                <w:szCs w:val="20"/>
                <w:color w:val="auto"/>
              </w:rPr>
            </w:pPr>
            <w:r>
              <w:rPr>
                <w:rFonts w:ascii="Times New Roman" w:cs="Times New Roman" w:eastAsia="Times New Roman" w:hAnsi="Times New Roman"/>
                <w:sz w:val="17"/>
                <w:szCs w:val="17"/>
                <w:color w:val="231F20"/>
              </w:rPr>
              <w:t xml:space="preserve">Income approach </w:t>
            </w:r>
            <w:r>
              <w:rPr>
                <w:rFonts w:ascii="Times New Roman" w:cs="Times New Roman" w:eastAsia="Times New Roman" w:hAnsi="Times New Roman"/>
                <w:sz w:val="23"/>
                <w:szCs w:val="23"/>
                <w:color w:val="231F20"/>
                <w:vertAlign w:val="superscript"/>
              </w:rPr>
              <w:t>(2)</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58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Discount rate</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88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18"/>
                <w:szCs w:val="18"/>
                <w:color w:val="231F20"/>
                <w:w w:val="99"/>
              </w:rPr>
              <w:t>14.5% — 18.0% (16.0%)</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158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Decrease</w:t>
            </w:r>
          </w:p>
        </w:tc>
        <w:tc>
          <w:tcPr>
            <w:tcW w:w="0" w:type="dxa"/>
            <w:vAlign w:val="bottom"/>
          </w:tcPr>
          <w:p>
            <w:pPr>
              <w:spacing w:after="0"/>
              <w:rPr>
                <w:sz w:val="1"/>
                <w:szCs w:val="1"/>
                <w:color w:val="auto"/>
              </w:rPr>
            </w:pPr>
          </w:p>
        </w:tc>
      </w:tr>
      <w:tr>
        <w:trPr>
          <w:trHeight w:val="220"/>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Equity and other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147,059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line="220" w:lineRule="exact"/>
              <w:rPr>
                <w:sz w:val="20"/>
                <w:szCs w:val="20"/>
                <w:color w:val="auto"/>
              </w:rPr>
            </w:pPr>
            <w:r>
              <w:rPr>
                <w:rFonts w:ascii="Times New Roman" w:cs="Times New Roman" w:eastAsia="Times New Roman" w:hAnsi="Times New Roman"/>
                <w:sz w:val="18"/>
                <w:szCs w:val="18"/>
                <w:color w:val="231F20"/>
              </w:rPr>
              <w:t xml:space="preserve">Market Multiple </w:t>
            </w:r>
            <w:r>
              <w:rPr>
                <w:rFonts w:ascii="Times New Roman" w:cs="Times New Roman" w:eastAsia="Times New Roman" w:hAnsi="Times New Roman"/>
                <w:sz w:val="24"/>
                <w:szCs w:val="24"/>
                <w:color w:val="231F20"/>
                <w:vertAlign w:val="superscript"/>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231F20"/>
              </w:rPr>
              <w:t>Comparable multiple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2.0x — 26.6x (7.9x)</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231F20"/>
              </w:rPr>
              <w:t>Increase</w:t>
            </w:r>
          </w:p>
        </w:tc>
        <w:tc>
          <w:tcPr>
            <w:tcW w:w="0" w:type="dxa"/>
            <w:vAlign w:val="bottom"/>
          </w:tcPr>
          <w:p>
            <w:pPr>
              <w:spacing w:after="0"/>
              <w:rPr>
                <w:sz w:val="1"/>
                <w:szCs w:val="1"/>
                <w:color w:val="auto"/>
              </w:rPr>
            </w:pPr>
          </w:p>
        </w:tc>
      </w:tr>
      <w:tr>
        <w:trPr>
          <w:trHeight w:val="197"/>
        </w:trPr>
        <w:tc>
          <w:tcPr>
            <w:tcW w:w="2640" w:type="dxa"/>
            <w:vAlign w:val="bottom"/>
            <w:tcBorders>
              <w:top w:val="single" w:sz="8" w:color="CFEDF9"/>
            </w:tcBorders>
            <w:shd w:val="clear" w:color="auto" w:fill="CFEDF9"/>
          </w:tcPr>
          <w:p>
            <w:pPr>
              <w:ind w:left="200"/>
              <w:spacing w:after="0" w:line="197" w:lineRule="exact"/>
              <w:rPr>
                <w:sz w:val="20"/>
                <w:szCs w:val="20"/>
                <w:color w:val="auto"/>
              </w:rPr>
            </w:pPr>
            <w:r>
              <w:rPr>
                <w:rFonts w:ascii="Times New Roman" w:cs="Times New Roman" w:eastAsia="Times New Roman" w:hAnsi="Times New Roman"/>
                <w:sz w:val="18"/>
                <w:szCs w:val="18"/>
                <w:b w:val="1"/>
                <w:bCs w:val="1"/>
                <w:color w:val="231F20"/>
              </w:rPr>
              <w:t>Total</w:t>
            </w:r>
          </w:p>
        </w:tc>
        <w:tc>
          <w:tcPr>
            <w:tcW w:w="20" w:type="dxa"/>
            <w:vAlign w:val="bottom"/>
            <w:tcBorders>
              <w:top w:val="single" w:sz="8" w:color="231F20"/>
            </w:tcBorders>
            <w:shd w:val="clear" w:color="auto" w:fill="CFEDF9"/>
          </w:tcPr>
          <w:p>
            <w:pPr>
              <w:spacing w:after="0"/>
              <w:rPr>
                <w:sz w:val="17"/>
                <w:szCs w:val="17"/>
                <w:color w:val="auto"/>
              </w:rPr>
            </w:pPr>
          </w:p>
        </w:tc>
        <w:tc>
          <w:tcPr>
            <w:tcW w:w="860" w:type="dxa"/>
            <w:vAlign w:val="bottom"/>
            <w:tcBorders>
              <w:top w:val="single" w:sz="8" w:color="231F20"/>
              <w:bottom w:val="single" w:sz="8" w:color="231F20"/>
            </w:tcBorders>
            <w:shd w:val="clear" w:color="auto" w:fill="CFEDF9"/>
          </w:tcPr>
          <w:p>
            <w:pPr>
              <w:jc w:val="right"/>
              <w:spacing w:after="0" w:line="197" w:lineRule="exact"/>
              <w:rPr>
                <w:sz w:val="20"/>
                <w:szCs w:val="20"/>
                <w:color w:val="auto"/>
              </w:rPr>
            </w:pPr>
            <w:r>
              <w:rPr>
                <w:rFonts w:ascii="Times New Roman" w:cs="Times New Roman" w:eastAsia="Times New Roman" w:hAnsi="Times New Roman"/>
                <w:sz w:val="18"/>
                <w:szCs w:val="18"/>
                <w:color w:val="231F20"/>
                <w:w w:val="98"/>
                <w:shd w:val="clear" w:color="auto" w:fill="CFEDF9"/>
              </w:rPr>
              <w:t>$ 2,693,938</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58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58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88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580" w:type="dxa"/>
            <w:vAlign w:val="bottom"/>
            <w:tcBorders>
              <w:top w:val="single" w:sz="8" w:color="231F20"/>
            </w:tcBorders>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hanging="500"/>
        <w:spacing w:after="0"/>
        <w:tabs>
          <w:tab w:leader="none" w:pos="50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$21.0 million of first-lien debt investments which were valued using an asset valuation waterfall.</w:t>
      </w:r>
    </w:p>
    <w:p>
      <w:pPr>
        <w:spacing w:after="0" w:line="28" w:lineRule="exact"/>
        <w:rPr>
          <w:rFonts w:ascii="Times New Roman" w:cs="Times New Roman" w:eastAsia="Times New Roman" w:hAnsi="Times New Roman"/>
          <w:sz w:val="20"/>
          <w:szCs w:val="20"/>
          <w:color w:val="231F20"/>
        </w:rPr>
      </w:pPr>
    </w:p>
    <w:p>
      <w:pPr>
        <w:ind w:left="500" w:hanging="500"/>
        <w:spacing w:after="0"/>
        <w:tabs>
          <w:tab w:leader="none" w:pos="50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$0.1 million of debt investments which were valued using an asset valuation waterfall.</w:t>
      </w:r>
    </w:p>
    <w:p>
      <w:pPr>
        <w:ind w:left="500" w:right="620" w:hanging="500"/>
        <w:spacing w:after="0" w:line="248" w:lineRule="auto"/>
        <w:tabs>
          <w:tab w:leader="none" w:pos="500"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$38.4 million of equity investments which were valued using an asset valuation waterfall, $7.5 million of equity investments using a Black-Scholes model, and $13.1 million using a discounted cash flow analysis.</w:t>
      </w:r>
    </w:p>
    <w:p>
      <w:pPr>
        <w:spacing w:after="0" w:line="186" w:lineRule="exact"/>
        <w:rPr>
          <w:sz w:val="20"/>
          <w:szCs w:val="20"/>
          <w:color w:val="auto"/>
        </w:rPr>
      </w:pPr>
    </w:p>
    <w:p>
      <w:pPr>
        <w:ind w:right="140" w:firstLine="245"/>
        <w:spacing w:after="0" w:line="234" w:lineRule="auto"/>
        <w:rPr>
          <w:sz w:val="20"/>
          <w:szCs w:val="20"/>
          <w:color w:val="auto"/>
        </w:rPr>
      </w:pPr>
      <w:r>
        <w:rPr>
          <w:rFonts w:ascii="Times New Roman" w:cs="Times New Roman" w:eastAsia="Times New Roman" w:hAnsi="Times New Roman"/>
          <w:sz w:val="20"/>
          <w:szCs w:val="20"/>
          <w:color w:val="231F20"/>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94" w:lineRule="exact"/>
        <w:rPr>
          <w:sz w:val="20"/>
          <w:szCs w:val="20"/>
          <w:color w:val="auto"/>
        </w:rPr>
      </w:pPr>
    </w:p>
    <w:p>
      <w:pPr>
        <w:ind w:right="380" w:firstLine="245"/>
        <w:spacing w:after="0" w:line="233" w:lineRule="auto"/>
        <w:rPr>
          <w:sz w:val="20"/>
          <w:szCs w:val="20"/>
          <w:color w:val="auto"/>
        </w:rPr>
      </w:pPr>
      <w:r>
        <w:rPr>
          <w:rFonts w:ascii="Times New Roman" w:cs="Times New Roman" w:eastAsia="Times New Roman" w:hAnsi="Times New Roman"/>
          <w:sz w:val="20"/>
          <w:szCs w:val="20"/>
          <w:color w:val="231F20"/>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Financial Instruments Not Carried at Fair Value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Debt</w:t>
      </w:r>
    </w:p>
    <w:p>
      <w:pPr>
        <w:spacing w:after="0" w:line="107" w:lineRule="exact"/>
        <w:rPr>
          <w:sz w:val="20"/>
          <w:szCs w:val="20"/>
          <w:color w:val="auto"/>
        </w:rPr>
      </w:pPr>
    </w:p>
    <w:p>
      <w:pPr>
        <w:ind w:right="280" w:firstLine="245"/>
        <w:spacing w:after="0" w:line="263" w:lineRule="auto"/>
        <w:rPr>
          <w:sz w:val="20"/>
          <w:szCs w:val="20"/>
          <w:color w:val="auto"/>
        </w:rPr>
      </w:pPr>
      <w:r>
        <w:rPr>
          <w:rFonts w:ascii="Times New Roman" w:cs="Times New Roman" w:eastAsia="Times New Roman" w:hAnsi="Times New Roman"/>
          <w:sz w:val="20"/>
          <w:szCs w:val="20"/>
          <w:color w:val="231F20"/>
        </w:rPr>
        <w:t>The fair value of the Company’s Revolving Credit Facility, which is categorized as Level 3 within the fair value hierarchy, as of December 31, 2023 and 2022, approximates its carrying value as the outstanding balance is callable at carrying value.</w:t>
      </w:r>
    </w:p>
    <w:p>
      <w:pPr>
        <w:spacing w:after="0" w:line="49" w:lineRule="exact"/>
        <w:rPr>
          <w:sz w:val="20"/>
          <w:szCs w:val="20"/>
          <w:color w:val="auto"/>
        </w:rPr>
      </w:pPr>
    </w:p>
    <w:p>
      <w:pPr>
        <w:ind w:right="900" w:firstLine="245"/>
        <w:spacing w:after="0" w:line="263" w:lineRule="auto"/>
        <w:rPr>
          <w:sz w:val="20"/>
          <w:szCs w:val="20"/>
          <w:color w:val="auto"/>
        </w:rPr>
      </w:pPr>
      <w:r>
        <w:rPr>
          <w:rFonts w:ascii="Times New Roman" w:cs="Times New Roman" w:eastAsia="Times New Roman" w:hAnsi="Times New Roman"/>
          <w:sz w:val="20"/>
          <w:szCs w:val="20"/>
          <w:color w:val="231F20"/>
        </w:rPr>
        <w:t>The following table presents the fair value of the Company’s 2023 Notes, 2024 Notes, 2026 Notes and 2028 Notes, as of December 31, 2023 and 2022.</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460" w:type="dxa"/>
            <w:vAlign w:val="bottom"/>
            <w:tcBorders>
              <w:bottom w:val="single" w:sz="8" w:color="231F20"/>
            </w:tcBorders>
            <w:gridSpan w:val="4"/>
          </w:tcPr>
          <w:p>
            <w:pPr>
              <w:jc w:val="right"/>
              <w:ind w:right="526"/>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420" w:type="dxa"/>
            <w:vAlign w:val="bottom"/>
            <w:tcBorders>
              <w:bottom w:val="single" w:sz="8" w:color="231F20"/>
            </w:tcBorders>
            <w:gridSpan w:val="4"/>
          </w:tcPr>
          <w:p>
            <w:pPr>
              <w:jc w:val="right"/>
              <w:ind w:right="546"/>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80" w:type="dxa"/>
            <w:vAlign w:val="bottom"/>
          </w:tcPr>
          <w:p>
            <w:pPr>
              <w:spacing w:after="0"/>
              <w:rPr>
                <w:sz w:val="17"/>
                <w:szCs w:val="17"/>
                <w:color w:val="auto"/>
              </w:rPr>
            </w:pPr>
          </w:p>
        </w:tc>
      </w:tr>
      <w:tr>
        <w:trPr>
          <w:trHeight w:val="155"/>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6"/>
                <w:szCs w:val="16"/>
                <w:b w:val="1"/>
                <w:bCs w:val="1"/>
                <w:color w:val="231F20"/>
              </w:rPr>
              <w:t>Outstanding</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26"/>
              <w:spacing w:after="0" w:line="155" w:lineRule="exact"/>
              <w:rPr>
                <w:sz w:val="20"/>
                <w:szCs w:val="20"/>
                <w:color w:val="auto"/>
              </w:rPr>
            </w:pPr>
            <w:r>
              <w:rPr>
                <w:rFonts w:ascii="Times New Roman" w:cs="Times New Roman" w:eastAsia="Times New Roman" w:hAnsi="Times New Roman"/>
                <w:sz w:val="16"/>
                <w:szCs w:val="16"/>
                <w:b w:val="1"/>
                <w:bCs w:val="1"/>
                <w:color w:val="231F20"/>
              </w:rPr>
              <w:t>Fair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6"/>
                <w:szCs w:val="16"/>
                <w:b w:val="1"/>
                <w:bCs w:val="1"/>
                <w:color w:val="231F20"/>
              </w:rPr>
              <w:t>Outstanding</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46"/>
              <w:spacing w:after="0" w:line="155" w:lineRule="exact"/>
              <w:rPr>
                <w:sz w:val="20"/>
                <w:szCs w:val="20"/>
                <w:color w:val="auto"/>
              </w:rPr>
            </w:pPr>
            <w:r>
              <w:rPr>
                <w:rFonts w:ascii="Times New Roman" w:cs="Times New Roman" w:eastAsia="Times New Roman" w:hAnsi="Times New Roman"/>
                <w:sz w:val="16"/>
                <w:szCs w:val="16"/>
                <w:b w:val="1"/>
                <w:bCs w:val="1"/>
                <w:color w:val="231F20"/>
              </w:rPr>
              <w:t>Fair</w:t>
            </w:r>
          </w:p>
        </w:tc>
        <w:tc>
          <w:tcPr>
            <w:tcW w:w="80" w:type="dxa"/>
            <w:vAlign w:val="bottom"/>
          </w:tcPr>
          <w:p>
            <w:pPr>
              <w:spacing w:after="0"/>
              <w:rPr>
                <w:sz w:val="13"/>
                <w:szCs w:val="13"/>
                <w:color w:val="auto"/>
              </w:rPr>
            </w:pPr>
          </w:p>
        </w:tc>
      </w:tr>
      <w:tr>
        <w:trPr>
          <w:trHeight w:val="203"/>
        </w:trPr>
        <w:tc>
          <w:tcPr>
            <w:tcW w:w="3200" w:type="dxa"/>
            <w:vAlign w:val="bottom"/>
            <w:tcBorders>
              <w:bottom w:val="single" w:sz="8" w:color="CFEDF9"/>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right"/>
              <w:ind w:right="188"/>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240" w:type="dxa"/>
            <w:vAlign w:val="bottom"/>
            <w:tcBorders>
              <w:bottom w:val="single" w:sz="8" w:color="CFEDF9"/>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231F20"/>
              </w:rPr>
              <w:t xml:space="preserve">Value </w:t>
            </w:r>
            <w:r>
              <w:rPr>
                <w:rFonts w:ascii="Times New Roman" w:cs="Times New Roman" w:eastAsia="Times New Roman" w:hAnsi="Times New Roman"/>
                <w:sz w:val="10"/>
                <w:szCs w:val="10"/>
                <w:b w:val="1"/>
                <w:bCs w:val="1"/>
                <w:color w:val="231F20"/>
              </w:rPr>
              <w:t>(1)</w:t>
            </w:r>
          </w:p>
        </w:tc>
        <w:tc>
          <w:tcPr>
            <w:tcW w:w="80" w:type="dxa"/>
            <w:vAlign w:val="bottom"/>
            <w:tcBorders>
              <w:bottom w:val="single" w:sz="8" w:color="CFEDF9"/>
            </w:tcBorders>
          </w:tcPr>
          <w:p>
            <w:pPr>
              <w:spacing w:after="0"/>
              <w:rPr>
                <w:sz w:val="17"/>
                <w:szCs w:val="17"/>
                <w:color w:val="auto"/>
              </w:rPr>
            </w:pPr>
          </w:p>
        </w:tc>
        <w:tc>
          <w:tcPr>
            <w:tcW w:w="160" w:type="dxa"/>
            <w:vAlign w:val="bottom"/>
            <w:tcBorders>
              <w:bottom w:val="single" w:sz="8" w:color="CFEDF9"/>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240" w:type="dxa"/>
            <w:vAlign w:val="bottom"/>
            <w:tcBorders>
              <w:bottom w:val="single" w:sz="8" w:color="CFEDF9"/>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231F20"/>
              </w:rPr>
              <w:t xml:space="preserve">Value </w:t>
            </w:r>
            <w:r>
              <w:rPr>
                <w:rFonts w:ascii="Times New Roman" w:cs="Times New Roman" w:eastAsia="Times New Roman" w:hAnsi="Times New Roman"/>
                <w:sz w:val="10"/>
                <w:szCs w:val="10"/>
                <w:b w:val="1"/>
                <w:bCs w:val="1"/>
                <w:color w:val="231F20"/>
              </w:rPr>
              <w:t>(1)</w:t>
            </w:r>
          </w:p>
        </w:tc>
        <w:tc>
          <w:tcPr>
            <w:tcW w:w="80" w:type="dxa"/>
            <w:vAlign w:val="bottom"/>
            <w:tcBorders>
              <w:bottom w:val="single" w:sz="8" w:color="CFEDF9"/>
            </w:tcBorders>
          </w:tcPr>
          <w:p>
            <w:pPr>
              <w:spacing w:after="0"/>
              <w:rPr>
                <w:sz w:val="17"/>
                <w:szCs w:val="17"/>
                <w:color w:val="auto"/>
              </w:rPr>
            </w:pPr>
          </w:p>
        </w:tc>
      </w:tr>
      <w:tr>
        <w:trPr>
          <w:trHeight w:val="220"/>
        </w:trPr>
        <w:tc>
          <w:tcPr>
            <w:tcW w:w="320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2023 Notes</w:t>
            </w:r>
          </w:p>
        </w:tc>
        <w:tc>
          <w:tcPr>
            <w:tcW w:w="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0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2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150,000</w:t>
            </w:r>
          </w:p>
        </w:tc>
        <w:tc>
          <w:tcPr>
            <w:tcW w:w="240" w:type="dxa"/>
            <w:vAlign w:val="bottom"/>
            <w:shd w:val="clear" w:color="auto" w:fill="CFEDF9"/>
          </w:tcPr>
          <w:p>
            <w:pPr>
              <w:spacing w:after="0"/>
              <w:rPr>
                <w:sz w:val="19"/>
                <w:szCs w:val="19"/>
                <w:color w:val="auto"/>
              </w:rPr>
            </w:pPr>
          </w:p>
        </w:tc>
        <w:tc>
          <w:tcPr>
            <w:tcW w:w="2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149,640</w:t>
            </w:r>
          </w:p>
        </w:tc>
        <w:tc>
          <w:tcPr>
            <w:tcW w:w="80" w:type="dxa"/>
            <w:vAlign w:val="bottom"/>
            <w:shd w:val="clear" w:color="auto" w:fill="CFEDF9"/>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231F20"/>
              </w:rPr>
              <w:t>2024 Notes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340,862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332,853</w:t>
            </w:r>
          </w:p>
        </w:tc>
        <w:tc>
          <w:tcPr>
            <w:tcW w:w="80" w:type="dxa"/>
            <w:vAlign w:val="bottom"/>
          </w:tcPr>
          <w:p>
            <w:pPr>
              <w:spacing w:after="0"/>
              <w:rPr>
                <w:sz w:val="19"/>
                <w:szCs w:val="19"/>
                <w:color w:val="auto"/>
              </w:rPr>
            </w:pPr>
          </w:p>
        </w:tc>
      </w:tr>
      <w:tr>
        <w:trPr>
          <w:trHeight w:val="230"/>
        </w:trPr>
        <w:tc>
          <w:tcPr>
            <w:tcW w:w="32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2026 Notes</w:t>
            </w:r>
          </w:p>
        </w:tc>
        <w:tc>
          <w:tcPr>
            <w:tcW w:w="100" w:type="dxa"/>
            <w:vAlign w:val="bottom"/>
            <w:shd w:val="clear" w:color="auto" w:fill="CFEDF9"/>
          </w:tcPr>
          <w:p>
            <w:pPr>
              <w:spacing w:after="0"/>
              <w:rPr>
                <w:sz w:val="19"/>
                <w:szCs w:val="19"/>
                <w:color w:val="auto"/>
              </w:rPr>
            </w:pP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4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273,410</w:t>
            </w:r>
          </w:p>
        </w:tc>
        <w:tc>
          <w:tcPr>
            <w:tcW w:w="8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0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4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261,750</w:t>
            </w:r>
          </w:p>
        </w:tc>
        <w:tc>
          <w:tcPr>
            <w:tcW w:w="80" w:type="dxa"/>
            <w:vAlign w:val="bottom"/>
            <w:shd w:val="clear" w:color="auto" w:fill="CFEDF9"/>
          </w:tcPr>
          <w:p>
            <w:pPr>
              <w:spacing w:after="0"/>
              <w:rPr>
                <w:sz w:val="19"/>
                <w:szCs w:val="19"/>
                <w:color w:val="auto"/>
              </w:rPr>
            </w:pPr>
          </w:p>
        </w:tc>
      </w:tr>
      <w:tr>
        <w:trPr>
          <w:trHeight w:val="230"/>
        </w:trPr>
        <w:tc>
          <w:tcPr>
            <w:tcW w:w="320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2028 Notes</w:t>
            </w:r>
          </w:p>
        </w:tc>
        <w:tc>
          <w:tcPr>
            <w:tcW w:w="10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40" w:type="dxa"/>
            <w:vAlign w:val="bottom"/>
            <w:tcBorders>
              <w:bottom w:val="single" w:sz="8" w:color="CFEDF9"/>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309,420</w:t>
            </w:r>
          </w:p>
        </w:tc>
        <w:tc>
          <w:tcPr>
            <w:tcW w:w="80" w:type="dxa"/>
            <w:vAlign w:val="bottom"/>
            <w:tcBorders>
              <w:bottom w:val="single" w:sz="8" w:color="CFEDF9"/>
            </w:tcBorders>
          </w:tcPr>
          <w:p>
            <w:pPr>
              <w:spacing w:after="0"/>
              <w:rPr>
                <w:sz w:val="19"/>
                <w:szCs w:val="19"/>
                <w:color w:val="auto"/>
              </w:rPr>
            </w:pPr>
          </w:p>
        </w:tc>
        <w:tc>
          <w:tcPr>
            <w:tcW w:w="16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bottom w:val="single" w:sz="8" w:color="CFEDF9"/>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DF9"/>
            </w:tcBorders>
          </w:tcPr>
          <w:p>
            <w:pPr>
              <w:spacing w:after="0"/>
              <w:rPr>
                <w:sz w:val="19"/>
                <w:szCs w:val="19"/>
                <w:color w:val="auto"/>
              </w:rPr>
            </w:pPr>
          </w:p>
        </w:tc>
      </w:tr>
      <w:tr>
        <w:trPr>
          <w:trHeight w:val="220"/>
        </w:trPr>
        <w:tc>
          <w:tcPr>
            <w:tcW w:w="320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0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947,500</w:t>
            </w:r>
          </w:p>
        </w:tc>
        <w:tc>
          <w:tcPr>
            <w:tcW w:w="240" w:type="dxa"/>
            <w:vAlign w:val="bottom"/>
            <w:shd w:val="clear" w:color="auto" w:fill="CFEDF9"/>
          </w:tcPr>
          <w:p>
            <w:pPr>
              <w:spacing w:after="0"/>
              <w:rPr>
                <w:sz w:val="19"/>
                <w:szCs w:val="19"/>
                <w:color w:val="auto"/>
              </w:rPr>
            </w:pPr>
          </w:p>
        </w:tc>
        <w:tc>
          <w:tcPr>
            <w:tcW w:w="2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923,692</w:t>
            </w:r>
          </w:p>
        </w:tc>
        <w:tc>
          <w:tcPr>
            <w:tcW w:w="8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797,500</w:t>
            </w:r>
          </w:p>
        </w:tc>
        <w:tc>
          <w:tcPr>
            <w:tcW w:w="240" w:type="dxa"/>
            <w:vAlign w:val="bottom"/>
            <w:shd w:val="clear" w:color="auto" w:fill="CFEDF9"/>
          </w:tcPr>
          <w:p>
            <w:pPr>
              <w:spacing w:after="0"/>
              <w:rPr>
                <w:sz w:val="19"/>
                <w:szCs w:val="19"/>
                <w:color w:val="auto"/>
              </w:rPr>
            </w:pPr>
          </w:p>
        </w:tc>
        <w:tc>
          <w:tcPr>
            <w:tcW w:w="2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744,243</w:t>
            </w:r>
          </w:p>
        </w:tc>
        <w:tc>
          <w:tcPr>
            <w:tcW w:w="80" w:type="dxa"/>
            <w:vAlign w:val="bottom"/>
            <w:shd w:val="clear" w:color="auto" w:fill="CFEDF9"/>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(1) The fair value is based on broker quotes received by the Company and is categorized as Level 2 within the fair value hierarchy.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Other Financial Assets and Liabilities</w:t>
      </w:r>
    </w:p>
    <w:p>
      <w:pPr>
        <w:spacing w:after="0" w:line="107" w:lineRule="exact"/>
        <w:rPr>
          <w:sz w:val="20"/>
          <w:szCs w:val="20"/>
          <w:color w:val="auto"/>
        </w:rPr>
      </w:pPr>
    </w:p>
    <w:p>
      <w:pPr>
        <w:ind w:right="80" w:firstLine="245"/>
        <w:spacing w:after="0" w:line="238" w:lineRule="auto"/>
        <w:rPr>
          <w:sz w:val="20"/>
          <w:szCs w:val="20"/>
          <w:color w:val="auto"/>
        </w:rPr>
      </w:pPr>
      <w:r>
        <w:rPr>
          <w:rFonts w:ascii="Times New Roman" w:cs="Times New Roman" w:eastAsia="Times New Roman" w:hAnsi="Times New Roman"/>
          <w:sz w:val="20"/>
          <w:szCs w:val="20"/>
          <w:color w:val="231F20"/>
        </w:rPr>
        <w:t>The carrying amounts of the Company’s assets and liabilities, other than investments at fair value and the 2023 Notes, 2024 Notes, 2026 Notes and 2028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ectPr>
          <w:pgSz w:w="12240" w:h="15840" w:orient="portrait"/>
          <w:cols w:equalWidth="0" w:num="1">
            <w:col w:w="10800"/>
          </w:cols>
          <w:pgMar w:left="720" w:top="120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F-32</w:t>
      </w:r>
    </w:p>
    <w:p>
      <w:pPr>
        <w:sectPr>
          <w:pgSz w:w="12240" w:h="15840" w:orient="portrait"/>
          <w:cols w:equalWidth="0" w:num="1">
            <w:col w:w="10800"/>
          </w:cols>
          <w:pgMar w:left="720" w:top="1206" w:right="720" w:bottom="186"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231F20"/>
        </w:rPr>
        <w:t>7. Debt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Revolving Credit Facility</w:t>
      </w:r>
    </w:p>
    <w:p>
      <w:pPr>
        <w:spacing w:after="0" w:line="118" w:lineRule="exact"/>
        <w:rPr>
          <w:sz w:val="20"/>
          <w:szCs w:val="20"/>
          <w:color w:val="auto"/>
        </w:rPr>
      </w:pPr>
    </w:p>
    <w:p>
      <w:pPr>
        <w:ind w:right="40" w:firstLine="245"/>
        <w:spacing w:after="0" w:line="258" w:lineRule="auto"/>
        <w:rPr>
          <w:sz w:val="20"/>
          <w:szCs w:val="20"/>
          <w:color w:val="auto"/>
        </w:rPr>
      </w:pPr>
      <w:r>
        <w:rPr>
          <w:rFonts w:ascii="Times New Roman" w:cs="Times New Roman" w:eastAsia="Times New Roman" w:hAnsi="Times New Roman"/>
          <w:sz w:val="20"/>
          <w:szCs w:val="20"/>
          <w:color w:val="231F20"/>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8"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As of April 25, 2023, aggregate commitments under the facility were $1.585 billion. Pursuant to an amendment to the Revolving Credit Facility dated as of June 12, 2023 (the “Fourteenth Amendment”), the aggregate commitments under the facility were increased to $1.710 billion. The facility includes an uncommitted accordion feature that allows the Company, under certain circumstances, to increase the size of the facility to up to $2.0 billion.</w:t>
      </w:r>
    </w:p>
    <w:p>
      <w:pPr>
        <w:spacing w:after="0" w:line="194" w:lineRule="exact"/>
        <w:rPr>
          <w:sz w:val="20"/>
          <w:szCs w:val="20"/>
          <w:color w:val="auto"/>
        </w:rPr>
      </w:pPr>
    </w:p>
    <w:p>
      <w:pPr>
        <w:ind w:right="140" w:firstLine="245"/>
        <w:spacing w:after="0" w:line="247" w:lineRule="auto"/>
        <w:rPr>
          <w:sz w:val="20"/>
          <w:szCs w:val="20"/>
          <w:color w:val="auto"/>
        </w:rPr>
      </w:pPr>
      <w:r>
        <w:rPr>
          <w:rFonts w:ascii="Times New Roman" w:cs="Times New Roman" w:eastAsia="Times New Roman" w:hAnsi="Times New Roman"/>
          <w:sz w:val="20"/>
          <w:szCs w:val="20"/>
          <w:color w:val="231F20"/>
        </w:rPr>
        <w:t>Pursuant to the Fourteenth Amendment, with respect to $1.465 billion in commitments, the revolving period, during which period the Company, subject to certain conditions, may make borrowings under the facility, was extended to June 11, 2027 and the stated maturity date was extended to June 12, 2028. For the remaining $245.0 million of commitments, (A) with respect to $25.0 million of commitments, the revolving period ends January 31, 2024 and the stated maturity is January 31, 2025, (B) with respect to $50.0 million of commitments, the revolving period ends on February 4, 2025 and the stated maturity is February 4, 2026 and (C) with respect to $170.0 million of commitments, the revolving period ends April 24, 2026 and the stated maturity is April 23, 2027.</w:t>
      </w:r>
    </w:p>
    <w:p>
      <w:pPr>
        <w:spacing w:after="0" w:line="200" w:lineRule="exact"/>
        <w:rPr>
          <w:sz w:val="20"/>
          <w:szCs w:val="20"/>
          <w:color w:val="auto"/>
        </w:rPr>
      </w:pPr>
    </w:p>
    <w:p>
      <w:pPr>
        <w:ind w:right="60" w:firstLine="245"/>
        <w:spacing w:after="0" w:line="247" w:lineRule="auto"/>
        <w:rPr>
          <w:sz w:val="20"/>
          <w:szCs w:val="20"/>
          <w:color w:val="auto"/>
        </w:rPr>
      </w:pPr>
      <w:r>
        <w:rPr>
          <w:rFonts w:ascii="Times New Roman" w:cs="Times New Roman" w:eastAsia="Times New Roman" w:hAnsi="Times New Roman"/>
          <w:sz w:val="20"/>
          <w:szCs w:val="20"/>
          <w:color w:val="231F20"/>
        </w:rPr>
        <w:t>The Company may borrow amounts in U.S. dollars or certain other permitted currencies. As of December 31, 2023, the Company had outstanding debt denominated in Australian dollars (AUD) of 66.4 million, British pounds (GBP) of 32.3 million, Canadian dollars (CAD) of 96.8 million, and Euro (EUR) of 57.2 million on its Revolving Credit Facility, included in the Outstanding Principal amount in the table above. As of December 31, 2022, the Company had outstanding debt denominated in Australian dollars (AUD) of 69.0 million, British pounds (GBP) of 12.9 million, Canadian dollars (CAD) of 96.6 million, and Euro (EUR) of 23.4 million on its Revolving Credit Facility, included in the Outstanding Principal amount in the table above.</w:t>
      </w:r>
    </w:p>
    <w:p>
      <w:pPr>
        <w:spacing w:after="0" w:line="200" w:lineRule="exact"/>
        <w:rPr>
          <w:sz w:val="20"/>
          <w:szCs w:val="20"/>
          <w:color w:val="auto"/>
        </w:rPr>
      </w:pPr>
    </w:p>
    <w:p>
      <w:pPr>
        <w:ind w:right="200" w:firstLine="245"/>
        <w:spacing w:after="0" w:line="252" w:lineRule="auto"/>
        <w:rPr>
          <w:sz w:val="20"/>
          <w:szCs w:val="20"/>
          <w:color w:val="auto"/>
        </w:rPr>
      </w:pPr>
      <w:r>
        <w:rPr>
          <w:rFonts w:ascii="Times New Roman" w:cs="Times New Roman" w:eastAsia="Times New Roman" w:hAnsi="Times New Roman"/>
          <w:sz w:val="20"/>
          <w:szCs w:val="20"/>
          <w:color w:val="231F20"/>
        </w:rPr>
        <w:t>The Revolving Credit Facility also provides for the issuance of letters of credit up to an aggregate amount of $75 million. As of December 31, 2023 and December 31, 2022, the Company had $0.2 million and less than $0.1 million outstanding letters of credit issued through the Revolving Credit Facility. The amount available for borrowing under the Revolving Credit Facility is reduced by any letters of credit issued through the Revolving Credit Facility.</w:t>
      </w:r>
    </w:p>
    <w:p>
      <w:pPr>
        <w:spacing w:after="0" w:line="194"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20"/>
          <w:szCs w:val="20"/>
          <w:color w:val="231F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200" w:lineRule="exact"/>
        <w:rPr>
          <w:sz w:val="20"/>
          <w:szCs w:val="20"/>
          <w:color w:val="auto"/>
        </w:rPr>
      </w:pPr>
    </w:p>
    <w:p>
      <w:pPr>
        <w:ind w:right="20" w:firstLine="245"/>
        <w:spacing w:after="0" w:line="252" w:lineRule="auto"/>
        <w:rPr>
          <w:sz w:val="20"/>
          <w:szCs w:val="20"/>
          <w:color w:val="auto"/>
        </w:rPr>
      </w:pPr>
      <w:r>
        <w:rPr>
          <w:rFonts w:ascii="Times New Roman" w:cs="Times New Roman" w:eastAsia="Times New Roman" w:hAnsi="Times New Roman"/>
          <w:sz w:val="20"/>
          <w:szCs w:val="20"/>
          <w:color w:val="231F20"/>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94" w:lineRule="exact"/>
        <w:rPr>
          <w:sz w:val="20"/>
          <w:szCs w:val="20"/>
          <w:color w:val="auto"/>
        </w:rPr>
      </w:pPr>
    </w:p>
    <w:p>
      <w:pPr>
        <w:jc w:val="both"/>
        <w:ind w:right="460" w:firstLine="245"/>
        <w:spacing w:after="0" w:line="258" w:lineRule="auto"/>
        <w:rPr>
          <w:sz w:val="20"/>
          <w:szCs w:val="20"/>
          <w:color w:val="auto"/>
        </w:rPr>
      </w:pPr>
      <w:r>
        <w:rPr>
          <w:rFonts w:ascii="Times New Roman" w:cs="Times New Roman" w:eastAsia="Times New Roman" w:hAnsi="Times New Roman"/>
          <w:sz w:val="20"/>
          <w:szCs w:val="20"/>
          <w:color w:val="231F20"/>
        </w:rPr>
        <w:t>The Revolving Credit Facility includes customary events of default, as well as customary covenants, including restrictions on certain distributions and financial covenants. In accordance with the terms of the Thirteenth Amendment, the financial covenants require:</w:t>
      </w:r>
    </w:p>
    <w:p>
      <w:pPr>
        <w:spacing w:after="0" w:line="77" w:lineRule="exact"/>
        <w:rPr>
          <w:sz w:val="20"/>
          <w:szCs w:val="20"/>
          <w:color w:val="auto"/>
        </w:rPr>
      </w:pPr>
    </w:p>
    <w:p>
      <w:pPr>
        <w:ind w:left="500" w:hanging="255"/>
        <w:spacing w:after="0"/>
        <w:tabs>
          <w:tab w:leader="none" w:pos="500" w:val="left"/>
        </w:tabs>
        <w:numPr>
          <w:ilvl w:val="0"/>
          <w:numId w:val="98"/>
        </w:numPr>
        <w:rPr>
          <w:rFonts w:ascii="Arial" w:cs="Arial" w:eastAsia="Arial" w:hAnsi="Arial"/>
          <w:sz w:val="20"/>
          <w:szCs w:val="20"/>
          <w:color w:val="231F20"/>
        </w:rPr>
      </w:pPr>
      <w:r>
        <w:rPr>
          <w:rFonts w:ascii="Times New Roman" w:cs="Times New Roman" w:eastAsia="Times New Roman" w:hAnsi="Times New Roman"/>
          <w:sz w:val="20"/>
          <w:szCs w:val="20"/>
          <w:color w:val="231F20"/>
        </w:rPr>
        <w:t>an asset coverage ratio of no less than 1.5 to 1 on the last day of any fiscal quarter;</w:t>
      </w:r>
    </w:p>
    <w:p>
      <w:pPr>
        <w:spacing w:after="0" w:line="132" w:lineRule="exact"/>
        <w:rPr>
          <w:rFonts w:ascii="Arial" w:cs="Arial" w:eastAsia="Arial" w:hAnsi="Arial"/>
          <w:sz w:val="20"/>
          <w:szCs w:val="20"/>
          <w:color w:val="231F20"/>
        </w:rPr>
      </w:pPr>
    </w:p>
    <w:p>
      <w:pPr>
        <w:ind w:left="500" w:right="140" w:hanging="255"/>
        <w:spacing w:after="0" w:line="276" w:lineRule="auto"/>
        <w:tabs>
          <w:tab w:leader="none" w:pos="500" w:val="left"/>
        </w:tabs>
        <w:numPr>
          <w:ilvl w:val="0"/>
          <w:numId w:val="98"/>
        </w:numPr>
        <w:rPr>
          <w:rFonts w:ascii="Arial" w:cs="Arial" w:eastAsia="Arial" w:hAnsi="Arial"/>
          <w:sz w:val="20"/>
          <w:szCs w:val="20"/>
          <w:color w:val="231F20"/>
        </w:rPr>
      </w:pPr>
      <w:r>
        <w:rPr>
          <w:rFonts w:ascii="Times New Roman" w:cs="Times New Roman" w:eastAsia="Times New Roman" w:hAnsi="Times New Roman"/>
          <w:sz w:val="20"/>
          <w:szCs w:val="20"/>
          <w:color w:val="231F20"/>
        </w:rPr>
        <w:t>stockholders’ equity of at least $500 million plus 25% of the net proceeds of the sale of equity interests after January 31, 2020; and</w:t>
      </w:r>
    </w:p>
    <w:p>
      <w:pPr>
        <w:spacing w:after="0" w:line="64" w:lineRule="exact"/>
        <w:rPr>
          <w:rFonts w:ascii="Arial" w:cs="Arial" w:eastAsia="Arial" w:hAnsi="Arial"/>
          <w:sz w:val="20"/>
          <w:szCs w:val="20"/>
          <w:color w:val="231F20"/>
        </w:rPr>
      </w:pPr>
    </w:p>
    <w:p>
      <w:pPr>
        <w:ind w:left="500" w:right="340" w:hanging="255"/>
        <w:spacing w:after="0" w:line="258" w:lineRule="auto"/>
        <w:tabs>
          <w:tab w:leader="none" w:pos="500" w:val="left"/>
        </w:tabs>
        <w:numPr>
          <w:ilvl w:val="0"/>
          <w:numId w:val="98"/>
        </w:numPr>
        <w:rPr>
          <w:rFonts w:ascii="Arial" w:cs="Arial" w:eastAsia="Arial" w:hAnsi="Arial"/>
          <w:sz w:val="20"/>
          <w:szCs w:val="20"/>
          <w:color w:val="231F20"/>
        </w:rPr>
      </w:pPr>
      <w:r>
        <w:rPr>
          <w:rFonts w:ascii="Times New Roman" w:cs="Times New Roman" w:eastAsia="Times New Roman" w:hAnsi="Times New Roman"/>
          <w:sz w:val="20"/>
          <w:szCs w:val="20"/>
          <w:color w:val="231F20"/>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(the “Obligor Asset Coverage Ratio”).</w:t>
      </w:r>
    </w:p>
    <w:p>
      <w:pPr>
        <w:sectPr>
          <w:pgSz w:w="12240" w:h="15840" w:orient="portrait"/>
          <w:cols w:equalWidth="0" w:num="1">
            <w:col w:w="10780"/>
          </w:cols>
          <w:pgMar w:left="720" w:top="915"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F-33</w:t>
      </w:r>
    </w:p>
    <w:p>
      <w:pPr>
        <w:sectPr>
          <w:pgSz w:w="12240" w:h="15840" w:orient="portrait"/>
          <w:cols w:equalWidth="0" w:num="1">
            <w:col w:w="10780"/>
          </w:cols>
          <w:pgMar w:left="720" w:top="915" w:right="740" w:bottom="186" w:gutter="0" w:footer="0" w:header="0"/>
          <w:type w:val="continuous"/>
        </w:sectPr>
      </w:pPr>
    </w:p>
    <w:bookmarkStart w:id="118" w:name="page119"/>
    <w:bookmarkEnd w:id="118"/>
    <w:p>
      <w:pPr>
        <w:ind w:right="700" w:firstLine="245"/>
        <w:spacing w:after="0" w:line="277" w:lineRule="auto"/>
        <w:rPr>
          <w:sz w:val="20"/>
          <w:szCs w:val="20"/>
          <w:color w:val="auto"/>
        </w:rPr>
      </w:pPr>
      <w:r>
        <w:rPr>
          <w:rFonts w:ascii="Times New Roman" w:cs="Times New Roman" w:eastAsia="Times New Roman" w:hAnsi="Times New Roman"/>
          <w:sz w:val="20"/>
          <w:szCs w:val="20"/>
          <w:color w:val="231F20"/>
        </w:rPr>
        <w:t>The Revolving Credit Facility also contains certain additional concentration limits in connection with the calculation of the borrowing base, based on the Obligor Asset Coverage Ratio.</w:t>
      </w:r>
    </w:p>
    <w:p>
      <w:pPr>
        <w:spacing w:after="0" w:line="164" w:lineRule="exact"/>
        <w:rPr>
          <w:sz w:val="20"/>
          <w:szCs w:val="20"/>
          <w:color w:val="auto"/>
        </w:rPr>
      </w:pPr>
    </w:p>
    <w:p>
      <w:pPr>
        <w:ind w:right="100" w:firstLine="245"/>
        <w:spacing w:after="0" w:line="270" w:lineRule="auto"/>
        <w:rPr>
          <w:sz w:val="20"/>
          <w:szCs w:val="20"/>
          <w:color w:val="auto"/>
        </w:rPr>
      </w:pPr>
      <w:r>
        <w:rPr>
          <w:rFonts w:ascii="Times New Roman" w:cs="Times New Roman" w:eastAsia="Times New Roman" w:hAnsi="Times New Roman"/>
          <w:sz w:val="20"/>
          <w:szCs w:val="20"/>
          <w:color w:val="231F20"/>
        </w:rPr>
        <w:t>Net proceeds received from the issuance of the 2022 Convertible Notes, 2023 Notes, 2024 Notes and 2026 Notes were used to pay down borrowings on the Revolving Credit Facility.</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As of December 31, 2023, the Company was in compliance with the terms of the Revolving Credit Facility.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2022 Convertible Notes</w:t>
      </w:r>
    </w:p>
    <w:p>
      <w:pPr>
        <w:spacing w:after="0" w:line="110" w:lineRule="exact"/>
        <w:rPr>
          <w:sz w:val="20"/>
          <w:szCs w:val="20"/>
          <w:color w:val="auto"/>
        </w:rPr>
      </w:pPr>
    </w:p>
    <w:p>
      <w:pPr>
        <w:ind w:right="120" w:firstLine="245"/>
        <w:spacing w:after="0" w:line="234" w:lineRule="auto"/>
        <w:rPr>
          <w:sz w:val="20"/>
          <w:szCs w:val="20"/>
          <w:color w:val="auto"/>
        </w:rPr>
      </w:pPr>
      <w:r>
        <w:rPr>
          <w:rFonts w:ascii="Times New Roman" w:cs="Times New Roman" w:eastAsia="Times New Roman" w:hAnsi="Times New Roman"/>
          <w:sz w:val="20"/>
          <w:szCs w:val="20"/>
          <w:color w:val="231F20"/>
        </w:rPr>
        <w:t>In February 2017, the Company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the Company issued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the Company’s 2022 Convertible Notes issued in February 2017.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82" w:lineRule="exact"/>
        <w:rPr>
          <w:sz w:val="20"/>
          <w:szCs w:val="20"/>
          <w:color w:val="auto"/>
        </w:rPr>
      </w:pPr>
    </w:p>
    <w:p>
      <w:pPr>
        <w:ind w:right="20" w:firstLine="245"/>
        <w:spacing w:after="0" w:line="235" w:lineRule="auto"/>
        <w:rPr>
          <w:sz w:val="20"/>
          <w:szCs w:val="20"/>
          <w:color w:val="auto"/>
        </w:rPr>
      </w:pPr>
      <w:r>
        <w:rPr>
          <w:rFonts w:ascii="Times New Roman" w:cs="Times New Roman" w:eastAsia="Times New Roman" w:hAnsi="Times New Roman"/>
          <w:sz w:val="20"/>
          <w:szCs w:val="20"/>
          <w:color w:val="231F20"/>
        </w:rPr>
        <w:t>On August 1, 2022, the 2022 Convertible Notes matured in accordance with the governing indenture. Holders of $79.2 million aggregate principal amount of notes provided valid notice of conversion and were subject to the combination settlement method previously elected by the Company,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the Company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2023 Notes</w:t>
      </w:r>
    </w:p>
    <w:p>
      <w:pPr>
        <w:spacing w:after="0" w:line="118" w:lineRule="exact"/>
        <w:rPr>
          <w:sz w:val="20"/>
          <w:szCs w:val="20"/>
          <w:color w:val="auto"/>
        </w:rPr>
      </w:pPr>
    </w:p>
    <w:p>
      <w:pPr>
        <w:ind w:right="260" w:firstLine="245"/>
        <w:spacing w:after="0" w:line="246" w:lineRule="auto"/>
        <w:rPr>
          <w:sz w:val="20"/>
          <w:szCs w:val="20"/>
          <w:color w:val="auto"/>
        </w:rPr>
      </w:pPr>
      <w:r>
        <w:rPr>
          <w:rFonts w:ascii="Times New Roman" w:cs="Times New Roman" w:eastAsia="Times New Roman" w:hAnsi="Times New Roman"/>
          <w:sz w:val="20"/>
          <w:szCs w:val="20"/>
          <w:color w:val="231F20"/>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2024 Notes</w:t>
      </w:r>
    </w:p>
    <w:p>
      <w:pPr>
        <w:spacing w:after="0" w:line="118" w:lineRule="exact"/>
        <w:rPr>
          <w:sz w:val="20"/>
          <w:szCs w:val="20"/>
          <w:color w:val="auto"/>
        </w:rPr>
      </w:pPr>
    </w:p>
    <w:p>
      <w:pPr>
        <w:ind w:firstLine="245"/>
        <w:spacing w:after="0" w:line="254" w:lineRule="auto"/>
        <w:rPr>
          <w:sz w:val="20"/>
          <w:szCs w:val="20"/>
          <w:color w:val="auto"/>
        </w:rPr>
      </w:pPr>
      <w:r>
        <w:rPr>
          <w:rFonts w:ascii="Times New Roman" w:cs="Times New Roman" w:eastAsia="Times New Roman" w:hAnsi="Times New Roman"/>
          <w:sz w:val="20"/>
          <w:szCs w:val="20"/>
          <w:color w:val="231F20"/>
        </w:rPr>
        <w:t>In November 2019, the Company issued $300.0 million aggregate principal amount of unsecured notes that mature on November 1, 2024 (the “2024 Notes”). The principal amount of the 2024 Notes is payable at maturity. The 2024 Notes bear interest at a rate of</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204"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231F20"/>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97" w:lineRule="exact"/>
        <w:rPr>
          <w:sz w:val="20"/>
          <w:szCs w:val="20"/>
          <w:color w:val="auto"/>
        </w:rPr>
      </w:pPr>
    </w:p>
    <w:p>
      <w:pPr>
        <w:ind w:right="200" w:firstLine="245"/>
        <w:spacing w:after="0" w:line="270" w:lineRule="auto"/>
        <w:rPr>
          <w:sz w:val="20"/>
          <w:szCs w:val="20"/>
          <w:color w:val="auto"/>
        </w:rPr>
      </w:pPr>
      <w:r>
        <w:rPr>
          <w:rFonts w:ascii="Times New Roman" w:cs="Times New Roman" w:eastAsia="Times New Roman" w:hAnsi="Times New Roman"/>
          <w:sz w:val="19"/>
          <w:szCs w:val="19"/>
          <w:color w:val="231F20"/>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F-34</w:t>
      </w:r>
    </w:p>
    <w:p>
      <w:pPr>
        <w:sectPr>
          <w:pgSz w:w="12240" w:h="15840" w:orient="portrait"/>
          <w:cols w:equalWidth="0" w:num="1">
            <w:col w:w="10800"/>
          </w:cols>
          <w:pgMar w:left="720" w:top="930" w:right="720" w:bottom="175" w:gutter="0" w:footer="0" w:header="0"/>
        </w:sectPr>
      </w:pPr>
    </w:p>
    <w:bookmarkStart w:id="119" w:name="page120"/>
    <w:bookmarkEnd w:id="119"/>
    <w:p>
      <w:pPr>
        <w:ind w:right="60"/>
        <w:spacing w:after="0" w:line="249" w:lineRule="auto"/>
        <w:rPr>
          <w:sz w:val="20"/>
          <w:szCs w:val="20"/>
          <w:color w:val="auto"/>
        </w:rPr>
      </w:pPr>
      <w:r>
        <w:rPr>
          <w:rFonts w:ascii="Times New Roman" w:cs="Times New Roman" w:eastAsia="Times New Roman" w:hAnsi="Times New Roman"/>
          <w:sz w:val="20"/>
          <w:szCs w:val="20"/>
          <w:color w:val="231F20"/>
        </w:rPr>
        <w:t>the 2024 Notes is SOFR plus 2.54%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December 31, 2023, and December 31, 2022, the effective hedge interest rate swaps had a fair value of $(10.4) million and $(19.4) million, respectively, which is offset within interest expense by an equal, but opposite, fair value change for the hedged risk on the 2024 Notes.</w:t>
      </w:r>
    </w:p>
    <w:p>
      <w:pPr>
        <w:spacing w:after="0" w:line="197"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During the year ended December 31, 2020, the Company repurchased on the open market and extinguished $2.5 million in aggregate principal amount of the 2024 Notes for $2.4 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SOFR plus 2.54% (on a weighted average basis).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2026 Notes</w:t>
      </w:r>
    </w:p>
    <w:p>
      <w:pPr>
        <w:spacing w:after="0" w:line="118" w:lineRule="exact"/>
        <w:rPr>
          <w:sz w:val="20"/>
          <w:szCs w:val="20"/>
          <w:color w:val="auto"/>
        </w:rPr>
      </w:pPr>
    </w:p>
    <w:p>
      <w:pPr>
        <w:ind w:right="80" w:firstLine="245"/>
        <w:spacing w:after="0" w:line="254" w:lineRule="auto"/>
        <w:rPr>
          <w:sz w:val="20"/>
          <w:szCs w:val="20"/>
          <w:color w:val="auto"/>
        </w:rPr>
      </w:pPr>
      <w:r>
        <w:rPr>
          <w:rFonts w:ascii="Times New Roman" w:cs="Times New Roman" w:eastAsia="Times New Roman" w:hAnsi="Times New Roman"/>
          <w:sz w:val="20"/>
          <w:szCs w:val="20"/>
          <w:color w:val="231F20"/>
        </w:rPr>
        <w:t>On February 3, 2021, the Company issued $300.0 million aggregate principal amount of unsecured notes that mature on August 1, 2026 (the “2026 Notes”). The principal amount of the 2026 Notes is payable at maturity. The 2026 Notes bear interest at a rate of</w:t>
      </w:r>
    </w:p>
    <w:p>
      <w:pPr>
        <w:spacing w:after="0" w:line="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0"/>
          <w:szCs w:val="20"/>
          <w:color w:val="231F20"/>
        </w:rPr>
        <w:t>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spacing w:after="0" w:line="204"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231F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December 31, 2023 and December 31, 2022 the effective hedge interest rate swaps had a fair value of $(26.1) million and $(35.7) million, respectively, which is offset within interest expense by an equal, but opposite, fair value change for the hedged risk on the 2026 Notes.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2028 Notes</w:t>
      </w:r>
    </w:p>
    <w:p>
      <w:pPr>
        <w:spacing w:after="0" w:line="118" w:lineRule="exact"/>
        <w:rPr>
          <w:sz w:val="20"/>
          <w:szCs w:val="20"/>
          <w:color w:val="auto"/>
        </w:rPr>
      </w:pPr>
    </w:p>
    <w:p>
      <w:pPr>
        <w:ind w:right="20" w:firstLine="245"/>
        <w:spacing w:after="0" w:line="247" w:lineRule="auto"/>
        <w:rPr>
          <w:sz w:val="20"/>
          <w:szCs w:val="20"/>
          <w:color w:val="auto"/>
        </w:rPr>
      </w:pPr>
      <w:r>
        <w:rPr>
          <w:rFonts w:ascii="Times New Roman" w:cs="Times New Roman" w:eastAsia="Times New Roman" w:hAnsi="Times New Roman"/>
          <w:sz w:val="20"/>
          <w:szCs w:val="20"/>
          <w:color w:val="231F20"/>
        </w:rPr>
        <w:t>On August 14,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80"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20"/>
          <w:szCs w:val="20"/>
          <w:color w:val="231F20"/>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December 31, 2023 the effective hedge interest rate swaps had a fair value of $4.7 million which is offset within interest expense by an equal, but opposite, fair value change for the hedged risk on the 2028 Notes.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2029 Notes</w:t>
      </w:r>
    </w:p>
    <w:p>
      <w:pPr>
        <w:spacing w:after="0" w:line="118"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Subsequent to year end December 31, 2023, on January 8,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$341.8 million. The Company used the net proceeds of the 2029 Notes to repay outstanding indebtedness under the Revolving Credit Facility.</w:t>
      </w:r>
    </w:p>
    <w:p>
      <w:pPr>
        <w:spacing w:after="0" w:line="80" w:lineRule="exact"/>
        <w:rPr>
          <w:sz w:val="20"/>
          <w:szCs w:val="20"/>
          <w:color w:val="auto"/>
        </w:rPr>
      </w:pPr>
    </w:p>
    <w:p>
      <w:pPr>
        <w:ind w:right="60" w:firstLine="245"/>
        <w:spacing w:after="0" w:line="305" w:lineRule="auto"/>
        <w:rPr>
          <w:sz w:val="20"/>
          <w:szCs w:val="20"/>
          <w:color w:val="auto"/>
        </w:rPr>
      </w:pPr>
      <w:r>
        <w:rPr>
          <w:rFonts w:ascii="Times New Roman" w:cs="Times New Roman" w:eastAsia="Times New Roman" w:hAnsi="Times New Roman"/>
          <w:sz w:val="19"/>
          <w:szCs w:val="19"/>
          <w:color w:val="231F20"/>
        </w:rPr>
        <w:t>Subsequent to year end December 31, 2023, in connection with the issuance of the 2029 Notes, the Company entered into an interest rate swap to align the interest rates of its liabilities with the Company’s investment portfolio, which consists of predominately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F-35</w:t>
      </w:r>
    </w:p>
    <w:p>
      <w:pPr>
        <w:sectPr>
          <w:pgSz w:w="12240" w:h="15840" w:orient="portrait"/>
          <w:cols w:equalWidth="0" w:num="1">
            <w:col w:w="10760"/>
          </w:cols>
          <w:pgMar w:left="720" w:top="930" w:right="760" w:bottom="175" w:gutter="0" w:footer="0" w:header="0"/>
        </w:sectPr>
      </w:pPr>
    </w:p>
    <w:bookmarkStart w:id="120" w:name="page121"/>
    <w:bookmarkEnd w:id="120"/>
    <w:p>
      <w:pPr>
        <w:ind w:right="40"/>
        <w:spacing w:after="0" w:line="305" w:lineRule="auto"/>
        <w:rPr>
          <w:sz w:val="20"/>
          <w:szCs w:val="20"/>
          <w:color w:val="auto"/>
        </w:rPr>
      </w:pPr>
      <w:r>
        <w:rPr>
          <w:rFonts w:ascii="Times New Roman" w:cs="Times New Roman" w:eastAsia="Times New Roman" w:hAnsi="Times New Roman"/>
          <w:sz w:val="19"/>
          <w:szCs w:val="19"/>
          <w:color w:val="231F20"/>
        </w:rPr>
        <w:t>floating rate loans. The notional amount of the interest rate swap is $350.0 million, which matures on March 1, 2029, matching the maturity date of the 2029 Notes. As a result of the swap, the Company’s effective interest rate on the 2029 Notes is SOFR plus 2.44%.</w:t>
      </w:r>
    </w:p>
    <w:p>
      <w:pPr>
        <w:spacing w:after="0" w:line="145" w:lineRule="exact"/>
        <w:rPr>
          <w:sz w:val="20"/>
          <w:szCs w:val="20"/>
          <w:color w:val="auto"/>
        </w:rPr>
      </w:pPr>
    </w:p>
    <w:p>
      <w:pPr>
        <w:ind w:right="40" w:firstLine="245"/>
        <w:spacing w:after="0" w:line="277" w:lineRule="auto"/>
        <w:rPr>
          <w:sz w:val="20"/>
          <w:szCs w:val="20"/>
          <w:color w:val="auto"/>
        </w:rPr>
      </w:pPr>
      <w:r>
        <w:rPr>
          <w:rFonts w:ascii="Times New Roman" w:cs="Times New Roman" w:eastAsia="Times New Roman" w:hAnsi="Times New Roman"/>
          <w:sz w:val="20"/>
          <w:szCs w:val="20"/>
          <w:color w:val="231F20"/>
        </w:rPr>
        <w:t>For the years ended December 31, 2023, 2022 and 2021, the components of interest expense related to the 2023 Notes, 2024 Notes, 2026 Notes and 2028 Notes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w w:val="98"/>
              </w:rPr>
              <w:t>For the Year Ended</w:t>
            </w:r>
          </w:p>
        </w:tc>
        <w:tc>
          <w:tcPr>
            <w:tcW w:w="240" w:type="dxa"/>
            <w:vAlign w:val="bottom"/>
            <w:tcBorders>
              <w:bottom w:val="single" w:sz="8" w:color="231F20"/>
            </w:tcBorders>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100" w:type="dxa"/>
            <w:vAlign w:val="bottom"/>
            <w:tcBorders>
              <w:bottom w:val="single" w:sz="8" w:color="CFEDF9"/>
            </w:tcBorders>
          </w:tcPr>
          <w:p>
            <w:pPr>
              <w:spacing w:after="0"/>
              <w:rPr>
                <w:sz w:val="20"/>
                <w:szCs w:val="20"/>
                <w:color w:val="auto"/>
              </w:rPr>
            </w:pPr>
          </w:p>
        </w:tc>
        <w:tc>
          <w:tcPr>
            <w:tcW w:w="20" w:type="dxa"/>
            <w:vAlign w:val="bottom"/>
            <w:tcBorders>
              <w:bottom w:val="single" w:sz="8" w:color="CFEDF9"/>
            </w:tcBorders>
          </w:tcPr>
          <w:p>
            <w:pPr>
              <w:spacing w:after="0"/>
              <w:rPr>
                <w:sz w:val="20"/>
                <w:szCs w:val="20"/>
                <w:color w:val="auto"/>
              </w:rPr>
            </w:pPr>
          </w:p>
        </w:tc>
        <w:tc>
          <w:tcPr>
            <w:tcW w:w="13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220" w:type="dxa"/>
            <w:vAlign w:val="bottom"/>
            <w:tcBorders>
              <w:bottom w:val="single" w:sz="8" w:color="CFEDF9"/>
            </w:tcBorders>
          </w:tcPr>
          <w:p>
            <w:pPr>
              <w:spacing w:after="0"/>
              <w:rPr>
                <w:sz w:val="20"/>
                <w:szCs w:val="20"/>
                <w:color w:val="auto"/>
              </w:rPr>
            </w:pPr>
          </w:p>
        </w:tc>
        <w:tc>
          <w:tcPr>
            <w:tcW w:w="13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240" w:type="dxa"/>
            <w:vAlign w:val="bottom"/>
            <w:tcBorders>
              <w:bottom w:val="single" w:sz="8" w:color="CFEDF9"/>
            </w:tcBorders>
          </w:tcPr>
          <w:p>
            <w:pPr>
              <w:spacing w:after="0"/>
              <w:rPr>
                <w:sz w:val="20"/>
                <w:szCs w:val="20"/>
                <w:color w:val="auto"/>
              </w:rPr>
            </w:pPr>
          </w:p>
        </w:tc>
        <w:tc>
          <w:tcPr>
            <w:tcW w:w="13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 2021</w:t>
            </w:r>
          </w:p>
        </w:tc>
        <w:tc>
          <w:tcPr>
            <w:tcW w:w="100" w:type="dxa"/>
            <w:vAlign w:val="bottom"/>
            <w:tcBorders>
              <w:bottom w:val="single" w:sz="8" w:color="CFEDF9"/>
            </w:tcBorders>
          </w:tcPr>
          <w:p>
            <w:pPr>
              <w:spacing w:after="0"/>
              <w:rPr>
                <w:sz w:val="20"/>
                <w:szCs w:val="20"/>
                <w:color w:val="auto"/>
              </w:rPr>
            </w:pPr>
          </w:p>
        </w:tc>
      </w:tr>
      <w:tr>
        <w:trPr>
          <w:trHeight w:val="220"/>
        </w:trPr>
        <w:tc>
          <w:tcPr>
            <w:tcW w:w="610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Interest expense</w:t>
            </w:r>
          </w:p>
        </w:tc>
        <w:tc>
          <w:tcPr>
            <w:tcW w:w="20" w:type="dxa"/>
            <w:vAlign w:val="bottom"/>
            <w:shd w:val="clear" w:color="auto" w:fill="CFEDF9"/>
          </w:tcPr>
          <w:p>
            <w:pPr>
              <w:spacing w:after="0"/>
              <w:rPr>
                <w:sz w:val="19"/>
                <w:szCs w:val="19"/>
                <w:color w:val="auto"/>
              </w:rPr>
            </w:pPr>
          </w:p>
        </w:tc>
        <w:tc>
          <w:tcPr>
            <w:tcW w:w="440" w:type="dxa"/>
            <w:vAlign w:val="bottom"/>
            <w:shd w:val="clear" w:color="auto" w:fill="CFEDF9"/>
          </w:tcPr>
          <w:p>
            <w:pPr>
              <w:jc w:val="right"/>
              <w:ind w:right="277"/>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29,294</w:t>
            </w:r>
          </w:p>
        </w:tc>
        <w:tc>
          <w:tcPr>
            <w:tcW w:w="220" w:type="dxa"/>
            <w:vAlign w:val="bottom"/>
            <w:shd w:val="clear" w:color="auto" w:fill="CFEDF9"/>
          </w:tcPr>
          <w:p>
            <w:pPr>
              <w:spacing w:after="0"/>
              <w:rPr>
                <w:sz w:val="19"/>
                <w:szCs w:val="19"/>
                <w:color w:val="auto"/>
              </w:rPr>
            </w:pPr>
          </w:p>
        </w:tc>
        <w:tc>
          <w:tcPr>
            <w:tcW w:w="48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27,716</w:t>
            </w:r>
          </w:p>
        </w:tc>
        <w:tc>
          <w:tcPr>
            <w:tcW w:w="240" w:type="dxa"/>
            <w:vAlign w:val="bottom"/>
            <w:shd w:val="clear" w:color="auto" w:fill="CFEDF9"/>
          </w:tcPr>
          <w:p>
            <w:pPr>
              <w:spacing w:after="0"/>
              <w:rPr>
                <w:sz w:val="19"/>
                <w:szCs w:val="19"/>
                <w:color w:val="auto"/>
              </w:rPr>
            </w:pPr>
          </w:p>
        </w:tc>
        <w:tc>
          <w:tcPr>
            <w:tcW w:w="460" w:type="dxa"/>
            <w:vAlign w:val="bottom"/>
            <w:shd w:val="clear" w:color="auto" w:fill="CFEDF9"/>
          </w:tcPr>
          <w:p>
            <w:pPr>
              <w:jc w:val="right"/>
              <w:ind w:right="2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27,086</w:t>
            </w:r>
          </w:p>
        </w:tc>
        <w:tc>
          <w:tcPr>
            <w:tcW w:w="100" w:type="dxa"/>
            <w:vAlign w:val="bottom"/>
            <w:shd w:val="clear" w:color="auto" w:fill="CFEDF9"/>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231F20"/>
              </w:rPr>
              <w:t>Accretion of original issue discount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899</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707</w:t>
            </w:r>
          </w:p>
        </w:tc>
        <w:tc>
          <w:tcPr>
            <w:tcW w:w="100" w:type="dxa"/>
            <w:vAlign w:val="bottom"/>
          </w:tcPr>
          <w:p>
            <w:pPr>
              <w:spacing w:after="0"/>
              <w:rPr>
                <w:sz w:val="19"/>
                <w:szCs w:val="19"/>
                <w:color w:val="auto"/>
              </w:rPr>
            </w:pPr>
          </w:p>
        </w:tc>
      </w:tr>
      <w:tr>
        <w:trPr>
          <w:trHeight w:val="230"/>
        </w:trPr>
        <w:tc>
          <w:tcPr>
            <w:tcW w:w="61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Amortization of deferred financing costs</w:t>
            </w:r>
          </w:p>
        </w:tc>
        <w:tc>
          <w:tcPr>
            <w:tcW w:w="20" w:type="dxa"/>
            <w:vAlign w:val="bottom"/>
            <w:shd w:val="clear" w:color="auto" w:fill="CFEDF9"/>
          </w:tcPr>
          <w:p>
            <w:pPr>
              <w:spacing w:after="0"/>
              <w:rPr>
                <w:sz w:val="19"/>
                <w:szCs w:val="19"/>
                <w:color w:val="auto"/>
              </w:rPr>
            </w:pPr>
          </w:p>
        </w:tc>
        <w:tc>
          <w:tcPr>
            <w:tcW w:w="440" w:type="dxa"/>
            <w:vAlign w:val="bottom"/>
            <w:tcBorders>
              <w:bottom w:val="single" w:sz="8" w:color="231F20"/>
            </w:tcBorders>
            <w:shd w:val="clear" w:color="auto" w:fill="CFEDF9"/>
          </w:tcPr>
          <w:p>
            <w:pPr>
              <w:spacing w:after="0"/>
              <w:rPr>
                <w:sz w:val="19"/>
                <w:szCs w:val="19"/>
                <w:color w:val="auto"/>
              </w:rPr>
            </w:pPr>
          </w:p>
        </w:tc>
        <w:tc>
          <w:tcPr>
            <w:tcW w:w="9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2,131</w:t>
            </w:r>
          </w:p>
        </w:tc>
        <w:tc>
          <w:tcPr>
            <w:tcW w:w="220" w:type="dxa"/>
            <w:vAlign w:val="bottom"/>
            <w:shd w:val="clear" w:color="auto" w:fill="CFEDF9"/>
          </w:tcPr>
          <w:p>
            <w:pPr>
              <w:spacing w:after="0"/>
              <w:rPr>
                <w:sz w:val="19"/>
                <w:szCs w:val="19"/>
                <w:color w:val="auto"/>
              </w:rPr>
            </w:pPr>
          </w:p>
        </w:tc>
        <w:tc>
          <w:tcPr>
            <w:tcW w:w="480" w:type="dxa"/>
            <w:vAlign w:val="bottom"/>
            <w:tcBorders>
              <w:bottom w:val="single" w:sz="8" w:color="231F20"/>
            </w:tcBorders>
            <w:shd w:val="clear" w:color="auto" w:fill="CFEDF9"/>
          </w:tcPr>
          <w:p>
            <w:pPr>
              <w:spacing w:after="0"/>
              <w:rPr>
                <w:sz w:val="19"/>
                <w:szCs w:val="19"/>
                <w:color w:val="auto"/>
              </w:rPr>
            </w:pPr>
          </w:p>
        </w:tc>
        <w:tc>
          <w:tcPr>
            <w:tcW w:w="9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2,408</w:t>
            </w:r>
          </w:p>
        </w:tc>
        <w:tc>
          <w:tcPr>
            <w:tcW w:w="240" w:type="dxa"/>
            <w:vAlign w:val="bottom"/>
            <w:shd w:val="clear" w:color="auto" w:fill="CFEDF9"/>
          </w:tcPr>
          <w:p>
            <w:pPr>
              <w:spacing w:after="0"/>
              <w:rPr>
                <w:sz w:val="19"/>
                <w:szCs w:val="19"/>
                <w:color w:val="auto"/>
              </w:rPr>
            </w:pPr>
          </w:p>
        </w:tc>
        <w:tc>
          <w:tcPr>
            <w:tcW w:w="460" w:type="dxa"/>
            <w:vAlign w:val="bottom"/>
            <w:tcBorders>
              <w:bottom w:val="single" w:sz="8" w:color="231F20"/>
            </w:tcBorders>
            <w:shd w:val="clear" w:color="auto" w:fill="CFEDF9"/>
          </w:tcPr>
          <w:p>
            <w:pPr>
              <w:spacing w:after="0"/>
              <w:rPr>
                <w:sz w:val="19"/>
                <w:szCs w:val="19"/>
                <w:color w:val="auto"/>
              </w:rPr>
            </w:pPr>
          </w:p>
        </w:tc>
        <w:tc>
          <w:tcPr>
            <w:tcW w:w="9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2,338</w:t>
            </w:r>
          </w:p>
        </w:tc>
        <w:tc>
          <w:tcPr>
            <w:tcW w:w="100" w:type="dxa"/>
            <w:vAlign w:val="bottom"/>
            <w:shd w:val="clear" w:color="auto" w:fill="CFEDF9"/>
          </w:tcPr>
          <w:p>
            <w:pPr>
              <w:spacing w:after="0"/>
              <w:rPr>
                <w:sz w:val="19"/>
                <w:szCs w:val="19"/>
                <w:color w:val="auto"/>
              </w:rPr>
            </w:pPr>
          </w:p>
        </w:tc>
      </w:tr>
      <w:tr>
        <w:trPr>
          <w:trHeight w:val="234"/>
        </w:trPr>
        <w:tc>
          <w:tcPr>
            <w:tcW w:w="610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Interest Expense</w:t>
            </w:r>
          </w:p>
        </w:tc>
        <w:tc>
          <w:tcPr>
            <w:tcW w:w="20" w:type="dxa"/>
            <w:vAlign w:val="bottom"/>
          </w:tcPr>
          <w:p>
            <w:pPr>
              <w:spacing w:after="0"/>
              <w:rPr>
                <w:sz w:val="20"/>
                <w:szCs w:val="20"/>
                <w:color w:val="auto"/>
              </w:rPr>
            </w:pPr>
          </w:p>
        </w:tc>
        <w:tc>
          <w:tcPr>
            <w:tcW w:w="440" w:type="dxa"/>
            <w:vAlign w:val="bottom"/>
            <w:tcBorders>
              <w:bottom w:val="single" w:sz="8" w:color="231F20"/>
            </w:tcBorders>
          </w:tcPr>
          <w:p>
            <w:pPr>
              <w:jc w:val="right"/>
              <w:ind w:right="277"/>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32,324</w:t>
            </w:r>
          </w:p>
        </w:tc>
        <w:tc>
          <w:tcPr>
            <w:tcW w:w="220" w:type="dxa"/>
            <w:vAlign w:val="bottom"/>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30,890</w:t>
            </w:r>
          </w:p>
        </w:tc>
        <w:tc>
          <w:tcPr>
            <w:tcW w:w="240" w:type="dxa"/>
            <w:vAlign w:val="bottom"/>
          </w:tcPr>
          <w:p>
            <w:pPr>
              <w:spacing w:after="0"/>
              <w:rPr>
                <w:sz w:val="20"/>
                <w:szCs w:val="20"/>
                <w:color w:val="auto"/>
              </w:rPr>
            </w:pPr>
          </w:p>
        </w:tc>
        <w:tc>
          <w:tcPr>
            <w:tcW w:w="460" w:type="dxa"/>
            <w:vAlign w:val="bottom"/>
            <w:tcBorders>
              <w:bottom w:val="single" w:sz="8" w:color="231F20"/>
            </w:tcBorders>
          </w:tcPr>
          <w:p>
            <w:pPr>
              <w:jc w:val="right"/>
              <w:ind w:right="267"/>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30,131</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1"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Total interest expense in the table above does not include the effect of the interest rate swaps related to the 2023 Notes, 2024 Notes, 2026 Notes and 2028 Notes. During the years ended December 31, 2023, 2022 and 2021, the Company received $29.5 million, $27.9 million, and $27.2 million, respectively, and paid $58.5 million, $31.4 million and $17.8 million, respectively, related to the settlements of its interest rate swaps related to the 2023 Notes, 2024 Notes, 2026 Notes and 2028 Notes. These net amounts are included in interest expense in the Company’s Consolidated Statements of Operations. Please see Note 5 for further information about the Company’s interest rate swaps.</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As of December 31, 2023 and 2022, the components of the carrying value of the 2023 Notes, 2024 Notes, 2026 Notes and 2028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Notes and the stated interest rates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spacing w:after="0"/>
              <w:rPr>
                <w:sz w:val="17"/>
                <w:szCs w:val="17"/>
                <w:color w:val="auto"/>
              </w:rPr>
            </w:pPr>
          </w:p>
        </w:tc>
        <w:tc>
          <w:tcPr>
            <w:tcW w:w="1520" w:type="dxa"/>
            <w:vAlign w:val="bottom"/>
            <w:tcBorders>
              <w:bottom w:val="single" w:sz="8" w:color="231F20"/>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4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2180" w:type="dxa"/>
            <w:vAlign w:val="bottom"/>
            <w:tcBorders>
              <w:bottom w:val="single" w:sz="8" w:color="231F20"/>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760" w:type="dxa"/>
            <w:vAlign w:val="bottom"/>
            <w:tcBorders>
              <w:bottom w:val="single" w:sz="8" w:color="231F20"/>
            </w:tcBorders>
          </w:tcPr>
          <w:p>
            <w:pPr>
              <w:spacing w:after="0"/>
              <w:rPr>
                <w:sz w:val="17"/>
                <w:szCs w:val="17"/>
                <w:color w:val="auto"/>
              </w:rPr>
            </w:pPr>
          </w:p>
        </w:tc>
        <w:tc>
          <w:tcPr>
            <w:tcW w:w="160" w:type="dxa"/>
            <w:vAlign w:val="bottom"/>
          </w:tcPr>
          <w:p>
            <w:pPr>
              <w:spacing w:after="0"/>
              <w:rPr>
                <w:sz w:val="17"/>
                <w:szCs w:val="17"/>
                <w:color w:val="auto"/>
              </w:rPr>
            </w:pPr>
          </w:p>
        </w:tc>
      </w:tr>
      <w:tr>
        <w:trPr>
          <w:trHeight w:val="259"/>
        </w:trPr>
        <w:tc>
          <w:tcPr>
            <w:tcW w:w="4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4"/>
              </w:rPr>
              <w:t>2024 Notes</w:t>
            </w:r>
          </w:p>
        </w:tc>
        <w:tc>
          <w:tcPr>
            <w:tcW w:w="1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2026 Notes</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231F20"/>
              </w:rPr>
              <w:t>2028 Notes</w:t>
            </w:r>
          </w:p>
        </w:tc>
        <w:tc>
          <w:tcPr>
            <w:tcW w:w="8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2023 Notes</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2024 Notes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w w:val="96"/>
              </w:rPr>
              <w:t>2026 Notes</w:t>
            </w:r>
          </w:p>
        </w:tc>
      </w:tr>
      <w:tr>
        <w:trPr>
          <w:trHeight w:val="220"/>
        </w:trPr>
        <w:tc>
          <w:tcPr>
            <w:tcW w:w="4220" w:type="dxa"/>
            <w:vAlign w:val="bottom"/>
            <w:tcBorders>
              <w:top w:val="single" w:sz="8" w:color="CFEDF9"/>
            </w:tcBorders>
            <w:gridSpan w:val="3"/>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Principal amount of debt</w:t>
            </w:r>
          </w:p>
        </w:tc>
        <w:tc>
          <w:tcPr>
            <w:tcW w:w="7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shd w:val="clear" w:color="auto" w:fill="CFEDF9"/>
              </w:rPr>
              <w:t>$347,500</w:t>
            </w:r>
          </w:p>
        </w:tc>
        <w:tc>
          <w:tcPr>
            <w:tcW w:w="26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300,000</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7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300,000</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150,000</w:t>
            </w:r>
          </w:p>
        </w:tc>
        <w:tc>
          <w:tcPr>
            <w:tcW w:w="28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7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95"/>
                <w:shd w:val="clear" w:color="auto" w:fill="CFEDF9"/>
              </w:rPr>
              <w:t>$347,500</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7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shd w:val="clear" w:color="auto" w:fill="CFEDF9"/>
              </w:rPr>
              <w:t>$300,000</w:t>
            </w:r>
          </w:p>
        </w:tc>
        <w:tc>
          <w:tcPr>
            <w:tcW w:w="160" w:type="dxa"/>
            <w:vAlign w:val="bottom"/>
            <w:tcBorders>
              <w:top w:val="single" w:sz="8" w:color="CFEDF9"/>
            </w:tcBorders>
            <w:shd w:val="clear" w:color="auto" w:fill="CFEDF9"/>
          </w:tcPr>
          <w:p>
            <w:pPr>
              <w:spacing w:after="0"/>
              <w:rPr>
                <w:sz w:val="19"/>
                <w:szCs w:val="19"/>
                <w:color w:val="auto"/>
              </w:rPr>
            </w:pPr>
          </w:p>
        </w:tc>
      </w:tr>
      <w:tr>
        <w:trPr>
          <w:trHeight w:val="230"/>
        </w:trPr>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Original issue discount, net of accretion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(1,468)</w:t>
            </w:r>
          </w:p>
        </w:tc>
        <w:tc>
          <w:tcPr>
            <w:tcW w:w="160" w:type="dxa"/>
            <w:vAlign w:val="bottom"/>
          </w:tcPr>
          <w:p>
            <w:pPr>
              <w:spacing w:after="0"/>
              <w:rPr>
                <w:sz w:val="19"/>
                <w:szCs w:val="19"/>
                <w:color w:val="auto"/>
              </w:rPr>
            </w:pPr>
          </w:p>
        </w:tc>
      </w:tr>
      <w:tr>
        <w:trPr>
          <w:trHeight w:val="230"/>
        </w:trPr>
        <w:tc>
          <w:tcPr>
            <w:tcW w:w="4220" w:type="dxa"/>
            <w:vAlign w:val="bottom"/>
            <w:gridSpan w:val="3"/>
            <w:shd w:val="clear" w:color="auto" w:fill="CFEDF9"/>
          </w:tcPr>
          <w:p>
            <w:pPr>
              <w:spacing w:after="0"/>
              <w:rPr>
                <w:sz w:val="20"/>
                <w:szCs w:val="20"/>
                <w:color w:val="auto"/>
              </w:rPr>
            </w:pPr>
            <w:r>
              <w:rPr>
                <w:rFonts w:ascii="Times New Roman" w:cs="Times New Roman" w:eastAsia="Times New Roman" w:hAnsi="Times New Roman"/>
                <w:sz w:val="20"/>
                <w:szCs w:val="20"/>
                <w:color w:val="231F20"/>
              </w:rPr>
              <w:t>Deferred financing costs</w:t>
            </w: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(852)</w:t>
            </w: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2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(1,932)</w:t>
            </w:r>
          </w:p>
        </w:tc>
        <w:tc>
          <w:tcPr>
            <w:tcW w:w="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98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(3,994)</w:t>
            </w: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14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(39)</w:t>
            </w:r>
          </w:p>
        </w:tc>
        <w:tc>
          <w:tcPr>
            <w:tcW w:w="20" w:type="dxa"/>
            <w:vAlign w:val="bottom"/>
            <w:shd w:val="clear" w:color="auto" w:fill="CFEDF9"/>
          </w:tcPr>
          <w:p>
            <w:pPr>
              <w:spacing w:after="0"/>
              <w:rPr>
                <w:sz w:val="19"/>
                <w:szCs w:val="19"/>
                <w:color w:val="auto"/>
              </w:rPr>
            </w:pPr>
          </w:p>
        </w:tc>
        <w:tc>
          <w:tcPr>
            <w:tcW w:w="1000" w:type="dxa"/>
            <w:vAlign w:val="bottom"/>
            <w:gridSpan w:val="2"/>
            <w:shd w:val="clear" w:color="auto" w:fill="CFEDF9"/>
          </w:tcPr>
          <w:p>
            <w:pPr>
              <w:jc w:val="right"/>
              <w:ind w:right="200"/>
              <w:spacing w:after="0"/>
              <w:rPr>
                <w:sz w:val="20"/>
                <w:szCs w:val="20"/>
                <w:color w:val="auto"/>
              </w:rPr>
            </w:pPr>
            <w:r>
              <w:rPr>
                <w:rFonts w:ascii="Times New Roman" w:cs="Times New Roman" w:eastAsia="Times New Roman" w:hAnsi="Times New Roman"/>
                <w:sz w:val="20"/>
                <w:szCs w:val="20"/>
                <w:color w:val="231F20"/>
              </w:rPr>
              <w:t>(1,869)</w:t>
            </w:r>
          </w:p>
        </w:tc>
        <w:tc>
          <w:tcPr>
            <w:tcW w:w="20" w:type="dxa"/>
            <w:vAlign w:val="bottom"/>
            <w:shd w:val="clear" w:color="auto" w:fill="CFEDF9"/>
          </w:tcPr>
          <w:p>
            <w:pPr>
              <w:spacing w:after="0"/>
              <w:rPr>
                <w:sz w:val="19"/>
                <w:szCs w:val="19"/>
                <w:color w:val="auto"/>
              </w:rPr>
            </w:pPr>
          </w:p>
        </w:tc>
        <w:tc>
          <w:tcPr>
            <w:tcW w:w="9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(2,679)</w:t>
            </w:r>
          </w:p>
        </w:tc>
      </w:tr>
      <w:tr>
        <w:trPr>
          <w:trHeight w:val="230"/>
        </w:trPr>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Fair value of an effective hedge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(26,111)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(19,418)</w:t>
            </w:r>
          </w:p>
        </w:tc>
        <w:tc>
          <w:tcPr>
            <w:tcW w:w="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(35,665)</w:t>
            </w:r>
          </w:p>
        </w:tc>
      </w:tr>
      <w:tr>
        <w:trPr>
          <w:trHeight w:val="220"/>
        </w:trPr>
        <w:tc>
          <w:tcPr>
            <w:tcW w:w="4200" w:type="dxa"/>
            <w:vAlign w:val="bottom"/>
            <w:tcBorders>
              <w:top w:val="single" w:sz="8" w:color="CFEDF9"/>
            </w:tcBorders>
            <w:gridSpan w:val="2"/>
            <w:shd w:val="clear" w:color="auto" w:fill="CFEDF9"/>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Carrying value of debt</w:t>
            </w:r>
          </w:p>
        </w:tc>
        <w:tc>
          <w:tcPr>
            <w:tcW w:w="20" w:type="dxa"/>
            <w:vAlign w:val="bottom"/>
            <w:tcBorders>
              <w:top w:val="single" w:sz="8" w:color="231F20"/>
            </w:tcBorders>
            <w:shd w:val="clear" w:color="auto" w:fill="CFEDF9"/>
          </w:tcPr>
          <w:p>
            <w:pPr>
              <w:spacing w:after="0"/>
              <w:rPr>
                <w:sz w:val="19"/>
                <w:szCs w:val="19"/>
                <w:color w:val="auto"/>
              </w:rPr>
            </w:pPr>
          </w:p>
        </w:tc>
        <w:tc>
          <w:tcPr>
            <w:tcW w:w="74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231F20"/>
                <w:w w:val="95"/>
                <w:shd w:val="clear" w:color="auto" w:fill="CFEDF9"/>
              </w:rPr>
              <w:t>$</w:t>
            </w:r>
            <w:r>
              <w:rPr>
                <w:rFonts w:ascii="Times New Roman" w:cs="Times New Roman" w:eastAsia="Times New Roman" w:hAnsi="Times New Roman"/>
                <w:sz w:val="20"/>
                <w:szCs w:val="20"/>
                <w:color w:val="231F20"/>
                <w:w w:val="95"/>
                <w:shd w:val="clear" w:color="auto" w:fill="CFEDF9"/>
              </w:rPr>
              <w:t>335,904</w:t>
            </w:r>
          </w:p>
        </w:tc>
        <w:tc>
          <w:tcPr>
            <w:tcW w:w="26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6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270,885</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72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299,011</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8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6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149,960</w:t>
            </w:r>
          </w:p>
        </w:tc>
        <w:tc>
          <w:tcPr>
            <w:tcW w:w="28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74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231F20"/>
                <w:w w:val="95"/>
                <w:shd w:val="clear" w:color="auto" w:fill="CFEDF9"/>
              </w:rPr>
              <w:t>$</w:t>
            </w:r>
            <w:r>
              <w:rPr>
                <w:rFonts w:ascii="Times New Roman" w:cs="Times New Roman" w:eastAsia="Times New Roman" w:hAnsi="Times New Roman"/>
                <w:sz w:val="20"/>
                <w:szCs w:val="20"/>
                <w:color w:val="231F20"/>
                <w:w w:val="95"/>
                <w:shd w:val="clear" w:color="auto" w:fill="CFEDF9"/>
              </w:rPr>
              <w:t>325,492</w:t>
            </w:r>
          </w:p>
        </w:tc>
        <w:tc>
          <w:tcPr>
            <w:tcW w:w="26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231F20"/>
            </w:tcBorders>
            <w:shd w:val="clear" w:color="auto" w:fill="CFEDF9"/>
          </w:tcPr>
          <w:p>
            <w:pPr>
              <w:spacing w:after="0"/>
              <w:rPr>
                <w:sz w:val="19"/>
                <w:szCs w:val="19"/>
                <w:color w:val="auto"/>
              </w:rPr>
            </w:pPr>
          </w:p>
        </w:tc>
        <w:tc>
          <w:tcPr>
            <w:tcW w:w="76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231F20"/>
                <w:w w:val="98"/>
                <w:shd w:val="clear" w:color="auto" w:fill="CFEDF9"/>
              </w:rPr>
              <w:t>$</w:t>
            </w:r>
            <w:r>
              <w:rPr>
                <w:rFonts w:ascii="Times New Roman" w:cs="Times New Roman" w:eastAsia="Times New Roman" w:hAnsi="Times New Roman"/>
                <w:sz w:val="20"/>
                <w:szCs w:val="20"/>
                <w:color w:val="231F20"/>
                <w:w w:val="98"/>
                <w:shd w:val="clear" w:color="auto" w:fill="CFEDF9"/>
              </w:rPr>
              <w:t>260,188</w:t>
            </w:r>
          </w:p>
        </w:tc>
        <w:tc>
          <w:tcPr>
            <w:tcW w:w="160" w:type="dxa"/>
            <w:vAlign w:val="bottom"/>
            <w:tcBorders>
              <w:top w:val="single" w:sz="8" w:color="CFEDF9"/>
            </w:tcBorders>
            <w:shd w:val="clear" w:color="auto" w:fill="CFEDF9"/>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0"/>
        </w:trPr>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Stated interest rate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3.88%</w:t>
            </w: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2.50%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6.95%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4.50%</w:t>
            </w:r>
          </w:p>
        </w:tc>
        <w:tc>
          <w:tcPr>
            <w:tcW w:w="2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3.88%</w:t>
            </w:r>
          </w:p>
        </w:tc>
        <w:tc>
          <w:tcPr>
            <w:tcW w:w="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2.50%</w:t>
            </w:r>
          </w:p>
        </w:tc>
      </w:tr>
    </w:tbl>
    <w:p>
      <w:pPr>
        <w:spacing w:after="0" w:line="274" w:lineRule="exact"/>
        <w:rPr>
          <w:sz w:val="20"/>
          <w:szCs w:val="20"/>
          <w:color w:val="auto"/>
        </w:rPr>
      </w:pPr>
    </w:p>
    <w:p>
      <w:pPr>
        <w:ind w:right="180" w:firstLine="245"/>
        <w:spacing w:after="0" w:line="247" w:lineRule="auto"/>
        <w:rPr>
          <w:sz w:val="20"/>
          <w:szCs w:val="20"/>
          <w:color w:val="auto"/>
        </w:rPr>
      </w:pPr>
      <w:r>
        <w:rPr>
          <w:rFonts w:ascii="Times New Roman" w:cs="Times New Roman" w:eastAsia="Times New Roman" w:hAnsi="Times New Roman"/>
          <w:sz w:val="20"/>
          <w:szCs w:val="20"/>
          <w:color w:val="231F20"/>
        </w:rPr>
        <w:t>The stated interest rate in the table above does not include the effect of the interest rate swaps. As of December 31, 2022, the Company’s swap-adjusted interest rate on the 2023 Notes, 2024 Notes and 2026 Notes was three month LIBOR plus 1.99%, 2.28% (on a weighted average basis), and 1.91%, respectively. On September 25, 2023, the Company’s swap-adjusted interest rate on the 2024 Notes and 2026 Notes transitioned to SOFR plus 2.54% (on a weighted average basis), and SOFR plus 2.17%, respectively. As of December 31, 2023, the Company's swap-adjusted interest rate on the 2024 Notes, 2026 Notes and 2028 Notes was SOFR plus 2.54% (on a weighted average basis), 2.17%, and 2.99%, respectively.</w:t>
      </w:r>
    </w:p>
    <w:p>
      <w:pPr>
        <w:spacing w:after="0" w:line="200" w:lineRule="exact"/>
        <w:rPr>
          <w:sz w:val="20"/>
          <w:szCs w:val="20"/>
          <w:color w:val="auto"/>
        </w:rPr>
      </w:pPr>
    </w:p>
    <w:p>
      <w:pPr>
        <w:ind w:right="60" w:firstLine="245"/>
        <w:spacing w:after="0" w:line="258" w:lineRule="auto"/>
        <w:rPr>
          <w:sz w:val="20"/>
          <w:szCs w:val="20"/>
          <w:color w:val="auto"/>
        </w:rPr>
      </w:pPr>
      <w:r>
        <w:rPr>
          <w:rFonts w:ascii="Times New Roman" w:cs="Times New Roman" w:eastAsia="Times New Roman" w:hAnsi="Times New Roman"/>
          <w:sz w:val="20"/>
          <w:szCs w:val="20"/>
          <w:color w:val="231F20"/>
        </w:rPr>
        <w:t>As of December 31, 2023, the Company was in compliance with the terms of the indentures governing the 2024 Notes, 2026 Notes and 2028 Notes. As of December 31, 2022, the Company was in compliance with the terms of the indentures governing the 2023 Notes, 2024 Notes and 2026 Notes.</w:t>
      </w:r>
    </w:p>
    <w:p>
      <w:pPr>
        <w:spacing w:after="0" w:line="177" w:lineRule="exact"/>
        <w:rPr>
          <w:sz w:val="20"/>
          <w:szCs w:val="20"/>
          <w:color w:val="auto"/>
        </w:rPr>
      </w:pPr>
    </w:p>
    <w:p>
      <w:pPr>
        <w:jc w:val="both"/>
        <w:ind w:right="120" w:firstLine="245"/>
        <w:spacing w:after="0" w:line="244" w:lineRule="auto"/>
        <w:rPr>
          <w:sz w:val="20"/>
          <w:szCs w:val="20"/>
          <w:color w:val="auto"/>
        </w:rPr>
      </w:pPr>
      <w:r>
        <w:rPr>
          <w:rFonts w:ascii="Times New Roman" w:cs="Times New Roman" w:eastAsia="Times New Roman" w:hAnsi="Times New Roman"/>
          <w:sz w:val="20"/>
          <w:szCs w:val="20"/>
          <w:color w:val="231F20"/>
        </w:rPr>
        <w:t>In accordance with the 1940 Act, with certain limitations, the Company is allowed to borrow amounts such that its asset coverage, as defined in the 1940 Act, is at least 150% after such borrowing. As of December 31, 2023 and 2022, the Company’s asset coverage was 181.6% and 188.6% respectively.</w:t>
      </w:r>
    </w:p>
    <w:p>
      <w:pPr>
        <w:sectPr>
          <w:pgSz w:w="12240" w:h="15840" w:orient="portrait"/>
          <w:cols w:equalWidth="0" w:num="1">
            <w:col w:w="10800"/>
          </w:cols>
          <w:pgMar w:left="720" w:top="93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F-36</w:t>
      </w:r>
    </w:p>
    <w:p>
      <w:pPr>
        <w:sectPr>
          <w:pgSz w:w="12240" w:h="15840" w:orient="portrait"/>
          <w:cols w:equalWidth="0" w:num="1">
            <w:col w:w="10800"/>
          </w:cols>
          <w:pgMar w:left="720" w:top="930" w:right="720" w:bottom="186" w:gutter="0" w:footer="0" w:header="0"/>
          <w:type w:val="continuous"/>
        </w:sectPr>
      </w:pPr>
    </w:p>
    <w:bookmarkStart w:id="121" w:name="page122"/>
    <w:bookmarkEnd w:id="121"/>
    <w:p>
      <w:pPr>
        <w:ind w:left="240"/>
        <w:spacing w:after="0"/>
        <w:rPr>
          <w:sz w:val="20"/>
          <w:szCs w:val="20"/>
          <w:color w:val="auto"/>
        </w:rPr>
      </w:pPr>
      <w:r>
        <w:rPr>
          <w:rFonts w:ascii="Times New Roman" w:cs="Times New Roman" w:eastAsia="Times New Roman" w:hAnsi="Times New Roman"/>
          <w:sz w:val="20"/>
          <w:szCs w:val="20"/>
          <w:color w:val="231F20"/>
        </w:rPr>
        <w:t>Debt obligations consisted of the following as of December 31, 2023 and 2022:</w:t>
      </w:r>
    </w:p>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520" w:type="dxa"/>
            <w:vAlign w:val="bottom"/>
            <w:tcBorders>
              <w:bottom w:val="single" w:sz="8" w:color="231F20"/>
            </w:tcBorders>
            <w:gridSpan w:val="4"/>
          </w:tcPr>
          <w:p>
            <w:pPr>
              <w:jc w:val="right"/>
              <w:ind w:right="586"/>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24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Aggregate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231F20"/>
              </w:rPr>
              <w:t>Outstanding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231F20"/>
              </w:rPr>
              <w:t>Carrying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FEDF9"/>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Committed</w:t>
            </w:r>
          </w:p>
        </w:tc>
        <w:tc>
          <w:tcPr>
            <w:tcW w:w="240" w:type="dxa"/>
            <w:vAlign w:val="bottom"/>
            <w:tcBorders>
              <w:bottom w:val="single" w:sz="8" w:color="CFEDF9"/>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240" w:type="dxa"/>
            <w:vAlign w:val="bottom"/>
            <w:tcBorders>
              <w:bottom w:val="single" w:sz="8" w:color="CFEDF9"/>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231F20"/>
              </w:rPr>
              <w:t xml:space="preserve">Available </w:t>
            </w:r>
            <w:r>
              <w:rPr>
                <w:rFonts w:ascii="Times New Roman" w:cs="Times New Roman" w:eastAsia="Times New Roman" w:hAnsi="Times New Roman"/>
                <w:sz w:val="10"/>
                <w:szCs w:val="10"/>
                <w:b w:val="1"/>
                <w:bCs w:val="1"/>
                <w:color w:val="231F20"/>
              </w:rPr>
              <w:t>(1)</w:t>
            </w:r>
          </w:p>
        </w:tc>
        <w:tc>
          <w:tcPr>
            <w:tcW w:w="240" w:type="dxa"/>
            <w:vAlign w:val="bottom"/>
            <w:tcBorders>
              <w:bottom w:val="single" w:sz="8" w:color="CFEDF9"/>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171"/>
              <w:spacing w:after="0" w:line="203" w:lineRule="exact"/>
              <w:rPr>
                <w:sz w:val="20"/>
                <w:szCs w:val="20"/>
                <w:color w:val="auto"/>
              </w:rPr>
            </w:pPr>
            <w:r>
              <w:rPr>
                <w:rFonts w:ascii="Times New Roman" w:cs="Times New Roman" w:eastAsia="Times New Roman" w:hAnsi="Times New Roman"/>
                <w:sz w:val="23"/>
                <w:szCs w:val="23"/>
                <w:b w:val="1"/>
                <w:bCs w:val="1"/>
                <w:color w:val="231F20"/>
                <w:vertAlign w:val="subscript"/>
              </w:rPr>
              <w:t>Value</w:t>
            </w:r>
            <w:r>
              <w:rPr>
                <w:rFonts w:ascii="Times New Roman" w:cs="Times New Roman" w:eastAsia="Times New Roman" w:hAnsi="Times New Roman"/>
                <w:sz w:val="9"/>
                <w:szCs w:val="9"/>
                <w:b w:val="1"/>
                <w:bCs w:val="1"/>
                <w:color w:val="231F20"/>
              </w:rPr>
              <w:t xml:space="preserve"> (2)(3)</w:t>
            </w:r>
          </w:p>
        </w:tc>
        <w:tc>
          <w:tcPr>
            <w:tcW w:w="100" w:type="dxa"/>
            <w:vAlign w:val="bottom"/>
            <w:tcBorders>
              <w:bottom w:val="single" w:sz="8" w:color="CFEDF9"/>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Revolving Credit Facility</w:t>
            </w:r>
          </w:p>
        </w:tc>
        <w:tc>
          <w:tcPr>
            <w:tcW w:w="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1,710,000</w:t>
            </w:r>
          </w:p>
        </w:tc>
        <w:tc>
          <w:tcPr>
            <w:tcW w:w="240" w:type="dxa"/>
            <w:vAlign w:val="bottom"/>
            <w:shd w:val="clear" w:color="auto" w:fill="CFEDF9"/>
          </w:tcPr>
          <w:p>
            <w:pPr>
              <w:spacing w:after="0"/>
              <w:rPr>
                <w:sz w:val="19"/>
                <w:szCs w:val="19"/>
                <w:color w:val="auto"/>
              </w:rPr>
            </w:pPr>
          </w:p>
        </w:tc>
        <w:tc>
          <w:tcPr>
            <w:tcW w:w="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889,659</w:t>
            </w:r>
          </w:p>
        </w:tc>
        <w:tc>
          <w:tcPr>
            <w:tcW w:w="240" w:type="dxa"/>
            <w:vAlign w:val="bottom"/>
            <w:shd w:val="clear" w:color="auto" w:fill="CFEDF9"/>
          </w:tcPr>
          <w:p>
            <w:pPr>
              <w:spacing w:after="0"/>
              <w:rPr>
                <w:sz w:val="19"/>
                <w:szCs w:val="19"/>
                <w:color w:val="auto"/>
              </w:rPr>
            </w:pPr>
          </w:p>
        </w:tc>
        <w:tc>
          <w:tcPr>
            <w:tcW w:w="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820,160</w:t>
            </w:r>
          </w:p>
        </w:tc>
        <w:tc>
          <w:tcPr>
            <w:tcW w:w="240" w:type="dxa"/>
            <w:vAlign w:val="bottom"/>
            <w:shd w:val="clear" w:color="auto" w:fill="CFEDF9"/>
          </w:tcPr>
          <w:p>
            <w:pPr>
              <w:spacing w:after="0"/>
              <w:rPr>
                <w:sz w:val="19"/>
                <w:szCs w:val="19"/>
                <w:color w:val="auto"/>
              </w:rPr>
            </w:pPr>
          </w:p>
        </w:tc>
        <w:tc>
          <w:tcPr>
            <w:tcW w:w="1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874,507</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2024 Notes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2026 Notes</w:t>
            </w:r>
          </w:p>
        </w:tc>
        <w:tc>
          <w:tcPr>
            <w:tcW w:w="100" w:type="dxa"/>
            <w:vAlign w:val="bottom"/>
            <w:shd w:val="clear" w:color="auto" w:fill="CFEDF9"/>
          </w:tcPr>
          <w:p>
            <w:pPr>
              <w:spacing w:after="0"/>
              <w:rPr>
                <w:sz w:val="19"/>
                <w:szCs w:val="19"/>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0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0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270,885</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2028 Notes</w:t>
            </w:r>
          </w:p>
        </w:tc>
        <w:tc>
          <w:tcPr>
            <w:tcW w:w="10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4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24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bottom w:val="single" w:sz="8" w:color="CFEDF9"/>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299,011</w:t>
            </w: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Debt</w:t>
            </w:r>
          </w:p>
        </w:tc>
        <w:tc>
          <w:tcPr>
            <w:tcW w:w="1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1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2,657,500</w:t>
            </w:r>
          </w:p>
        </w:tc>
        <w:tc>
          <w:tcPr>
            <w:tcW w:w="240" w:type="dxa"/>
            <w:vAlign w:val="bottom"/>
            <w:shd w:val="clear" w:color="auto" w:fill="CFEDF9"/>
          </w:tcPr>
          <w:p>
            <w:pPr>
              <w:spacing w:after="0"/>
              <w:rPr>
                <w:sz w:val="19"/>
                <w:szCs w:val="19"/>
                <w:color w:val="auto"/>
              </w:rPr>
            </w:pPr>
          </w:p>
        </w:tc>
        <w:tc>
          <w:tcPr>
            <w:tcW w:w="1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0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1,837,159</w:t>
            </w:r>
          </w:p>
        </w:tc>
        <w:tc>
          <w:tcPr>
            <w:tcW w:w="240" w:type="dxa"/>
            <w:vAlign w:val="bottom"/>
            <w:shd w:val="clear" w:color="auto" w:fill="CFEDF9"/>
          </w:tcPr>
          <w:p>
            <w:pPr>
              <w:spacing w:after="0"/>
              <w:rPr>
                <w:sz w:val="19"/>
                <w:szCs w:val="19"/>
                <w:color w:val="auto"/>
              </w:rPr>
            </w:pPr>
          </w:p>
        </w:tc>
        <w:tc>
          <w:tcPr>
            <w:tcW w:w="1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820,160</w:t>
            </w:r>
          </w:p>
        </w:tc>
        <w:tc>
          <w:tcPr>
            <w:tcW w:w="240" w:type="dxa"/>
            <w:vAlign w:val="bottom"/>
            <w:shd w:val="clear" w:color="auto" w:fill="CFEDF9"/>
          </w:tcPr>
          <w:p>
            <w:pPr>
              <w:spacing w:after="0"/>
              <w:rPr>
                <w:sz w:val="19"/>
                <w:szCs w:val="19"/>
                <w:color w:val="auto"/>
              </w:rPr>
            </w:pPr>
          </w:p>
        </w:tc>
        <w:tc>
          <w:tcPr>
            <w:tcW w:w="1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0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1,780,307</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500" w:hanging="500"/>
        <w:spacing w:after="0" w:line="254" w:lineRule="auto"/>
        <w:tabs>
          <w:tab w:leader="none" w:pos="500" w:val="left"/>
        </w:tabs>
        <w:numPr>
          <w:ilvl w:val="0"/>
          <w:numId w:val="9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available may be subject to limitations related to the borrowing base under the Revolving Credit Facility and asset coverage requirements.</w:t>
      </w:r>
    </w:p>
    <w:p>
      <w:pPr>
        <w:spacing w:after="0" w:line="1" w:lineRule="exact"/>
        <w:rPr>
          <w:rFonts w:ascii="Times New Roman" w:cs="Times New Roman" w:eastAsia="Times New Roman" w:hAnsi="Times New Roman"/>
          <w:sz w:val="20"/>
          <w:szCs w:val="20"/>
          <w:color w:val="231F20"/>
        </w:rPr>
      </w:pPr>
    </w:p>
    <w:p>
      <w:pPr>
        <w:ind w:left="500" w:right="20" w:hanging="500"/>
        <w:spacing w:after="0"/>
        <w:tabs>
          <w:tab w:leader="none" w:pos="500" w:val="left"/>
        </w:tabs>
        <w:numPr>
          <w:ilvl w:val="0"/>
          <w:numId w:val="9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values of the Revolving Credit Facility, 2024 Notes, 2026 Notes and 2028 Notes are presented net of the combination of deferred financing costs and original issue discounts totaling $15.2 million, $1.2 million, $3.0 million and $5.7 million, respectively.</w:t>
      </w:r>
    </w:p>
    <w:p>
      <w:pPr>
        <w:jc w:val="both"/>
        <w:ind w:left="500" w:right="120" w:hanging="500"/>
        <w:spacing w:after="0" w:line="244" w:lineRule="auto"/>
        <w:tabs>
          <w:tab w:leader="none" w:pos="500" w:val="left"/>
        </w:tabs>
        <w:numPr>
          <w:ilvl w:val="0"/>
          <w:numId w:val="9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values of the 2024 Notes, 2026 Notes and 2028 Notes are presented inclusive of an incremental $(10.4) million, $(26.1) million and $4.7 million, respectively, which represents an adjustment in the carrying values of the 2024 Notes, 2026 Notes and 2028 Notes, each resulting from a hedge accounting relationship.</w:t>
      </w:r>
    </w:p>
    <w:p>
      <w:pPr>
        <w:spacing w:after="0" w:line="237"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520" w:type="dxa"/>
            <w:vAlign w:val="bottom"/>
            <w:tcBorders>
              <w:bottom w:val="single" w:sz="8" w:color="231F20"/>
            </w:tcBorders>
            <w:gridSpan w:val="5"/>
          </w:tcPr>
          <w:p>
            <w:pPr>
              <w:jc w:val="right"/>
              <w:ind w:right="586"/>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Aggregate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231F20"/>
              </w:rPr>
              <w:t>Outstanding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231F20"/>
              </w:rPr>
              <w:t>Carrying</w:t>
            </w: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Committed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231F20"/>
              </w:rPr>
              <w:t>Principal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231F20"/>
              </w:rPr>
              <w:t xml:space="preserve">Available </w:t>
            </w:r>
            <w:r>
              <w:rPr>
                <w:rFonts w:ascii="Times New Roman" w:cs="Times New Roman" w:eastAsia="Times New Roman" w:hAnsi="Times New Roman"/>
                <w:sz w:val="10"/>
                <w:szCs w:val="10"/>
                <w:b w:val="1"/>
                <w:bCs w:val="1"/>
                <w:color w:val="231F20"/>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ind w:left="80"/>
              <w:spacing w:after="0" w:line="203" w:lineRule="exact"/>
              <w:rPr>
                <w:sz w:val="20"/>
                <w:szCs w:val="20"/>
                <w:color w:val="auto"/>
              </w:rPr>
            </w:pPr>
            <w:r>
              <w:rPr>
                <w:rFonts w:ascii="Times New Roman" w:cs="Times New Roman" w:eastAsia="Times New Roman" w:hAnsi="Times New Roman"/>
                <w:sz w:val="23"/>
                <w:szCs w:val="23"/>
                <w:b w:val="1"/>
                <w:bCs w:val="1"/>
                <w:color w:val="231F20"/>
                <w:vertAlign w:val="subscript"/>
              </w:rPr>
              <w:t>Value</w:t>
            </w:r>
            <w:r>
              <w:rPr>
                <w:rFonts w:ascii="Times New Roman" w:cs="Times New Roman" w:eastAsia="Times New Roman" w:hAnsi="Times New Roman"/>
                <w:sz w:val="9"/>
                <w:szCs w:val="9"/>
                <w:b w:val="1"/>
                <w:bCs w:val="1"/>
                <w:color w:val="231F20"/>
              </w:rPr>
              <w:t xml:space="preserve"> (2)(3)</w:t>
            </w:r>
          </w:p>
        </w:tc>
        <w:tc>
          <w:tcPr>
            <w:tcW w:w="0" w:type="dxa"/>
            <w:vAlign w:val="bottom"/>
          </w:tcPr>
          <w:p>
            <w:pPr>
              <w:spacing w:after="0"/>
              <w:rPr>
                <w:sz w:val="1"/>
                <w:szCs w:val="1"/>
                <w:color w:val="auto"/>
              </w:rPr>
            </w:pPr>
          </w:p>
        </w:tc>
      </w:tr>
      <w:tr>
        <w:trPr>
          <w:trHeight w:val="220"/>
        </w:trPr>
        <w:tc>
          <w:tcPr>
            <w:tcW w:w="408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Revolving Credit Facility</w:t>
            </w:r>
          </w:p>
        </w:tc>
        <w:tc>
          <w:tcPr>
            <w:tcW w:w="1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1,585,000</w:t>
            </w:r>
          </w:p>
        </w:tc>
        <w:tc>
          <w:tcPr>
            <w:tcW w:w="10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719,328</w:t>
            </w:r>
          </w:p>
        </w:tc>
        <w:tc>
          <w:tcPr>
            <w:tcW w:w="10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865,672</w:t>
            </w:r>
          </w:p>
        </w:tc>
        <w:tc>
          <w:tcPr>
            <w:tcW w:w="100" w:type="dxa"/>
            <w:vAlign w:val="bottom"/>
            <w:tcBorders>
              <w:top w:val="single" w:sz="8" w:color="CFEDF9"/>
            </w:tcBorders>
            <w:shd w:val="clear" w:color="auto" w:fill="CFEDF9"/>
          </w:tcPr>
          <w:p>
            <w:pPr>
              <w:spacing w:after="0"/>
              <w:rPr>
                <w:sz w:val="19"/>
                <w:szCs w:val="19"/>
                <w:color w:val="auto"/>
              </w:rPr>
            </w:pPr>
          </w:p>
        </w:tc>
        <w:tc>
          <w:tcPr>
            <w:tcW w:w="14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706,156</w:t>
            </w:r>
          </w:p>
        </w:tc>
        <w:tc>
          <w:tcPr>
            <w:tcW w:w="2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2023 Notes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149,960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2024 Notes</w:t>
            </w:r>
          </w:p>
        </w:tc>
        <w:tc>
          <w:tcPr>
            <w:tcW w:w="100" w:type="dxa"/>
            <w:vAlign w:val="bottom"/>
            <w:shd w:val="clear" w:color="auto" w:fill="CFEDF9"/>
          </w:tcPr>
          <w:p>
            <w:pPr>
              <w:spacing w:after="0"/>
              <w:rPr>
                <w:sz w:val="19"/>
                <w:szCs w:val="19"/>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347,500</w:t>
            </w:r>
          </w:p>
        </w:tc>
        <w:tc>
          <w:tcPr>
            <w:tcW w:w="10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347,500</w:t>
            </w:r>
          </w:p>
        </w:tc>
        <w:tc>
          <w:tcPr>
            <w:tcW w:w="10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0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0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325,492</w:t>
            </w: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2026 Notes</w:t>
            </w:r>
          </w:p>
        </w:tc>
        <w:tc>
          <w:tcPr>
            <w:tcW w:w="10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10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300,000</w:t>
            </w:r>
          </w:p>
        </w:tc>
        <w:tc>
          <w:tcPr>
            <w:tcW w:w="10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260,188</w:t>
            </w:r>
          </w:p>
        </w:tc>
        <w:tc>
          <w:tcPr>
            <w:tcW w:w="20" w:type="dxa"/>
            <w:vAlign w:val="bottom"/>
          </w:tcPr>
          <w:p>
            <w:pPr>
              <w:spacing w:after="0"/>
              <w:rPr>
                <w:sz w:val="19"/>
                <w:szCs w:val="19"/>
                <w:color w:val="auto"/>
              </w:rPr>
            </w:pPr>
          </w:p>
        </w:tc>
        <w:tc>
          <w:tcPr>
            <w:tcW w:w="8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Debt</w:t>
            </w:r>
          </w:p>
        </w:tc>
        <w:tc>
          <w:tcPr>
            <w:tcW w:w="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10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2,382,500</w:t>
            </w:r>
          </w:p>
        </w:tc>
        <w:tc>
          <w:tcPr>
            <w:tcW w:w="100" w:type="dxa"/>
            <w:vAlign w:val="bottom"/>
            <w:shd w:val="clear" w:color="auto" w:fill="CFEDF9"/>
          </w:tcPr>
          <w:p>
            <w:pPr>
              <w:spacing w:after="0"/>
              <w:rPr>
                <w:sz w:val="19"/>
                <w:szCs w:val="19"/>
                <w:color w:val="auto"/>
              </w:rPr>
            </w:pPr>
          </w:p>
        </w:tc>
        <w:tc>
          <w:tcPr>
            <w:tcW w:w="280" w:type="dxa"/>
            <w:vAlign w:val="bottom"/>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1,516,828</w:t>
            </w:r>
          </w:p>
        </w:tc>
        <w:tc>
          <w:tcPr>
            <w:tcW w:w="100" w:type="dxa"/>
            <w:vAlign w:val="bottom"/>
            <w:shd w:val="clear" w:color="auto" w:fill="CFEDF9"/>
          </w:tcPr>
          <w:p>
            <w:pPr>
              <w:spacing w:after="0"/>
              <w:rPr>
                <w:sz w:val="19"/>
                <w:szCs w:val="19"/>
                <w:color w:val="auto"/>
              </w:rPr>
            </w:pPr>
          </w:p>
        </w:tc>
        <w:tc>
          <w:tcPr>
            <w:tcW w:w="280" w:type="dxa"/>
            <w:vAlign w:val="bottom"/>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865,672</w:t>
            </w:r>
          </w:p>
        </w:tc>
        <w:tc>
          <w:tcPr>
            <w:tcW w:w="100" w:type="dxa"/>
            <w:vAlign w:val="bottom"/>
            <w:shd w:val="clear" w:color="auto" w:fill="CFEDF9"/>
          </w:tcPr>
          <w:p>
            <w:pPr>
              <w:spacing w:after="0"/>
              <w:rPr>
                <w:sz w:val="19"/>
                <w:szCs w:val="19"/>
                <w:color w:val="auto"/>
              </w:rPr>
            </w:pPr>
          </w:p>
        </w:tc>
        <w:tc>
          <w:tcPr>
            <w:tcW w:w="320" w:type="dxa"/>
            <w:vAlign w:val="bottom"/>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1,441,796</w:t>
            </w:r>
          </w:p>
        </w:tc>
        <w:tc>
          <w:tcPr>
            <w:tcW w:w="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500" w:hanging="500"/>
        <w:spacing w:after="0" w:line="254" w:lineRule="auto"/>
        <w:tabs>
          <w:tab w:leader="none" w:pos="500" w:val="left"/>
        </w:tabs>
        <w:numPr>
          <w:ilvl w:val="0"/>
          <w:numId w:val="1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 available may be subject to limitations related to the borrowing base under the Revolving Credit Facility and asset coverage requirements.</w:t>
      </w:r>
    </w:p>
    <w:p>
      <w:pPr>
        <w:spacing w:after="0" w:line="1" w:lineRule="exact"/>
        <w:rPr>
          <w:rFonts w:ascii="Times New Roman" w:cs="Times New Roman" w:eastAsia="Times New Roman" w:hAnsi="Times New Roman"/>
          <w:sz w:val="20"/>
          <w:szCs w:val="20"/>
          <w:color w:val="231F20"/>
        </w:rPr>
      </w:pPr>
    </w:p>
    <w:p>
      <w:pPr>
        <w:ind w:left="500" w:hanging="500"/>
        <w:spacing w:after="0"/>
        <w:tabs>
          <w:tab w:leader="none" w:pos="500" w:val="left"/>
        </w:tabs>
        <w:numPr>
          <w:ilvl w:val="0"/>
          <w:numId w:val="1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values of the Revolving Credit Facility, 2023 Notes, 2024 Notes and 2026 Notes are presented net of the combination of deferred financing costs and original issue discounts totaling $13.2 million, less than $0.1 million, $2.6 million and $4.1 million, respectively.</w:t>
      </w:r>
    </w:p>
    <w:p>
      <w:pPr>
        <w:ind w:left="500" w:right="120" w:hanging="500"/>
        <w:spacing w:after="0" w:line="244" w:lineRule="auto"/>
        <w:tabs>
          <w:tab w:leader="none" w:pos="500" w:val="left"/>
        </w:tabs>
        <w:numPr>
          <w:ilvl w:val="0"/>
          <w:numId w:val="10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carrying values of the 2024 Notes and 2026 Notes are presented inclusive of an incremental $(19.4) million and $(35.7) million, respectively, which represents an adjustment in the carrying values of the 2024 Notes and 2026 Notes, each resulting from a hedge accounting relationship.</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For the years ended December 31, 2023, 2022 and 2021, the components of interest expense were as follows:</w:t>
      </w: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221"/>
        </w:trPr>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Year Ended</w:t>
            </w:r>
          </w:p>
        </w:tc>
      </w:tr>
      <w:tr>
        <w:trPr>
          <w:trHeight w:val="213"/>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8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December 31, 2021</w:t>
            </w:r>
          </w:p>
        </w:tc>
      </w:tr>
      <w:tr>
        <w:trPr>
          <w:trHeight w:val="220"/>
        </w:trPr>
        <w:tc>
          <w:tcPr>
            <w:tcW w:w="434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Interest expense</w:t>
            </w:r>
          </w:p>
        </w:tc>
        <w:tc>
          <w:tcPr>
            <w:tcW w:w="16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95,496</w:t>
            </w:r>
          </w:p>
        </w:tc>
        <w:tc>
          <w:tcPr>
            <w:tcW w:w="26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231F20"/>
            </w:tcBorders>
            <w:shd w:val="clear" w:color="auto" w:fill="CFEDF9"/>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49,897</w:t>
            </w:r>
          </w:p>
        </w:tc>
        <w:tc>
          <w:tcPr>
            <w:tcW w:w="24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39,698</w:t>
            </w:r>
          </w:p>
        </w:tc>
        <w:tc>
          <w:tcPr>
            <w:tcW w:w="180" w:type="dxa"/>
            <w:vAlign w:val="bottom"/>
            <w:tcBorders>
              <w:top w:val="single" w:sz="8" w:color="CFEDF9"/>
            </w:tcBorders>
            <w:shd w:val="clear" w:color="auto" w:fill="CFEDF9"/>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231F20"/>
              </w:rPr>
              <w:t>Commitment fees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2,852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4,454</w:t>
            </w:r>
          </w:p>
        </w:tc>
        <w:tc>
          <w:tcPr>
            <w:tcW w:w="180" w:type="dxa"/>
            <w:vAlign w:val="bottom"/>
          </w:tcPr>
          <w:p>
            <w:pPr>
              <w:spacing w:after="0"/>
              <w:rPr>
                <w:sz w:val="19"/>
                <w:szCs w:val="19"/>
                <w:color w:val="auto"/>
              </w:rPr>
            </w:pPr>
          </w:p>
        </w:tc>
      </w:tr>
      <w:tr>
        <w:trPr>
          <w:trHeight w:val="230"/>
        </w:trPr>
        <w:tc>
          <w:tcPr>
            <w:tcW w:w="43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Amortization of deferred financing costs</w:t>
            </w:r>
          </w:p>
        </w:tc>
        <w:tc>
          <w:tcPr>
            <w:tcW w:w="16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5,245</w:t>
            </w:r>
          </w:p>
        </w:tc>
        <w:tc>
          <w:tcPr>
            <w:tcW w:w="2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5,683</w:t>
            </w:r>
          </w:p>
        </w:tc>
        <w:tc>
          <w:tcPr>
            <w:tcW w:w="2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6,053</w:t>
            </w:r>
          </w:p>
        </w:tc>
        <w:tc>
          <w:tcPr>
            <w:tcW w:w="180" w:type="dxa"/>
            <w:vAlign w:val="bottom"/>
            <w:shd w:val="clear" w:color="auto" w:fill="CFEDF9"/>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231F20"/>
              </w:rPr>
              <w:t>Accretion of original issue discount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707</w:t>
            </w:r>
          </w:p>
        </w:tc>
        <w:tc>
          <w:tcPr>
            <w:tcW w:w="180" w:type="dxa"/>
            <w:vAlign w:val="bottom"/>
          </w:tcPr>
          <w:p>
            <w:pPr>
              <w:spacing w:after="0"/>
              <w:rPr>
                <w:sz w:val="19"/>
                <w:szCs w:val="19"/>
                <w:color w:val="auto"/>
              </w:rPr>
            </w:pPr>
          </w:p>
        </w:tc>
      </w:tr>
      <w:tr>
        <w:trPr>
          <w:trHeight w:val="230"/>
        </w:trPr>
        <w:tc>
          <w:tcPr>
            <w:tcW w:w="43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Swap settlement</w:t>
            </w:r>
          </w:p>
        </w:tc>
        <w:tc>
          <w:tcPr>
            <w:tcW w:w="16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29,239</w:t>
            </w:r>
          </w:p>
        </w:tc>
        <w:tc>
          <w:tcPr>
            <w:tcW w:w="2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2,570</w:t>
            </w:r>
          </w:p>
        </w:tc>
        <w:tc>
          <w:tcPr>
            <w:tcW w:w="2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38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(12,087)</w:t>
            </w:r>
          </w:p>
        </w:tc>
      </w:tr>
      <w:tr>
        <w:trPr>
          <w:trHeight w:val="260"/>
        </w:trPr>
        <w:tc>
          <w:tcPr>
            <w:tcW w:w="4340" w:type="dxa"/>
            <w:vAlign w:val="bottom"/>
            <w:tcBorders>
              <w:bottom w:val="single" w:sz="8" w:color="CFEDF9"/>
            </w:tcBorders>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Interest Expense</w:t>
            </w:r>
          </w:p>
        </w:tc>
        <w:tc>
          <w:tcPr>
            <w:tcW w:w="160" w:type="dxa"/>
            <w:vAlign w:val="bottom"/>
            <w:tcBorders>
              <w:bottom w:val="single" w:sz="8" w:color="CFEDF9"/>
            </w:tcBorders>
          </w:tcPr>
          <w:p>
            <w:pPr>
              <w:spacing w:after="0"/>
              <w:rPr>
                <w:sz w:val="22"/>
                <w:szCs w:val="22"/>
                <w:color w:val="auto"/>
              </w:rPr>
            </w:pPr>
          </w:p>
        </w:tc>
        <w:tc>
          <w:tcPr>
            <w:tcW w:w="1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133,731</w:t>
            </w:r>
          </w:p>
        </w:tc>
        <w:tc>
          <w:tcPr>
            <w:tcW w:w="260" w:type="dxa"/>
            <w:vAlign w:val="bottom"/>
            <w:tcBorders>
              <w:bottom w:val="single" w:sz="8" w:color="CFEDF9"/>
            </w:tcBorders>
          </w:tcPr>
          <w:p>
            <w:pPr>
              <w:spacing w:after="0"/>
              <w:rPr>
                <w:sz w:val="22"/>
                <w:szCs w:val="22"/>
                <w:color w:val="auto"/>
              </w:rPr>
            </w:pPr>
          </w:p>
        </w:tc>
        <w:tc>
          <w:tcPr>
            <w:tcW w:w="80" w:type="dxa"/>
            <w:vAlign w:val="bottom"/>
            <w:tcBorders>
              <w:bottom w:val="single" w:sz="8" w:color="CFEDF9"/>
            </w:tcBorders>
          </w:tcPr>
          <w:p>
            <w:pPr>
              <w:spacing w:after="0"/>
              <w:rPr>
                <w:sz w:val="22"/>
                <w:szCs w:val="22"/>
                <w:color w:val="auto"/>
              </w:rPr>
            </w:pPr>
          </w:p>
        </w:tc>
        <w:tc>
          <w:tcPr>
            <w:tcW w:w="200" w:type="dxa"/>
            <w:vAlign w:val="bottom"/>
            <w:tcBorders>
              <w:top w:val="single" w:sz="8" w:color="231F20"/>
              <w:bottom w:val="single" w:sz="8" w:color="231F20"/>
            </w:tcBorders>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62,991</w:t>
            </w:r>
          </w:p>
        </w:tc>
        <w:tc>
          <w:tcPr>
            <w:tcW w:w="240" w:type="dxa"/>
            <w:vAlign w:val="bottom"/>
            <w:tcBorders>
              <w:bottom w:val="single" w:sz="8" w:color="CFEDF9"/>
            </w:tcBorders>
          </w:tcPr>
          <w:p>
            <w:pPr>
              <w:spacing w:after="0"/>
              <w:rPr>
                <w:sz w:val="22"/>
                <w:szCs w:val="22"/>
                <w:color w:val="auto"/>
              </w:rPr>
            </w:pPr>
          </w:p>
        </w:tc>
        <w:tc>
          <w:tcPr>
            <w:tcW w:w="100" w:type="dxa"/>
            <w:vAlign w:val="bottom"/>
            <w:tcBorders>
              <w:bottom w:val="single" w:sz="8" w:color="CFEDF9"/>
            </w:tcBorders>
          </w:tcPr>
          <w:p>
            <w:pPr>
              <w:spacing w:after="0"/>
              <w:rPr>
                <w:sz w:val="22"/>
                <w:szCs w:val="22"/>
                <w:color w:val="auto"/>
              </w:rPr>
            </w:pPr>
          </w:p>
        </w:tc>
        <w:tc>
          <w:tcPr>
            <w:tcW w:w="1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38,825</w:t>
            </w:r>
          </w:p>
        </w:tc>
        <w:tc>
          <w:tcPr>
            <w:tcW w:w="180" w:type="dxa"/>
            <w:vAlign w:val="bottom"/>
            <w:tcBorders>
              <w:bottom w:val="single" w:sz="8" w:color="CFEDF9"/>
            </w:tcBorders>
          </w:tcPr>
          <w:p>
            <w:pPr>
              <w:spacing w:after="0"/>
              <w:rPr>
                <w:sz w:val="22"/>
                <w:szCs w:val="22"/>
                <w:color w:val="auto"/>
              </w:rPr>
            </w:pPr>
          </w:p>
        </w:tc>
      </w:tr>
      <w:tr>
        <w:trPr>
          <w:trHeight w:val="215"/>
        </w:trPr>
        <w:tc>
          <w:tcPr>
            <w:tcW w:w="4340" w:type="dxa"/>
            <w:vAlign w:val="bottom"/>
            <w:shd w:val="clear" w:color="auto" w:fill="CFEDF9"/>
          </w:tcPr>
          <w:p>
            <w:pPr>
              <w:spacing w:after="0" w:line="215" w:lineRule="exact"/>
              <w:rPr>
                <w:sz w:val="20"/>
                <w:szCs w:val="20"/>
                <w:color w:val="auto"/>
              </w:rPr>
            </w:pPr>
            <w:r>
              <w:rPr>
                <w:rFonts w:ascii="Times New Roman" w:cs="Times New Roman" w:eastAsia="Times New Roman" w:hAnsi="Times New Roman"/>
                <w:sz w:val="20"/>
                <w:szCs w:val="20"/>
                <w:color w:val="231F20"/>
              </w:rPr>
              <w:t>Average debt outstanding (in millions)</w:t>
            </w:r>
          </w:p>
        </w:tc>
        <w:tc>
          <w:tcPr>
            <w:tcW w:w="160" w:type="dxa"/>
            <w:vAlign w:val="bottom"/>
            <w:shd w:val="clear" w:color="auto" w:fill="CFEDF9"/>
          </w:tcPr>
          <w:p>
            <w:pPr>
              <w:spacing w:after="0"/>
              <w:rPr>
                <w:sz w:val="18"/>
                <w:szCs w:val="18"/>
                <w:color w:val="auto"/>
              </w:rPr>
            </w:pPr>
          </w:p>
        </w:tc>
        <w:tc>
          <w:tcPr>
            <w:tcW w:w="180" w:type="dxa"/>
            <w:vAlign w:val="bottom"/>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rPr>
              <w:t>1,705.6</w:t>
            </w:r>
          </w:p>
        </w:tc>
        <w:tc>
          <w:tcPr>
            <w:tcW w:w="26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00" w:type="dxa"/>
            <w:vAlign w:val="bottom"/>
            <w:shd w:val="clear" w:color="auto" w:fill="CFEDF9"/>
          </w:tcPr>
          <w:p>
            <w:pPr>
              <w:jc w:val="right"/>
              <w:ind w:right="5"/>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rPr>
              <w:t>1,342.0</w:t>
            </w:r>
          </w:p>
        </w:tc>
        <w:tc>
          <w:tcPr>
            <w:tcW w:w="24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180" w:type="dxa"/>
            <w:vAlign w:val="bottom"/>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shd w:val="clear" w:color="auto" w:fill="CFEDF9"/>
          </w:tcPr>
          <w:p>
            <w:pPr>
              <w:jc w:val="right"/>
              <w:spacing w:after="0" w:line="215" w:lineRule="exact"/>
              <w:rPr>
                <w:sz w:val="20"/>
                <w:szCs w:val="20"/>
                <w:color w:val="auto"/>
              </w:rPr>
            </w:pPr>
            <w:r>
              <w:rPr>
                <w:rFonts w:ascii="Times New Roman" w:cs="Times New Roman" w:eastAsia="Times New Roman" w:hAnsi="Times New Roman"/>
                <w:sz w:val="20"/>
                <w:szCs w:val="20"/>
                <w:color w:val="231F20"/>
              </w:rPr>
              <w:t>1,223.4</w:t>
            </w:r>
          </w:p>
        </w:tc>
        <w:tc>
          <w:tcPr>
            <w:tcW w:w="180" w:type="dxa"/>
            <w:vAlign w:val="bottom"/>
            <w:shd w:val="clear" w:color="auto" w:fill="CFEDF9"/>
          </w:tcPr>
          <w:p>
            <w:pPr>
              <w:spacing w:after="0"/>
              <w:rPr>
                <w:sz w:val="18"/>
                <w:szCs w:val="18"/>
                <w:color w:val="auto"/>
              </w:rPr>
            </w:pPr>
          </w:p>
        </w:tc>
      </w:tr>
      <w:tr>
        <w:trPr>
          <w:trHeight w:val="266"/>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interest rate</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7.3%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w:t>
            </w:r>
          </w:p>
        </w:tc>
      </w:tr>
    </w:tbl>
    <w:p>
      <w:pPr>
        <w:spacing w:after="0" w:line="200" w:lineRule="exact"/>
        <w:rPr>
          <w:sz w:val="20"/>
          <w:szCs w:val="20"/>
          <w:color w:val="auto"/>
        </w:rPr>
      </w:pPr>
    </w:p>
    <w:p>
      <w:pPr>
        <w:sectPr>
          <w:pgSz w:w="12240" w:h="15840" w:orient="portrait"/>
          <w:cols w:equalWidth="0" w:num="1">
            <w:col w:w="10640"/>
          </w:cols>
          <w:pgMar w:left="720" w:top="919" w:right="8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231F20"/>
        </w:rPr>
        <w:t>F-37</w:t>
      </w:r>
    </w:p>
    <w:p>
      <w:pPr>
        <w:sectPr>
          <w:pgSz w:w="12240" w:h="15840" w:orient="portrait"/>
          <w:cols w:equalWidth="0" w:num="1">
            <w:col w:w="10640"/>
          </w:cols>
          <w:pgMar w:left="720" w:top="919" w:right="880" w:bottom="186" w:gutter="0" w:footer="0" w:header="0"/>
          <w:type w:val="continuous"/>
        </w:sectPr>
      </w:pPr>
    </w:p>
    <w:bookmarkStart w:id="122" w:name="page123"/>
    <w:bookmarkEnd w:id="122"/>
    <w:p>
      <w:pPr>
        <w:ind w:right="7740"/>
        <w:spacing w:after="0" w:line="367" w:lineRule="auto"/>
        <w:tabs>
          <w:tab w:leader="none" w:pos="200" w:val="left"/>
        </w:tabs>
        <w:numPr>
          <w:ilvl w:val="0"/>
          <w:numId w:val="10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Commitments and Contingencies </w:t>
      </w:r>
      <w:r>
        <w:rPr>
          <w:rFonts w:ascii="Times New Roman" w:cs="Times New Roman" w:eastAsia="Times New Roman" w:hAnsi="Times New Roman"/>
          <w:sz w:val="20"/>
          <w:szCs w:val="20"/>
          <w:i w:val="1"/>
          <w:iCs w:val="1"/>
          <w:color w:val="231F20"/>
        </w:rPr>
        <w:t>Portfolio Company Commitments</w:t>
      </w:r>
    </w:p>
    <w:p>
      <w:pPr>
        <w:spacing w:after="0" w:line="1"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color w:val="231F20"/>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ectPr>
          <w:pgSz w:w="12240" w:h="15840" w:orient="portrait"/>
          <w:cols w:equalWidth="0" w:num="1">
            <w:col w:w="10780"/>
          </w:cols>
          <w:pgMar w:left="720" w:top="92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F-38</w:t>
      </w:r>
    </w:p>
    <w:p>
      <w:pPr>
        <w:sectPr>
          <w:pgSz w:w="12240" w:h="15840" w:orient="portrait"/>
          <w:cols w:equalWidth="0" w:num="1">
            <w:col w:w="10780"/>
          </w:cols>
          <w:pgMar w:left="720" w:top="926" w:right="740" w:bottom="186" w:gutter="0" w:footer="0" w:header="0"/>
          <w:type w:val="continuous"/>
        </w:sectPr>
      </w:pPr>
    </w:p>
    <w:bookmarkStart w:id="123" w:name="page124"/>
    <w:bookmarkEnd w:id="123"/>
    <w:p>
      <w:pPr>
        <w:ind w:right="20" w:firstLine="245"/>
        <w:spacing w:after="0" w:line="277" w:lineRule="auto"/>
        <w:rPr>
          <w:sz w:val="20"/>
          <w:szCs w:val="20"/>
          <w:color w:val="auto"/>
        </w:rPr>
      </w:pPr>
      <w:r>
        <w:rPr>
          <w:rFonts w:ascii="Times New Roman" w:cs="Times New Roman" w:eastAsia="Times New Roman" w:hAnsi="Times New Roman"/>
          <w:sz w:val="20"/>
          <w:szCs w:val="20"/>
          <w:color w:val="231F20"/>
        </w:rPr>
        <w:t>As of December 31, 2023 and December 31, 2022, the Company had the following commitments to fund investments in current portfolio companies:</w:t>
      </w:r>
    </w:p>
    <w:p>
      <w:pPr>
        <w:spacing w:after="0" w:line="44"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5260" w:type="dxa"/>
            <w:vAlign w:val="bottom"/>
            <w:tcBorders>
              <w:bottom w:val="single" w:sz="8" w:color="CFEDF9"/>
            </w:tcBorders>
          </w:tcPr>
          <w:p>
            <w:pPr>
              <w:spacing w:after="0"/>
              <w:rPr>
                <w:sz w:val="17"/>
                <w:szCs w:val="17"/>
                <w:color w:val="auto"/>
              </w:rPr>
            </w:pPr>
          </w:p>
        </w:tc>
        <w:tc>
          <w:tcPr>
            <w:tcW w:w="52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4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32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4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Borders>
              <w:bottom w:val="single" w:sz="8" w:color="CFEDF9"/>
            </w:tcBorders>
          </w:tcPr>
          <w:p>
            <w:pPr>
              <w:spacing w:after="0"/>
              <w:rPr>
                <w:sz w:val="17"/>
                <w:szCs w:val="17"/>
                <w:color w:val="auto"/>
              </w:rPr>
            </w:pPr>
          </w:p>
        </w:tc>
      </w:tr>
      <w:tr>
        <w:trPr>
          <w:trHeight w:val="174"/>
        </w:trPr>
        <w:tc>
          <w:tcPr>
            <w:tcW w:w="5260" w:type="dxa"/>
            <w:vAlign w:val="bottom"/>
            <w:shd w:val="clear" w:color="auto" w:fill="CFEDF9"/>
          </w:tcPr>
          <w:p>
            <w:pPr>
              <w:ind w:left="40"/>
              <w:spacing w:after="0" w:line="174" w:lineRule="exact"/>
              <w:rPr>
                <w:sz w:val="20"/>
                <w:szCs w:val="20"/>
                <w:color w:val="auto"/>
              </w:rPr>
            </w:pPr>
            <w:r>
              <w:rPr>
                <w:rFonts w:ascii="Times New Roman" w:cs="Times New Roman" w:eastAsia="Times New Roman" w:hAnsi="Times New Roman"/>
                <w:sz w:val="16"/>
                <w:szCs w:val="16"/>
                <w:color w:val="231F20"/>
              </w:rPr>
              <w:t>Alaska Bidco Oy - Delayed Draw &amp;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8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231</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80" w:type="dxa"/>
            <w:vAlign w:val="bottom"/>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Alpha Midco, Inc.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470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910</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American Achievement, Corp.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2,403</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2,403</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Arrow Buyer, Inc.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7,644</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Artisan Bidco, Inc.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5,716</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ASG II, LLC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3,391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6,952</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Avalara, Inc.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3,863</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3,864</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Axonify, Inc.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3,506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6,113</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Banyan Software Holdings, LLC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10,036</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Bayshore Intermediate #2, L.P. -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1,918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1,618</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BCTO Ace Purchaser, Inc.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461</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6,556</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BCTO Bluebill Buyer, Inc.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5,110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Bear OpCo, LLC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1,183</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2,606</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BlueSnap, Inc. -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2,500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2,500</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BTRS Holdings, Inc. - Delayed Draw &amp;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5,563</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8,638</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Carlstar Group, LLC -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8,500</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Cordance Operations, LLC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1,956</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12,093</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Coupa Holdings, LLC - Delayed Draw &amp;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6,809</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CrunchTime Information Systems, Inc.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7,101</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Crewline Buyer, Inc. - Revolver &amp; Partnership Interest</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6,148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6"/>
                <w:szCs w:val="16"/>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Disco Parent, Inc.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455</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Dye &amp; Durham Corp. -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1,236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6,280</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EDB Parent, LLC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11,492</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18,037</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Edge Bidco B.V. - Delayed Draw &amp;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1,060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Elysian Finco Ltd. - Delayed Draw &amp;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4,704</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6,792</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Employment Hero Holdings Pty Ltd. - Delayed Draw &amp;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8,871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8,816</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EMS Linq, Inc.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8,784</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8,784</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Erling Lux Bidco SARL - Delayed Draw &amp;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3,184</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5,618</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ExtraHop Networks, Inc.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9,803</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17,050</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Fullsteam Operations, LLC - Delayed Draw &amp;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11,246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ForeScout Technologies, Inc. - Delayed Draw &amp;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3,425</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3,425</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G Treasury SS, LLC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3,400</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Galileo Parent, Inc.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6,779</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Hirevue, Inc. -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6,887</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Hornetsecurity Holding GmbH - Delayed Draw &amp;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2,113</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2,041</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Ibis Intermediate Co.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6,338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6,338</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IRGSE Holding Corp.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878</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253</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Kangaroo Bidco AS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9,418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Kyriba Corp. - Delayed Draw &amp;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2,488</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45</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Laramie Energy, LLC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7,683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LeanTaaS Holdings, Inc.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38,034</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47,218</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Lithium Technologies, LLC -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1,979</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Lucidworks, Inc.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833</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833</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Marcura Equities LTD - Delayed Draw &amp;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11,667</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Murchison Oil and Gas, LLC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9,772</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Netwrix Corp. - Delayed Draw &amp;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13,056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13,881</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Neuintel, LLC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4,200</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OutSystems Luxco SARL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2,212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2,137</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PageUp People, Ltd. - Delayed Draw &amp;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5,764</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Passport Labs, Inc. - Delayed Draw &amp; Revolver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2,778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2,778</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Ping Identity Holding Corp.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2,273</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2,273</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PrimePay Intermediate, LLC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2,474</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PrimeRevenue, Inc.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6,250</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6,250</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Project44, Inc.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19,861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19,861</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Rapid Data GmbH Unternehmensberatung - Delayed Draw &amp;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6,254</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ReliaQuest Holdings, LLC - Delayed Draw, Revolver &amp; Preferred Equity</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4,424</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22,752</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SkyLark UK DebtCo Limited - Delayed Draw</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7,071</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SL Buyer Corp. - Delayed Draw</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13,175</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Tango Management Consulting, LLC - Delayed Draw &amp;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11,043</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26,576</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TRP Assets, LLC - Delayed Draw &amp; Membership Interest</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1,000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7,806</w:t>
            </w:r>
          </w:p>
        </w:tc>
        <w:tc>
          <w:tcPr>
            <w:tcW w:w="100" w:type="dxa"/>
            <w:vAlign w:val="bottom"/>
          </w:tcPr>
          <w:p>
            <w:pPr>
              <w:spacing w:after="0"/>
              <w:rPr>
                <w:sz w:val="15"/>
                <w:szCs w:val="15"/>
                <w:color w:val="auto"/>
              </w:rPr>
            </w:pPr>
          </w:p>
        </w:tc>
      </w:tr>
      <w:tr>
        <w:trPr>
          <w:trHeight w:val="184"/>
        </w:trPr>
        <w:tc>
          <w:tcPr>
            <w:tcW w:w="5260" w:type="dxa"/>
            <w:vAlign w:val="bottom"/>
            <w:shd w:val="clear" w:color="auto" w:fill="CFEDF9"/>
          </w:tcPr>
          <w:p>
            <w:pPr>
              <w:ind w:left="40"/>
              <w:spacing w:after="0"/>
              <w:rPr>
                <w:sz w:val="20"/>
                <w:szCs w:val="20"/>
                <w:color w:val="auto"/>
              </w:rPr>
            </w:pPr>
            <w:r>
              <w:rPr>
                <w:rFonts w:ascii="Times New Roman" w:cs="Times New Roman" w:eastAsia="Times New Roman" w:hAnsi="Times New Roman"/>
                <w:sz w:val="16"/>
                <w:szCs w:val="16"/>
                <w:color w:val="231F20"/>
              </w:rPr>
              <w:t>WideOrbit, Inc. - Revolver</w:t>
            </w:r>
          </w:p>
        </w:tc>
        <w:tc>
          <w:tcPr>
            <w:tcW w:w="5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14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rPr>
              <w:t>4,756</w:t>
            </w:r>
          </w:p>
        </w:tc>
        <w:tc>
          <w:tcPr>
            <w:tcW w:w="100" w:type="dxa"/>
            <w:vAlign w:val="bottom"/>
            <w:shd w:val="clear" w:color="auto" w:fill="CFEDF9"/>
          </w:tcPr>
          <w:p>
            <w:pPr>
              <w:spacing w:after="0"/>
              <w:rPr>
                <w:sz w:val="15"/>
                <w:szCs w:val="15"/>
                <w:color w:val="auto"/>
              </w:rPr>
            </w:pPr>
          </w:p>
        </w:tc>
      </w:tr>
      <w:tr>
        <w:trPr>
          <w:trHeight w:val="184"/>
        </w:trPr>
        <w:tc>
          <w:tcPr>
            <w:tcW w:w="5260" w:type="dxa"/>
            <w:vAlign w:val="bottom"/>
            <w:tcBorders>
              <w:bottom w:val="single" w:sz="8" w:color="CFEDF9"/>
            </w:tcBorders>
          </w:tcPr>
          <w:p>
            <w:pPr>
              <w:ind w:left="40"/>
              <w:spacing w:after="0"/>
              <w:rPr>
                <w:sz w:val="20"/>
                <w:szCs w:val="20"/>
                <w:color w:val="auto"/>
              </w:rPr>
            </w:pPr>
            <w:r>
              <w:rPr>
                <w:rFonts w:ascii="Times New Roman" w:cs="Times New Roman" w:eastAsia="Times New Roman" w:hAnsi="Times New Roman"/>
                <w:sz w:val="16"/>
                <w:szCs w:val="16"/>
                <w:color w:val="231F20"/>
              </w:rPr>
              <w:t>Wrangler TopCo, LLC - Revolver</w:t>
            </w:r>
          </w:p>
        </w:tc>
        <w:tc>
          <w:tcPr>
            <w:tcW w:w="520" w:type="dxa"/>
            <w:vAlign w:val="bottom"/>
            <w:tcBorders>
              <w:bottom w:val="single" w:sz="8" w:color="CFEDF9"/>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424</w:t>
            </w:r>
          </w:p>
        </w:tc>
        <w:tc>
          <w:tcPr>
            <w:tcW w:w="320" w:type="dxa"/>
            <w:vAlign w:val="bottom"/>
            <w:tcBorders>
              <w:bottom w:val="single" w:sz="8" w:color="CFEDF9"/>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CFEDF9"/>
            </w:tcBorders>
          </w:tcPr>
          <w:p>
            <w:pPr>
              <w:spacing w:after="0"/>
              <w:rPr>
                <w:sz w:val="15"/>
                <w:szCs w:val="15"/>
                <w:color w:val="auto"/>
              </w:rPr>
            </w:pPr>
          </w:p>
        </w:tc>
      </w:tr>
      <w:tr>
        <w:trPr>
          <w:trHeight w:val="174"/>
        </w:trPr>
        <w:tc>
          <w:tcPr>
            <w:tcW w:w="5260" w:type="dxa"/>
            <w:vAlign w:val="bottom"/>
            <w:shd w:val="clear" w:color="auto" w:fill="CFEDF9"/>
          </w:tcPr>
          <w:p>
            <w:pPr>
              <w:ind w:left="100"/>
              <w:spacing w:after="0" w:line="174" w:lineRule="exact"/>
              <w:rPr>
                <w:sz w:val="20"/>
                <w:szCs w:val="20"/>
                <w:color w:val="auto"/>
              </w:rPr>
            </w:pPr>
            <w:r>
              <w:rPr>
                <w:rFonts w:ascii="Times New Roman" w:cs="Times New Roman" w:eastAsia="Times New Roman" w:hAnsi="Times New Roman"/>
                <w:sz w:val="16"/>
                <w:szCs w:val="16"/>
                <w:b w:val="1"/>
                <w:bCs w:val="1"/>
                <w:color w:val="231F20"/>
              </w:rPr>
              <w:t xml:space="preserve">Total Portfolio Company Commitments </w:t>
            </w:r>
            <w:r>
              <w:rPr>
                <w:rFonts w:ascii="Times New Roman" w:cs="Times New Roman" w:eastAsia="Times New Roman" w:hAnsi="Times New Roman"/>
                <w:sz w:val="10"/>
                <w:szCs w:val="10"/>
                <w:b w:val="1"/>
                <w:bCs w:val="1"/>
                <w:color w:val="231F20"/>
              </w:rPr>
              <w:t>(1)(2)</w:t>
            </w:r>
          </w:p>
        </w:tc>
        <w:tc>
          <w:tcPr>
            <w:tcW w:w="520" w:type="dxa"/>
            <w:vAlign w:val="bottom"/>
            <w:shd w:val="clear" w:color="auto" w:fill="CFEDF9"/>
          </w:tcPr>
          <w:p>
            <w:pPr>
              <w:spacing w:after="0"/>
              <w:rPr>
                <w:sz w:val="15"/>
                <w:szCs w:val="15"/>
                <w:color w:val="auto"/>
              </w:rPr>
            </w:pPr>
          </w:p>
        </w:tc>
        <w:tc>
          <w:tcPr>
            <w:tcW w:w="12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8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316,107</w:t>
            </w:r>
          </w:p>
        </w:tc>
        <w:tc>
          <w:tcPr>
            <w:tcW w:w="320" w:type="dxa"/>
            <w:vAlign w:val="bottom"/>
            <w:shd w:val="clear" w:color="auto" w:fill="CFEDF9"/>
          </w:tcPr>
          <w:p>
            <w:pPr>
              <w:spacing w:after="0"/>
              <w:rPr>
                <w:sz w:val="15"/>
                <w:szCs w:val="15"/>
                <w:color w:val="auto"/>
              </w:rPr>
            </w:pPr>
          </w:p>
        </w:tc>
        <w:tc>
          <w:tcPr>
            <w:tcW w:w="12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480" w:type="dxa"/>
            <w:vAlign w:val="bottom"/>
            <w:tcBorders>
              <w:bottom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338,043</w:t>
            </w:r>
          </w:p>
        </w:tc>
        <w:tc>
          <w:tcPr>
            <w:tcW w:w="100" w:type="dxa"/>
            <w:vAlign w:val="bottom"/>
            <w:shd w:val="clear" w:color="auto" w:fill="CFEDF9"/>
          </w:tcPr>
          <w:p>
            <w:pPr>
              <w:spacing w:after="0"/>
              <w:rPr>
                <w:sz w:val="15"/>
                <w:szCs w:val="15"/>
                <w:color w:val="auto"/>
              </w:rPr>
            </w:pPr>
          </w:p>
        </w:tc>
      </w:tr>
      <w:tr>
        <w:trPr>
          <w:trHeight w:val="20"/>
        </w:trPr>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left="360" w:hanging="360"/>
        <w:spacing w:after="0" w:line="258" w:lineRule="auto"/>
        <w:tabs>
          <w:tab w:leader="none" w:pos="360" w:val="left"/>
        </w:tabs>
        <w:numPr>
          <w:ilvl w:val="0"/>
          <w:numId w:val="10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ectPr>
          <w:pgSz w:w="12240" w:h="15840" w:orient="portrait"/>
          <w:cols w:equalWidth="0" w:num="1">
            <w:col w:w="10500"/>
          </w:cols>
          <w:pgMar w:left="720" w:top="930" w:right="1020" w:bottom="186"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231F20"/>
        </w:rPr>
        <w:t>F-39</w:t>
      </w:r>
    </w:p>
    <w:p>
      <w:pPr>
        <w:sectPr>
          <w:pgSz w:w="12240" w:h="15840" w:orient="portrait"/>
          <w:cols w:equalWidth="0" w:num="1">
            <w:col w:w="10500"/>
          </w:cols>
          <w:pgMar w:left="720" w:top="930" w:right="1020" w:bottom="186" w:gutter="0" w:footer="0" w:header="0"/>
          <w:type w:val="continuous"/>
        </w:sectPr>
      </w:pPr>
    </w:p>
    <w:bookmarkStart w:id="124" w:name="page125"/>
    <w:bookmarkEnd w:id="124"/>
    <w:p>
      <w:pPr>
        <w:ind w:left="360" w:right="140" w:hanging="360"/>
        <w:spacing w:after="0" w:line="277" w:lineRule="auto"/>
        <w:tabs>
          <w:tab w:leader="none" w:pos="360" w:val="left"/>
        </w:tabs>
        <w:numPr>
          <w:ilvl w:val="0"/>
          <w:numId w:val="10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Company’s estimate of the fair value of the current investments in these portfolio companies includes an analysis of the fair value of any unfunded commitments.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Commitments and Contingencies</w:t>
      </w:r>
    </w:p>
    <w:p>
      <w:pPr>
        <w:spacing w:after="0" w:line="118" w:lineRule="exact"/>
        <w:rPr>
          <w:sz w:val="20"/>
          <w:szCs w:val="20"/>
          <w:color w:val="auto"/>
        </w:rPr>
      </w:pPr>
    </w:p>
    <w:p>
      <w:pPr>
        <w:ind w:right="100" w:firstLine="245"/>
        <w:spacing w:after="0" w:line="277" w:lineRule="auto"/>
        <w:rPr>
          <w:sz w:val="20"/>
          <w:szCs w:val="20"/>
          <w:color w:val="auto"/>
        </w:rPr>
      </w:pPr>
      <w:r>
        <w:rPr>
          <w:rFonts w:ascii="Times New Roman" w:cs="Times New Roman" w:eastAsia="Times New Roman" w:hAnsi="Times New Roman"/>
          <w:sz w:val="20"/>
          <w:szCs w:val="20"/>
          <w:color w:val="231F20"/>
        </w:rPr>
        <w:t>As of December 31, 2023 and 2022, the Company did not have any unfunded commitments to fund investments to new borrowers that were not current portfolio companies as of such date.</w:t>
      </w:r>
    </w:p>
    <w:p>
      <w:pPr>
        <w:spacing w:after="0" w:line="169" w:lineRule="exact"/>
        <w:rPr>
          <w:sz w:val="20"/>
          <w:szCs w:val="20"/>
          <w:color w:val="auto"/>
        </w:rPr>
      </w:pPr>
    </w:p>
    <w:p>
      <w:pPr>
        <w:ind w:right="220" w:firstLine="245"/>
        <w:spacing w:after="0" w:line="258" w:lineRule="auto"/>
        <w:rPr>
          <w:sz w:val="20"/>
          <w:szCs w:val="20"/>
          <w:color w:val="auto"/>
        </w:rPr>
      </w:pPr>
      <w:r>
        <w:rPr>
          <w:rFonts w:ascii="Times New Roman" w:cs="Times New Roman" w:eastAsia="Times New Roman" w:hAnsi="Times New Roman"/>
          <w:sz w:val="20"/>
          <w:szCs w:val="20"/>
          <w:color w:val="231F20"/>
        </w:rPr>
        <w:t>From time to time, the Company may become a party to certain legal proceedings incidental to the normal course of its business. As of December 31, 2023 and 2022, management is not aware of any material pending or threatened litigation that would require accounting recognition or financial statement disclosure.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Net Assets</w:t>
      </w:r>
    </w:p>
    <w:p>
      <w:pPr>
        <w:spacing w:after="0" w:line="115" w:lineRule="exact"/>
        <w:rPr>
          <w:sz w:val="20"/>
          <w:szCs w:val="20"/>
          <w:color w:val="auto"/>
        </w:rPr>
      </w:pPr>
    </w:p>
    <w:p>
      <w:pPr>
        <w:ind w:right="20" w:firstLine="245"/>
        <w:spacing w:after="0"/>
        <w:rPr>
          <w:sz w:val="20"/>
          <w:szCs w:val="20"/>
          <w:color w:val="auto"/>
        </w:rPr>
      </w:pPr>
      <w:r>
        <w:rPr>
          <w:rFonts w:ascii="Times New Roman" w:cs="Times New Roman" w:eastAsia="Times New Roman" w:hAnsi="Times New Roman"/>
          <w:sz w:val="20"/>
          <w:szCs w:val="20"/>
          <w:color w:val="231F20"/>
        </w:rPr>
        <w:t>On February 23, 2021, the Company issued a total of 4,000,000 shares of common stock at $21.30 per share. Net of underwriting fees and offering costs, the Company received total cash proceeds of $84.9 million. Subsequent to the offering the Company issued an additional 49,689 shares on March 24, 2021 pursuant to the overallotment option granted to underwriters and received, net of underwriting fees, total cash proceeds of $1.0 million.</w:t>
      </w:r>
    </w:p>
    <w:p>
      <w:pPr>
        <w:spacing w:after="0" w:line="194" w:lineRule="exact"/>
        <w:rPr>
          <w:sz w:val="20"/>
          <w:szCs w:val="20"/>
          <w:color w:val="auto"/>
        </w:rPr>
      </w:pPr>
    </w:p>
    <w:p>
      <w:pPr>
        <w:ind w:firstLine="245"/>
        <w:spacing w:after="0" w:line="265" w:lineRule="auto"/>
        <w:rPr>
          <w:sz w:val="20"/>
          <w:szCs w:val="20"/>
          <w:color w:val="auto"/>
        </w:rPr>
      </w:pPr>
      <w:r>
        <w:rPr>
          <w:rFonts w:ascii="Times New Roman" w:cs="Times New Roman" w:eastAsia="Times New Roman" w:hAnsi="Times New Roman"/>
          <w:sz w:val="20"/>
          <w:szCs w:val="20"/>
          <w:color w:val="231F20"/>
        </w:rPr>
        <w:t>During the three months ended December 31, 2021, the Company issued a total of 2,324,820 shares of common stock as settlement for the conversion of $42.8 million principal amount of the 2022 Convertible Notes.</w:t>
      </w:r>
    </w:p>
    <w:p>
      <w:pPr>
        <w:spacing w:after="0" w:line="169" w:lineRule="exact"/>
        <w:rPr>
          <w:sz w:val="20"/>
          <w:szCs w:val="20"/>
          <w:color w:val="auto"/>
        </w:rPr>
      </w:pPr>
    </w:p>
    <w:p>
      <w:pPr>
        <w:ind w:right="600" w:firstLine="245"/>
        <w:spacing w:after="0" w:line="265" w:lineRule="auto"/>
        <w:rPr>
          <w:sz w:val="20"/>
          <w:szCs w:val="20"/>
          <w:color w:val="auto"/>
        </w:rPr>
      </w:pPr>
      <w:r>
        <w:rPr>
          <w:rFonts w:ascii="Times New Roman" w:cs="Times New Roman" w:eastAsia="Times New Roman" w:hAnsi="Times New Roman"/>
          <w:sz w:val="20"/>
          <w:szCs w:val="20"/>
          <w:color w:val="231F20"/>
        </w:rPr>
        <w:t>On August 1, 2022, the Company issued a total of 4,360,125 shares of common stock, or $77.6 million as settlement for the conversion of $79.2 million principal amount of the 2022 Convertible Notes.</w:t>
      </w:r>
    </w:p>
    <w:p>
      <w:pPr>
        <w:spacing w:after="0" w:line="169" w:lineRule="exact"/>
        <w:rPr>
          <w:sz w:val="20"/>
          <w:szCs w:val="20"/>
          <w:color w:val="auto"/>
        </w:rPr>
      </w:pPr>
    </w:p>
    <w:p>
      <w:pPr>
        <w:ind w:right="140" w:firstLine="245"/>
        <w:spacing w:after="0"/>
        <w:rPr>
          <w:sz w:val="20"/>
          <w:szCs w:val="20"/>
          <w:color w:val="auto"/>
        </w:rPr>
      </w:pPr>
      <w:r>
        <w:rPr>
          <w:rFonts w:ascii="Times New Roman" w:cs="Times New Roman" w:eastAsia="Times New Roman" w:hAnsi="Times New Roman"/>
          <w:sz w:val="20"/>
          <w:szCs w:val="20"/>
          <w:color w:val="231F20"/>
        </w:rPr>
        <w:t>On May 15, 2023, the Company issued a total of 4,500,000 shares of common stock at $17.33 per share. Net of underwriting fees and offering costs, the Company received total cash proceeds of $77.6 million. Subsequent to the offering, the Company issued an additional 675,000 shares on June 12, 2023 pursuant to the overallotment option granted to underwriters and received, net of underwriting fees, additional total cash proceeds of $11.7 million.</w:t>
      </w:r>
    </w:p>
    <w:p>
      <w:pPr>
        <w:spacing w:after="0" w:line="194" w:lineRule="exact"/>
        <w:rPr>
          <w:sz w:val="20"/>
          <w:szCs w:val="20"/>
          <w:color w:val="auto"/>
        </w:rPr>
      </w:pPr>
    </w:p>
    <w:p>
      <w:pPr>
        <w:ind w:right="40" w:firstLine="245"/>
        <w:spacing w:after="0" w:line="232" w:lineRule="auto"/>
        <w:rPr>
          <w:sz w:val="20"/>
          <w:szCs w:val="20"/>
          <w:color w:val="auto"/>
        </w:rPr>
      </w:pPr>
      <w:r>
        <w:rPr>
          <w:rFonts w:ascii="Times New Roman" w:cs="Times New Roman" w:eastAsia="Times New Roman" w:hAnsi="Times New Roman"/>
          <w:sz w:val="20"/>
          <w:szCs w:val="20"/>
          <w:color w:val="231F20"/>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w:t>
      </w:r>
    </w:p>
    <w:p>
      <w:pPr>
        <w:spacing w:after="0" w:line="5" w:lineRule="exact"/>
        <w:rPr>
          <w:sz w:val="20"/>
          <w:szCs w:val="20"/>
          <w:color w:val="auto"/>
        </w:rPr>
      </w:pPr>
    </w:p>
    <w:p>
      <w:pPr>
        <w:jc w:val="both"/>
        <w:ind w:right="100"/>
        <w:spacing w:after="0" w:line="233" w:lineRule="auto"/>
        <w:tabs>
          <w:tab w:leader="none" w:pos="239" w:val="left"/>
        </w:tabs>
        <w:numPr>
          <w:ilvl w:val="0"/>
          <w:numId w:val="10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202" w:lineRule="exact"/>
        <w:rPr>
          <w:sz w:val="20"/>
          <w:szCs w:val="20"/>
          <w:color w:val="auto"/>
        </w:rPr>
      </w:pPr>
    </w:p>
    <w:p>
      <w:pPr>
        <w:jc w:val="both"/>
        <w:ind w:right="20" w:firstLine="245"/>
        <w:spacing w:after="0" w:line="258" w:lineRule="auto"/>
        <w:rPr>
          <w:sz w:val="20"/>
          <w:szCs w:val="20"/>
          <w:color w:val="auto"/>
        </w:rPr>
      </w:pPr>
      <w:r>
        <w:rPr>
          <w:rFonts w:ascii="Times New Roman" w:cs="Times New Roman" w:eastAsia="Times New Roman" w:hAnsi="Times New Roman"/>
          <w:sz w:val="20"/>
          <w:szCs w:val="20"/>
          <w:color w:val="231F20"/>
        </w:rPr>
        <w:t>Pursuant to the Company’s dividend reinvestment plan, the following tables summarize the shares issued to stockholders who have not opted out of the Company’s dividend reinvestment plan during the years ended December 31, 2023 and 2022. All shares issued to stockholders in the tables below are newly issued shares.</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gridSpan w:val="4"/>
          </w:tcPr>
          <w:p>
            <w:pPr>
              <w:jc w:val="right"/>
              <w:ind w:right="164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4320" w:type="dxa"/>
            <w:vAlign w:val="bottom"/>
            <w:tcBorders>
              <w:bottom w:val="single" w:sz="8" w:color="231F20"/>
            </w:tcBorders>
            <w:gridSpan w:val="4"/>
          </w:tcPr>
          <w:p>
            <w:pPr>
              <w:jc w:val="right"/>
              <w:ind w:right="140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68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right"/>
              <w:ind w:right="940"/>
              <w:spacing w:after="0" w:line="155" w:lineRule="exact"/>
              <w:rPr>
                <w:sz w:val="20"/>
                <w:szCs w:val="20"/>
                <w:color w:val="auto"/>
              </w:rPr>
            </w:pPr>
            <w:r>
              <w:rPr>
                <w:rFonts w:ascii="Times New Roman" w:cs="Times New Roman" w:eastAsia="Times New Roman" w:hAnsi="Times New Roman"/>
                <w:sz w:val="16"/>
                <w:szCs w:val="16"/>
                <w:b w:val="1"/>
                <w:bCs w:val="1"/>
                <w:color w:val="231F20"/>
              </w:rPr>
              <w:t>Date</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Date Declared</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 xml:space="preserve">Dividend </w:t>
            </w:r>
            <w:r>
              <w:rPr>
                <w:rFonts w:ascii="Times New Roman" w:cs="Times New Roman" w:eastAsia="Times New Roman" w:hAnsi="Times New Roman"/>
                <w:sz w:val="10"/>
                <w:szCs w:val="10"/>
                <w:b w:val="1"/>
                <w:bCs w:val="1"/>
                <w:color w:val="231F20"/>
              </w:rPr>
              <w:t>(1)</w:t>
            </w:r>
          </w:p>
        </w:tc>
        <w:tc>
          <w:tcPr>
            <w:tcW w:w="120" w:type="dxa"/>
            <w:vAlign w:val="bottom"/>
          </w:tcPr>
          <w:p>
            <w:pPr>
              <w:spacing w:after="0"/>
              <w:rPr>
                <w:sz w:val="17"/>
                <w:szCs w:val="17"/>
                <w:color w:val="auto"/>
              </w:rPr>
            </w:pPr>
          </w:p>
        </w:tc>
        <w:tc>
          <w:tcPr>
            <w:tcW w:w="226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231F20"/>
              </w:rPr>
              <w:t>Record Date</w:t>
            </w:r>
          </w:p>
        </w:tc>
        <w:tc>
          <w:tcPr>
            <w:tcW w:w="20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231F20"/>
              </w:rPr>
              <w:t>Shares Issued</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231F20"/>
              </w:rPr>
              <w:t>Shares Issued</w:t>
            </w:r>
          </w:p>
        </w:tc>
        <w:tc>
          <w:tcPr>
            <w:tcW w:w="100" w:type="dxa"/>
            <w:vAlign w:val="bottom"/>
          </w:tcPr>
          <w:p>
            <w:pPr>
              <w:spacing w:after="0"/>
              <w:rPr>
                <w:sz w:val="17"/>
                <w:szCs w:val="17"/>
                <w:color w:val="auto"/>
              </w:rPr>
            </w:pPr>
          </w:p>
        </w:tc>
      </w:tr>
      <w:tr>
        <w:trPr>
          <w:trHeight w:val="220"/>
        </w:trPr>
        <w:tc>
          <w:tcPr>
            <w:tcW w:w="2060" w:type="dxa"/>
            <w:vAlign w:val="bottom"/>
            <w:tcBorders>
              <w:top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February 16, 2023</w:t>
            </w:r>
          </w:p>
        </w:tc>
        <w:tc>
          <w:tcPr>
            <w:tcW w:w="100" w:type="dxa"/>
            <w:vAlign w:val="bottom"/>
            <w:tcBorders>
              <w:top w:val="single" w:sz="8" w:color="CFEDF9"/>
            </w:tcBorders>
            <w:shd w:val="clear" w:color="auto" w:fill="CFEDF9"/>
          </w:tcPr>
          <w:p>
            <w:pPr>
              <w:spacing w:after="0"/>
              <w:rPr>
                <w:sz w:val="19"/>
                <w:szCs w:val="19"/>
                <w:color w:val="auto"/>
              </w:rPr>
            </w:pPr>
          </w:p>
        </w:tc>
        <w:tc>
          <w:tcPr>
            <w:tcW w:w="1340" w:type="dxa"/>
            <w:vAlign w:val="bottom"/>
            <w:tcBorders>
              <w:top w:val="single" w:sz="8" w:color="231F20"/>
            </w:tcBorders>
            <w:shd w:val="clear" w:color="auto" w:fill="CFEDF9"/>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Supplemental</w:t>
            </w:r>
          </w:p>
        </w:tc>
        <w:tc>
          <w:tcPr>
            <w:tcW w:w="120" w:type="dxa"/>
            <w:vAlign w:val="bottom"/>
            <w:tcBorders>
              <w:top w:val="single" w:sz="8" w:color="CFEDF9"/>
            </w:tcBorders>
            <w:shd w:val="clear" w:color="auto" w:fill="CFEDF9"/>
          </w:tcPr>
          <w:p>
            <w:pPr>
              <w:spacing w:after="0"/>
              <w:rPr>
                <w:sz w:val="19"/>
                <w:szCs w:val="19"/>
                <w:color w:val="auto"/>
              </w:rPr>
            </w:pPr>
          </w:p>
        </w:tc>
        <w:tc>
          <w:tcPr>
            <w:tcW w:w="21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February 28, 2023</w:t>
            </w:r>
          </w:p>
        </w:tc>
        <w:tc>
          <w:tcPr>
            <w:tcW w:w="120" w:type="dxa"/>
            <w:vAlign w:val="bottom"/>
            <w:tcBorders>
              <w:top w:val="single" w:sz="8" w:color="CFEDF9"/>
            </w:tcBorders>
            <w:shd w:val="clear" w:color="auto" w:fill="CFEDF9"/>
          </w:tcPr>
          <w:p>
            <w:pPr>
              <w:spacing w:after="0"/>
              <w:rPr>
                <w:sz w:val="19"/>
                <w:szCs w:val="19"/>
                <w:color w:val="auto"/>
              </w:rPr>
            </w:pPr>
          </w:p>
        </w:tc>
        <w:tc>
          <w:tcPr>
            <w:tcW w:w="19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March 20, 2023</w:t>
            </w:r>
          </w:p>
        </w:tc>
        <w:tc>
          <w:tcPr>
            <w:tcW w:w="120" w:type="dxa"/>
            <w:vAlign w:val="bottom"/>
            <w:tcBorders>
              <w:top w:val="single" w:sz="8" w:color="CFEDF9"/>
            </w:tcBorders>
            <w:shd w:val="clear" w:color="auto" w:fill="CFEDF9"/>
          </w:tcPr>
          <w:p>
            <w:pPr>
              <w:spacing w:after="0"/>
              <w:rPr>
                <w:sz w:val="19"/>
                <w:szCs w:val="19"/>
                <w:color w:val="auto"/>
              </w:rPr>
            </w:pPr>
          </w:p>
        </w:tc>
        <w:tc>
          <w:tcPr>
            <w:tcW w:w="16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61,590</w:t>
            </w:r>
          </w:p>
        </w:tc>
        <w:tc>
          <w:tcPr>
            <w:tcW w:w="100" w:type="dxa"/>
            <w:vAlign w:val="bottom"/>
            <w:tcBorders>
              <w:top w:val="single" w:sz="8" w:color="CFEDF9"/>
            </w:tcBorders>
            <w:shd w:val="clear" w:color="auto" w:fill="CFEDF9"/>
          </w:tcPr>
          <w:p>
            <w:pPr>
              <w:spacing w:after="0"/>
              <w:rPr>
                <w:sz w:val="19"/>
                <w:szCs w:val="19"/>
                <w:color w:val="auto"/>
              </w:rPr>
            </w:pP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231F20"/>
              </w:rPr>
              <w:t>February 16, 2023</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Base</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2023</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31, 2023</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300,988</w:t>
            </w:r>
          </w:p>
        </w:tc>
        <w:tc>
          <w:tcPr>
            <w:tcW w:w="100" w:type="dxa"/>
            <w:vAlign w:val="bottom"/>
          </w:tcPr>
          <w:p>
            <w:pPr>
              <w:spacing w:after="0"/>
              <w:rPr>
                <w:sz w:val="19"/>
                <w:szCs w:val="19"/>
                <w:color w:val="auto"/>
              </w:rPr>
            </w:pPr>
          </w:p>
        </w:tc>
      </w:tr>
      <w:tr>
        <w:trPr>
          <w:trHeight w:val="230"/>
        </w:trPr>
        <w:tc>
          <w:tcPr>
            <w:tcW w:w="20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May 8, 2023</w:t>
            </w:r>
          </w:p>
        </w:tc>
        <w:tc>
          <w:tcPr>
            <w:tcW w:w="100" w:type="dxa"/>
            <w:vAlign w:val="bottom"/>
            <w:shd w:val="clear" w:color="auto" w:fill="CFEDF9"/>
          </w:tcPr>
          <w:p>
            <w:pPr>
              <w:spacing w:after="0"/>
              <w:rPr>
                <w:sz w:val="19"/>
                <w:szCs w:val="19"/>
                <w:color w:val="auto"/>
              </w:rPr>
            </w:pPr>
          </w:p>
        </w:tc>
        <w:tc>
          <w:tcPr>
            <w:tcW w:w="134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20" w:type="dxa"/>
            <w:vAlign w:val="bottom"/>
            <w:shd w:val="clear" w:color="auto" w:fill="CFEDF9"/>
          </w:tcPr>
          <w:p>
            <w:pPr>
              <w:spacing w:after="0"/>
              <w:rPr>
                <w:sz w:val="19"/>
                <w:szCs w:val="19"/>
                <w:color w:val="auto"/>
              </w:rPr>
            </w:pPr>
          </w:p>
        </w:tc>
        <w:tc>
          <w:tcPr>
            <w:tcW w:w="2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May 31, 2023</w:t>
            </w:r>
          </w:p>
        </w:tc>
        <w:tc>
          <w:tcPr>
            <w:tcW w:w="120" w:type="dxa"/>
            <w:vAlign w:val="bottom"/>
            <w:shd w:val="clear" w:color="auto" w:fill="CFEDF9"/>
          </w:tcPr>
          <w:p>
            <w:pPr>
              <w:spacing w:after="0"/>
              <w:rPr>
                <w:sz w:val="19"/>
                <w:szCs w:val="19"/>
                <w:color w:val="auto"/>
              </w:rPr>
            </w:pPr>
          </w:p>
        </w:tc>
        <w:tc>
          <w:tcPr>
            <w:tcW w:w="20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June 20, 2023</w:t>
            </w: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23,686</w:t>
            </w:r>
          </w:p>
        </w:tc>
        <w:tc>
          <w:tcPr>
            <w:tcW w:w="100" w:type="dxa"/>
            <w:vAlign w:val="bottom"/>
            <w:shd w:val="clear" w:color="auto" w:fill="CFEDF9"/>
          </w:tcPr>
          <w:p>
            <w:pPr>
              <w:spacing w:after="0"/>
              <w:rPr>
                <w:sz w:val="19"/>
                <w:szCs w:val="19"/>
                <w:color w:val="auto"/>
              </w:rPr>
            </w:pP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231F20"/>
              </w:rPr>
              <w:t>May 8, 2023</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Base</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June 15, 2023</w:t>
            </w:r>
          </w:p>
        </w:tc>
        <w:tc>
          <w:tcPr>
            <w:tcW w:w="120" w:type="dxa"/>
            <w:vAlign w:val="bottom"/>
          </w:tcPr>
          <w:p>
            <w:pPr>
              <w:spacing w:after="0"/>
              <w:rPr>
                <w:sz w:val="19"/>
                <w:szCs w:val="19"/>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June 30, 2023</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290,680</w:t>
            </w:r>
          </w:p>
        </w:tc>
        <w:tc>
          <w:tcPr>
            <w:tcW w:w="100" w:type="dxa"/>
            <w:vAlign w:val="bottom"/>
          </w:tcPr>
          <w:p>
            <w:pPr>
              <w:spacing w:after="0"/>
              <w:rPr>
                <w:sz w:val="19"/>
                <w:szCs w:val="19"/>
                <w:color w:val="auto"/>
              </w:rPr>
            </w:pPr>
          </w:p>
        </w:tc>
      </w:tr>
      <w:tr>
        <w:trPr>
          <w:trHeight w:val="230"/>
        </w:trPr>
        <w:tc>
          <w:tcPr>
            <w:tcW w:w="20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August 3, 2023</w:t>
            </w:r>
          </w:p>
        </w:tc>
        <w:tc>
          <w:tcPr>
            <w:tcW w:w="100" w:type="dxa"/>
            <w:vAlign w:val="bottom"/>
            <w:shd w:val="clear" w:color="auto" w:fill="CFEDF9"/>
          </w:tcPr>
          <w:p>
            <w:pPr>
              <w:spacing w:after="0"/>
              <w:rPr>
                <w:sz w:val="19"/>
                <w:szCs w:val="19"/>
                <w:color w:val="auto"/>
              </w:rPr>
            </w:pPr>
          </w:p>
        </w:tc>
        <w:tc>
          <w:tcPr>
            <w:tcW w:w="134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20" w:type="dxa"/>
            <w:vAlign w:val="bottom"/>
            <w:shd w:val="clear" w:color="auto" w:fill="CFEDF9"/>
          </w:tcPr>
          <w:p>
            <w:pPr>
              <w:spacing w:after="0"/>
              <w:rPr>
                <w:sz w:val="19"/>
                <w:szCs w:val="19"/>
                <w:color w:val="auto"/>
              </w:rPr>
            </w:pPr>
          </w:p>
        </w:tc>
        <w:tc>
          <w:tcPr>
            <w:tcW w:w="2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August 31, 2023</w:t>
            </w:r>
          </w:p>
        </w:tc>
        <w:tc>
          <w:tcPr>
            <w:tcW w:w="120" w:type="dxa"/>
            <w:vAlign w:val="bottom"/>
            <w:shd w:val="clear" w:color="auto" w:fill="CFEDF9"/>
          </w:tcPr>
          <w:p>
            <w:pPr>
              <w:spacing w:after="0"/>
              <w:rPr>
                <w:sz w:val="19"/>
                <w:szCs w:val="19"/>
                <w:color w:val="auto"/>
              </w:rPr>
            </w:pPr>
          </w:p>
        </w:tc>
        <w:tc>
          <w:tcPr>
            <w:tcW w:w="20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September 20, 2023</w:t>
            </w: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35,504</w:t>
            </w:r>
          </w:p>
        </w:tc>
        <w:tc>
          <w:tcPr>
            <w:tcW w:w="100" w:type="dxa"/>
            <w:vAlign w:val="bottom"/>
            <w:shd w:val="clear" w:color="auto" w:fill="CFEDF9"/>
          </w:tcPr>
          <w:p>
            <w:pPr>
              <w:spacing w:after="0"/>
              <w:rPr>
                <w:sz w:val="19"/>
                <w:szCs w:val="19"/>
                <w:color w:val="auto"/>
              </w:rPr>
            </w:pP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231F20"/>
              </w:rPr>
              <w:t>August 3, 2023</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Base</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September 15, 2023</w:t>
            </w:r>
          </w:p>
        </w:tc>
        <w:tc>
          <w:tcPr>
            <w:tcW w:w="120" w:type="dxa"/>
            <w:vAlign w:val="bottom"/>
          </w:tcPr>
          <w:p>
            <w:pPr>
              <w:spacing w:after="0"/>
              <w:rPr>
                <w:sz w:val="19"/>
                <w:szCs w:val="19"/>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September 29, 2023</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269,763</w:t>
            </w:r>
          </w:p>
        </w:tc>
        <w:tc>
          <w:tcPr>
            <w:tcW w:w="100" w:type="dxa"/>
            <w:vAlign w:val="bottom"/>
          </w:tcPr>
          <w:p>
            <w:pPr>
              <w:spacing w:after="0"/>
              <w:rPr>
                <w:sz w:val="19"/>
                <w:szCs w:val="19"/>
                <w:color w:val="auto"/>
              </w:rPr>
            </w:pPr>
          </w:p>
        </w:tc>
      </w:tr>
      <w:tr>
        <w:trPr>
          <w:trHeight w:val="230"/>
        </w:trPr>
        <w:tc>
          <w:tcPr>
            <w:tcW w:w="20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November 2, 2023</w:t>
            </w:r>
          </w:p>
        </w:tc>
        <w:tc>
          <w:tcPr>
            <w:tcW w:w="100" w:type="dxa"/>
            <w:vAlign w:val="bottom"/>
            <w:shd w:val="clear" w:color="auto" w:fill="CFEDF9"/>
          </w:tcPr>
          <w:p>
            <w:pPr>
              <w:spacing w:after="0"/>
              <w:rPr>
                <w:sz w:val="19"/>
                <w:szCs w:val="19"/>
                <w:color w:val="auto"/>
              </w:rPr>
            </w:pPr>
          </w:p>
        </w:tc>
        <w:tc>
          <w:tcPr>
            <w:tcW w:w="134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20" w:type="dxa"/>
            <w:vAlign w:val="bottom"/>
            <w:shd w:val="clear" w:color="auto" w:fill="CFEDF9"/>
          </w:tcPr>
          <w:p>
            <w:pPr>
              <w:spacing w:after="0"/>
              <w:rPr>
                <w:sz w:val="19"/>
                <w:szCs w:val="19"/>
                <w:color w:val="auto"/>
              </w:rPr>
            </w:pPr>
          </w:p>
        </w:tc>
        <w:tc>
          <w:tcPr>
            <w:tcW w:w="2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November 30, 2023</w:t>
            </w:r>
          </w:p>
        </w:tc>
        <w:tc>
          <w:tcPr>
            <w:tcW w:w="120" w:type="dxa"/>
            <w:vAlign w:val="bottom"/>
            <w:shd w:val="clear" w:color="auto" w:fill="CFEDF9"/>
          </w:tcPr>
          <w:p>
            <w:pPr>
              <w:spacing w:after="0"/>
              <w:rPr>
                <w:sz w:val="19"/>
                <w:szCs w:val="19"/>
                <w:color w:val="auto"/>
              </w:rPr>
            </w:pPr>
          </w:p>
        </w:tc>
        <w:tc>
          <w:tcPr>
            <w:tcW w:w="20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December 20, 2023</w:t>
            </w: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32,157</w:t>
            </w:r>
          </w:p>
        </w:tc>
        <w:tc>
          <w:tcPr>
            <w:tcW w:w="100" w:type="dxa"/>
            <w:vAlign w:val="bottom"/>
            <w:shd w:val="clear" w:color="auto" w:fill="CFEDF9"/>
          </w:tcPr>
          <w:p>
            <w:pPr>
              <w:spacing w:after="0"/>
              <w:rPr>
                <w:sz w:val="19"/>
                <w:szCs w:val="19"/>
                <w:color w:val="auto"/>
              </w:rPr>
            </w:pPr>
          </w:p>
        </w:tc>
      </w:tr>
      <w:tr>
        <w:trPr>
          <w:trHeight w:val="230"/>
        </w:trPr>
        <w:tc>
          <w:tcPr>
            <w:tcW w:w="20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November 2, 2023</w:t>
            </w:r>
          </w:p>
        </w:tc>
        <w:tc>
          <w:tcPr>
            <w:tcW w:w="100" w:type="dxa"/>
            <w:vAlign w:val="bottom"/>
            <w:tcBorders>
              <w:bottom w:val="single" w:sz="8" w:color="CFEDF9"/>
            </w:tcBorders>
          </w:tcPr>
          <w:p>
            <w:pPr>
              <w:spacing w:after="0"/>
              <w:rPr>
                <w:sz w:val="19"/>
                <w:szCs w:val="19"/>
                <w:color w:val="auto"/>
              </w:rPr>
            </w:pPr>
          </w:p>
        </w:tc>
        <w:tc>
          <w:tcPr>
            <w:tcW w:w="1340" w:type="dxa"/>
            <w:vAlign w:val="bottom"/>
            <w:tcBorders>
              <w:bottom w:val="single" w:sz="8" w:color="CFEDF9"/>
            </w:tcBorders>
          </w:tcPr>
          <w:p>
            <w:pPr>
              <w:jc w:val="center"/>
              <w:spacing w:after="0"/>
              <w:rPr>
                <w:sz w:val="20"/>
                <w:szCs w:val="20"/>
                <w:color w:val="auto"/>
              </w:rPr>
            </w:pPr>
            <w:r>
              <w:rPr>
                <w:rFonts w:ascii="Times New Roman" w:cs="Times New Roman" w:eastAsia="Times New Roman" w:hAnsi="Times New Roman"/>
                <w:sz w:val="20"/>
                <w:szCs w:val="20"/>
                <w:color w:val="231F20"/>
                <w:w w:val="97"/>
              </w:rPr>
              <w:t>Base</w:t>
            </w:r>
          </w:p>
        </w:tc>
        <w:tc>
          <w:tcPr>
            <w:tcW w:w="120" w:type="dxa"/>
            <w:vAlign w:val="bottom"/>
            <w:tcBorders>
              <w:bottom w:val="single" w:sz="8" w:color="CFEDF9"/>
            </w:tcBorders>
          </w:tcPr>
          <w:p>
            <w:pPr>
              <w:spacing w:after="0"/>
              <w:rPr>
                <w:sz w:val="19"/>
                <w:szCs w:val="19"/>
                <w:color w:val="auto"/>
              </w:rPr>
            </w:pPr>
          </w:p>
        </w:tc>
        <w:tc>
          <w:tcPr>
            <w:tcW w:w="2140" w:type="dxa"/>
            <w:vAlign w:val="bottom"/>
            <w:tcBorders>
              <w:bottom w:val="single" w:sz="8" w:color="CFEDF9"/>
            </w:tcBorders>
          </w:tcPr>
          <w:p>
            <w:pPr>
              <w:jc w:val="right"/>
              <w:spacing w:after="0"/>
              <w:rPr>
                <w:sz w:val="20"/>
                <w:szCs w:val="20"/>
                <w:color w:val="auto"/>
              </w:rPr>
            </w:pPr>
            <w:r>
              <w:rPr>
                <w:rFonts w:ascii="Times New Roman" w:cs="Times New Roman" w:eastAsia="Times New Roman" w:hAnsi="Times New Roman"/>
                <w:sz w:val="20"/>
                <w:szCs w:val="20"/>
                <w:color w:val="231F20"/>
              </w:rPr>
              <w:t>December 15, 2023</w:t>
            </w:r>
          </w:p>
        </w:tc>
        <w:tc>
          <w:tcPr>
            <w:tcW w:w="120" w:type="dxa"/>
            <w:vAlign w:val="bottom"/>
            <w:tcBorders>
              <w:bottom w:val="single" w:sz="8" w:color="CFEDF9"/>
            </w:tcBorders>
          </w:tcPr>
          <w:p>
            <w:pPr>
              <w:spacing w:after="0"/>
              <w:rPr>
                <w:sz w:val="19"/>
                <w:szCs w:val="19"/>
                <w:color w:val="auto"/>
              </w:rPr>
            </w:pPr>
          </w:p>
        </w:tc>
        <w:tc>
          <w:tcPr>
            <w:tcW w:w="2060" w:type="dxa"/>
            <w:vAlign w:val="bottom"/>
            <w:tcBorders>
              <w:bottom w:val="single" w:sz="8" w:color="CFEDF9"/>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December 29, 2023</w:t>
            </w:r>
          </w:p>
        </w:tc>
        <w:tc>
          <w:tcPr>
            <w:tcW w:w="1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250,844</w:t>
            </w:r>
          </w:p>
        </w:tc>
        <w:tc>
          <w:tcPr>
            <w:tcW w:w="100" w:type="dxa"/>
            <w:vAlign w:val="bottom"/>
            <w:tcBorders>
              <w:bottom w:val="single" w:sz="8" w:color="CFEDF9"/>
            </w:tcBorders>
          </w:tcPr>
          <w:p>
            <w:pPr>
              <w:spacing w:after="0"/>
              <w:rPr>
                <w:sz w:val="19"/>
                <w:szCs w:val="19"/>
                <w:color w:val="auto"/>
              </w:rPr>
            </w:pPr>
          </w:p>
        </w:tc>
      </w:tr>
      <w:tr>
        <w:trPr>
          <w:trHeight w:val="220"/>
        </w:trPr>
        <w:tc>
          <w:tcPr>
            <w:tcW w:w="206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Shares Issued</w:t>
            </w:r>
          </w:p>
        </w:tc>
        <w:tc>
          <w:tcPr>
            <w:tcW w:w="100" w:type="dxa"/>
            <w:vAlign w:val="bottom"/>
            <w:shd w:val="clear" w:color="auto" w:fill="CFEDF9"/>
          </w:tcPr>
          <w:p>
            <w:pPr>
              <w:spacing w:after="0"/>
              <w:rPr>
                <w:sz w:val="19"/>
                <w:szCs w:val="19"/>
                <w:color w:val="auto"/>
              </w:rPr>
            </w:pPr>
          </w:p>
        </w:tc>
        <w:tc>
          <w:tcPr>
            <w:tcW w:w="134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214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94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6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1,265,212</w:t>
            </w:r>
          </w:p>
        </w:tc>
        <w:tc>
          <w:tcPr>
            <w:tcW w:w="100" w:type="dxa"/>
            <w:vAlign w:val="bottom"/>
            <w:shd w:val="clear" w:color="auto" w:fill="CFEDF9"/>
          </w:tcPr>
          <w:p>
            <w:pPr>
              <w:spacing w:after="0"/>
              <w:rPr>
                <w:sz w:val="19"/>
                <w:szCs w:val="19"/>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720" w:top="930"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F-40</w:t>
      </w:r>
    </w:p>
    <w:p>
      <w:pPr>
        <w:sectPr>
          <w:pgSz w:w="12240" w:h="15840" w:orient="portrait"/>
          <w:cols w:equalWidth="0" w:num="1">
            <w:col w:w="10760"/>
          </w:cols>
          <w:pgMar w:left="720" w:top="930" w:right="760" w:bottom="186" w:gutter="0" w:footer="0" w:header="0"/>
          <w:type w:val="continuous"/>
        </w:sectPr>
      </w:pPr>
    </w:p>
    <w:bookmarkStart w:id="125" w:name="page126"/>
    <w:bookmarkEnd w:id="125"/>
    <w:tbl>
      <w:tblPr>
        <w:tblLayout w:type="fixed"/>
        <w:tblInd w:w="54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gridSpan w:val="4"/>
          </w:tcPr>
          <w:p>
            <w:pPr>
              <w:jc w:val="right"/>
              <w:ind w:right="170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4320" w:type="dxa"/>
            <w:vAlign w:val="bottom"/>
            <w:tcBorders>
              <w:bottom w:val="single" w:sz="8" w:color="231F20"/>
            </w:tcBorders>
            <w:gridSpan w:val="4"/>
          </w:tcPr>
          <w:p>
            <w:pPr>
              <w:jc w:val="right"/>
              <w:ind w:right="146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68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right"/>
              <w:ind w:right="940"/>
              <w:spacing w:after="0" w:line="155" w:lineRule="exact"/>
              <w:rPr>
                <w:sz w:val="20"/>
                <w:szCs w:val="20"/>
                <w:color w:val="auto"/>
              </w:rPr>
            </w:pPr>
            <w:r>
              <w:rPr>
                <w:rFonts w:ascii="Times New Roman" w:cs="Times New Roman" w:eastAsia="Times New Roman" w:hAnsi="Times New Roman"/>
                <w:sz w:val="16"/>
                <w:szCs w:val="16"/>
                <w:b w:val="1"/>
                <w:bCs w:val="1"/>
                <w:color w:val="231F20"/>
              </w:rPr>
              <w:t>Date</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Date Declared</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 xml:space="preserve">Dividend </w:t>
            </w:r>
            <w:r>
              <w:rPr>
                <w:rFonts w:ascii="Times New Roman" w:cs="Times New Roman" w:eastAsia="Times New Roman" w:hAnsi="Times New Roman"/>
                <w:sz w:val="10"/>
                <w:szCs w:val="10"/>
                <w:b w:val="1"/>
                <w:bCs w:val="1"/>
                <w:color w:val="231F20"/>
              </w:rPr>
              <w:t>(1)</w:t>
            </w:r>
          </w:p>
        </w:tc>
        <w:tc>
          <w:tcPr>
            <w:tcW w:w="120" w:type="dxa"/>
            <w:vAlign w:val="bottom"/>
          </w:tcPr>
          <w:p>
            <w:pPr>
              <w:spacing w:after="0"/>
              <w:rPr>
                <w:sz w:val="17"/>
                <w:szCs w:val="17"/>
                <w:color w:val="auto"/>
              </w:rPr>
            </w:pPr>
          </w:p>
        </w:tc>
        <w:tc>
          <w:tcPr>
            <w:tcW w:w="226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231F20"/>
              </w:rPr>
              <w:t>Record Date</w:t>
            </w:r>
          </w:p>
        </w:tc>
        <w:tc>
          <w:tcPr>
            <w:tcW w:w="20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231F20"/>
              </w:rPr>
              <w:t>Shares Issued</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231F20"/>
              </w:rPr>
              <w:t>Shares Issued</w:t>
            </w:r>
          </w:p>
        </w:tc>
        <w:tc>
          <w:tcPr>
            <w:tcW w:w="100" w:type="dxa"/>
            <w:vAlign w:val="bottom"/>
          </w:tcPr>
          <w:p>
            <w:pPr>
              <w:spacing w:after="0"/>
              <w:rPr>
                <w:sz w:val="17"/>
                <w:szCs w:val="17"/>
                <w:color w:val="auto"/>
              </w:rPr>
            </w:pPr>
          </w:p>
        </w:tc>
      </w:tr>
      <w:tr>
        <w:trPr>
          <w:trHeight w:val="220"/>
        </w:trPr>
        <w:tc>
          <w:tcPr>
            <w:tcW w:w="1940" w:type="dxa"/>
            <w:vAlign w:val="bottom"/>
            <w:tcBorders>
              <w:top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November 2, 2021</w:t>
            </w:r>
          </w:p>
        </w:tc>
        <w:tc>
          <w:tcPr>
            <w:tcW w:w="120" w:type="dxa"/>
            <w:vAlign w:val="bottom"/>
            <w:tcBorders>
              <w:top w:val="single" w:sz="8" w:color="CFEDF9"/>
            </w:tcBorders>
            <w:shd w:val="clear" w:color="auto" w:fill="CFEDF9"/>
          </w:tcPr>
          <w:p>
            <w:pPr>
              <w:spacing w:after="0"/>
              <w:rPr>
                <w:sz w:val="19"/>
                <w:szCs w:val="19"/>
                <w:color w:val="auto"/>
              </w:rPr>
            </w:pPr>
          </w:p>
        </w:tc>
        <w:tc>
          <w:tcPr>
            <w:tcW w:w="1440" w:type="dxa"/>
            <w:vAlign w:val="bottom"/>
            <w:tcBorders>
              <w:top w:val="single" w:sz="8" w:color="231F20"/>
            </w:tcBorders>
            <w:shd w:val="clear" w:color="auto" w:fill="CFEDF9"/>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7"/>
              </w:rPr>
              <w:t>Base</w:t>
            </w:r>
          </w:p>
        </w:tc>
        <w:tc>
          <w:tcPr>
            <w:tcW w:w="120" w:type="dxa"/>
            <w:vAlign w:val="bottom"/>
            <w:tcBorders>
              <w:top w:val="single" w:sz="8" w:color="CFEDF9"/>
            </w:tcBorders>
            <w:shd w:val="clear" w:color="auto" w:fill="CFEDF9"/>
          </w:tcPr>
          <w:p>
            <w:pPr>
              <w:spacing w:after="0"/>
              <w:rPr>
                <w:sz w:val="19"/>
                <w:szCs w:val="19"/>
                <w:color w:val="auto"/>
              </w:rPr>
            </w:pPr>
          </w:p>
        </w:tc>
        <w:tc>
          <w:tcPr>
            <w:tcW w:w="21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December 15, 2021</w:t>
            </w:r>
          </w:p>
        </w:tc>
        <w:tc>
          <w:tcPr>
            <w:tcW w:w="120" w:type="dxa"/>
            <w:vAlign w:val="bottom"/>
            <w:tcBorders>
              <w:top w:val="single" w:sz="8" w:color="CFEDF9"/>
            </w:tcBorders>
            <w:shd w:val="clear" w:color="auto" w:fill="CFEDF9"/>
          </w:tcPr>
          <w:p>
            <w:pPr>
              <w:spacing w:after="0"/>
              <w:rPr>
                <w:sz w:val="19"/>
                <w:szCs w:val="19"/>
                <w:color w:val="auto"/>
              </w:rPr>
            </w:pPr>
          </w:p>
        </w:tc>
        <w:tc>
          <w:tcPr>
            <w:tcW w:w="19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January 14, 2022</w:t>
            </w:r>
          </w:p>
        </w:tc>
        <w:tc>
          <w:tcPr>
            <w:tcW w:w="120" w:type="dxa"/>
            <w:vAlign w:val="bottom"/>
            <w:tcBorders>
              <w:top w:val="single" w:sz="8" w:color="CFEDF9"/>
            </w:tcBorders>
            <w:shd w:val="clear" w:color="auto" w:fill="CFEDF9"/>
          </w:tcPr>
          <w:p>
            <w:pPr>
              <w:spacing w:after="0"/>
              <w:rPr>
                <w:sz w:val="19"/>
                <w:szCs w:val="19"/>
                <w:color w:val="auto"/>
              </w:rPr>
            </w:pPr>
          </w:p>
        </w:tc>
        <w:tc>
          <w:tcPr>
            <w:tcW w:w="16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233,542</w:t>
            </w:r>
          </w:p>
        </w:tc>
        <w:tc>
          <w:tcPr>
            <w:tcW w:w="100" w:type="dxa"/>
            <w:vAlign w:val="bottom"/>
            <w:tcBorders>
              <w:top w:val="single" w:sz="8" w:color="CFEDF9"/>
            </w:tcBorders>
            <w:shd w:val="clear" w:color="auto" w:fill="CFEDF9"/>
          </w:tcPr>
          <w:p>
            <w:pPr>
              <w:spacing w:after="0"/>
              <w:rPr>
                <w:sz w:val="19"/>
                <w:szCs w:val="19"/>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February 17, 2022</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February 28, 2022</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31, 2022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65,596</w:t>
            </w:r>
          </w:p>
        </w:tc>
        <w:tc>
          <w:tcPr>
            <w:tcW w:w="100" w:type="dxa"/>
            <w:vAlign w:val="bottom"/>
          </w:tcPr>
          <w:p>
            <w:pPr>
              <w:spacing w:after="0"/>
              <w:rPr>
                <w:sz w:val="19"/>
                <w:szCs w:val="19"/>
                <w:color w:val="auto"/>
              </w:rPr>
            </w:pPr>
          </w:p>
        </w:tc>
      </w:tr>
      <w:tr>
        <w:trPr>
          <w:trHeight w:val="230"/>
        </w:trPr>
        <w:tc>
          <w:tcPr>
            <w:tcW w:w="1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February 17, 2022</w:t>
            </w:r>
          </w:p>
        </w:tc>
        <w:tc>
          <w:tcPr>
            <w:tcW w:w="120" w:type="dxa"/>
            <w:vAlign w:val="bottom"/>
            <w:shd w:val="clear" w:color="auto" w:fill="CFEDF9"/>
          </w:tcPr>
          <w:p>
            <w:pPr>
              <w:spacing w:after="0"/>
              <w:rPr>
                <w:sz w:val="19"/>
                <w:szCs w:val="19"/>
                <w:color w:val="auto"/>
              </w:rPr>
            </w:pPr>
          </w:p>
        </w:tc>
        <w:tc>
          <w:tcPr>
            <w:tcW w:w="144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7"/>
              </w:rPr>
              <w:t>Base</w:t>
            </w:r>
          </w:p>
        </w:tc>
        <w:tc>
          <w:tcPr>
            <w:tcW w:w="120" w:type="dxa"/>
            <w:vAlign w:val="bottom"/>
            <w:shd w:val="clear" w:color="auto" w:fill="CFEDF9"/>
          </w:tcPr>
          <w:p>
            <w:pPr>
              <w:spacing w:after="0"/>
              <w:rPr>
                <w:sz w:val="19"/>
                <w:szCs w:val="19"/>
                <w:color w:val="auto"/>
              </w:rPr>
            </w:pPr>
          </w:p>
        </w:tc>
        <w:tc>
          <w:tcPr>
            <w:tcW w:w="2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March 15, 2022</w:t>
            </w:r>
          </w:p>
        </w:tc>
        <w:tc>
          <w:tcPr>
            <w:tcW w:w="120" w:type="dxa"/>
            <w:vAlign w:val="bottom"/>
            <w:shd w:val="clear" w:color="auto" w:fill="CFEDF9"/>
          </w:tcPr>
          <w:p>
            <w:pPr>
              <w:spacing w:after="0"/>
              <w:rPr>
                <w:sz w:val="19"/>
                <w:szCs w:val="19"/>
                <w:color w:val="auto"/>
              </w:rPr>
            </w:pPr>
          </w:p>
        </w:tc>
        <w:tc>
          <w:tcPr>
            <w:tcW w:w="20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April 18, 2022</w:t>
            </w: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239,376</w:t>
            </w:r>
          </w:p>
        </w:tc>
        <w:tc>
          <w:tcPr>
            <w:tcW w:w="100" w:type="dxa"/>
            <w:vAlign w:val="bottom"/>
            <w:shd w:val="clear" w:color="auto" w:fill="CFEDF9"/>
          </w:tcPr>
          <w:p>
            <w:pPr>
              <w:spacing w:after="0"/>
              <w:rPr>
                <w:sz w:val="19"/>
                <w:szCs w:val="19"/>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May 3, 2022</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May 31, 2022</w:t>
            </w:r>
          </w:p>
        </w:tc>
        <w:tc>
          <w:tcPr>
            <w:tcW w:w="120" w:type="dxa"/>
            <w:vAlign w:val="bottom"/>
          </w:tcPr>
          <w:p>
            <w:pPr>
              <w:spacing w:after="0"/>
              <w:rPr>
                <w:sz w:val="19"/>
                <w:szCs w:val="19"/>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June 30, 2022</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29,459</w:t>
            </w:r>
          </w:p>
        </w:tc>
        <w:tc>
          <w:tcPr>
            <w:tcW w:w="100" w:type="dxa"/>
            <w:vAlign w:val="bottom"/>
          </w:tcPr>
          <w:p>
            <w:pPr>
              <w:spacing w:after="0"/>
              <w:rPr>
                <w:sz w:val="19"/>
                <w:szCs w:val="19"/>
                <w:color w:val="auto"/>
              </w:rPr>
            </w:pPr>
          </w:p>
        </w:tc>
      </w:tr>
      <w:tr>
        <w:trPr>
          <w:trHeight w:val="230"/>
        </w:trPr>
        <w:tc>
          <w:tcPr>
            <w:tcW w:w="1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May 3, 2022</w:t>
            </w:r>
          </w:p>
        </w:tc>
        <w:tc>
          <w:tcPr>
            <w:tcW w:w="120" w:type="dxa"/>
            <w:vAlign w:val="bottom"/>
            <w:shd w:val="clear" w:color="auto" w:fill="CFEDF9"/>
          </w:tcPr>
          <w:p>
            <w:pPr>
              <w:spacing w:after="0"/>
              <w:rPr>
                <w:sz w:val="19"/>
                <w:szCs w:val="19"/>
                <w:color w:val="auto"/>
              </w:rPr>
            </w:pPr>
          </w:p>
        </w:tc>
        <w:tc>
          <w:tcPr>
            <w:tcW w:w="144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7"/>
              </w:rPr>
              <w:t>Base</w:t>
            </w:r>
          </w:p>
        </w:tc>
        <w:tc>
          <w:tcPr>
            <w:tcW w:w="120" w:type="dxa"/>
            <w:vAlign w:val="bottom"/>
            <w:shd w:val="clear" w:color="auto" w:fill="CFEDF9"/>
          </w:tcPr>
          <w:p>
            <w:pPr>
              <w:spacing w:after="0"/>
              <w:rPr>
                <w:sz w:val="19"/>
                <w:szCs w:val="19"/>
                <w:color w:val="auto"/>
              </w:rPr>
            </w:pPr>
          </w:p>
        </w:tc>
        <w:tc>
          <w:tcPr>
            <w:tcW w:w="2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June 15, 2022</w:t>
            </w:r>
          </w:p>
        </w:tc>
        <w:tc>
          <w:tcPr>
            <w:tcW w:w="120" w:type="dxa"/>
            <w:vAlign w:val="bottom"/>
            <w:shd w:val="clear" w:color="auto" w:fill="CFEDF9"/>
          </w:tcPr>
          <w:p>
            <w:pPr>
              <w:spacing w:after="0"/>
              <w:rPr>
                <w:sz w:val="19"/>
                <w:szCs w:val="19"/>
                <w:color w:val="auto"/>
              </w:rPr>
            </w:pPr>
          </w:p>
        </w:tc>
        <w:tc>
          <w:tcPr>
            <w:tcW w:w="20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July 15, 2022</w:t>
            </w: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294,337</w:t>
            </w:r>
          </w:p>
        </w:tc>
        <w:tc>
          <w:tcPr>
            <w:tcW w:w="100" w:type="dxa"/>
            <w:vAlign w:val="bottom"/>
            <w:shd w:val="clear" w:color="auto" w:fill="CFEDF9"/>
          </w:tcPr>
          <w:p>
            <w:pPr>
              <w:spacing w:after="0"/>
              <w:rPr>
                <w:sz w:val="19"/>
                <w:szCs w:val="19"/>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231F20"/>
              </w:rPr>
              <w:t>August 2, 2022</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Base</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September 15, 2022</w:t>
            </w:r>
          </w:p>
        </w:tc>
        <w:tc>
          <w:tcPr>
            <w:tcW w:w="120" w:type="dxa"/>
            <w:vAlign w:val="bottom"/>
          </w:tcPr>
          <w:p>
            <w:pPr>
              <w:spacing w:after="0"/>
              <w:rPr>
                <w:sz w:val="19"/>
                <w:szCs w:val="19"/>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September 30, 2022</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357,530</w:t>
            </w:r>
          </w:p>
        </w:tc>
        <w:tc>
          <w:tcPr>
            <w:tcW w:w="100" w:type="dxa"/>
            <w:vAlign w:val="bottom"/>
          </w:tcPr>
          <w:p>
            <w:pPr>
              <w:spacing w:after="0"/>
              <w:rPr>
                <w:sz w:val="19"/>
                <w:szCs w:val="19"/>
                <w:color w:val="auto"/>
              </w:rPr>
            </w:pPr>
          </w:p>
        </w:tc>
      </w:tr>
      <w:tr>
        <w:trPr>
          <w:trHeight w:val="230"/>
        </w:trPr>
        <w:tc>
          <w:tcPr>
            <w:tcW w:w="19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November 1, 2022</w:t>
            </w:r>
          </w:p>
        </w:tc>
        <w:tc>
          <w:tcPr>
            <w:tcW w:w="120" w:type="dxa"/>
            <w:vAlign w:val="bottom"/>
            <w:shd w:val="clear" w:color="auto" w:fill="CFEDF9"/>
          </w:tcPr>
          <w:p>
            <w:pPr>
              <w:spacing w:after="0"/>
              <w:rPr>
                <w:sz w:val="19"/>
                <w:szCs w:val="19"/>
                <w:color w:val="auto"/>
              </w:rPr>
            </w:pPr>
          </w:p>
        </w:tc>
        <w:tc>
          <w:tcPr>
            <w:tcW w:w="144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7"/>
              </w:rPr>
              <w:t>Base</w:t>
            </w:r>
          </w:p>
        </w:tc>
        <w:tc>
          <w:tcPr>
            <w:tcW w:w="120" w:type="dxa"/>
            <w:vAlign w:val="bottom"/>
            <w:shd w:val="clear" w:color="auto" w:fill="CFEDF9"/>
          </w:tcPr>
          <w:p>
            <w:pPr>
              <w:spacing w:after="0"/>
              <w:rPr>
                <w:sz w:val="19"/>
                <w:szCs w:val="19"/>
                <w:color w:val="auto"/>
              </w:rPr>
            </w:pPr>
          </w:p>
        </w:tc>
        <w:tc>
          <w:tcPr>
            <w:tcW w:w="2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December 15, 2022</w:t>
            </w:r>
          </w:p>
        </w:tc>
        <w:tc>
          <w:tcPr>
            <w:tcW w:w="120" w:type="dxa"/>
            <w:vAlign w:val="bottom"/>
            <w:shd w:val="clear" w:color="auto" w:fill="CFEDF9"/>
          </w:tcPr>
          <w:p>
            <w:pPr>
              <w:spacing w:after="0"/>
              <w:rPr>
                <w:sz w:val="19"/>
                <w:szCs w:val="19"/>
                <w:color w:val="auto"/>
              </w:rPr>
            </w:pPr>
          </w:p>
        </w:tc>
        <w:tc>
          <w:tcPr>
            <w:tcW w:w="20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December 30, 2022</w:t>
            </w:r>
          </w:p>
        </w:tc>
        <w:tc>
          <w:tcPr>
            <w:tcW w:w="16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405,986</w:t>
            </w:r>
          </w:p>
        </w:tc>
        <w:tc>
          <w:tcPr>
            <w:tcW w:w="100" w:type="dxa"/>
            <w:vAlign w:val="bottom"/>
            <w:shd w:val="clear" w:color="auto" w:fill="CFEDF9"/>
          </w:tcPr>
          <w:p>
            <w:pPr>
              <w:spacing w:after="0"/>
              <w:rPr>
                <w:sz w:val="19"/>
                <w:szCs w:val="19"/>
                <w:color w:val="auto"/>
              </w:rPr>
            </w:pPr>
          </w:p>
        </w:tc>
      </w:tr>
      <w:tr>
        <w:trPr>
          <w:trHeight w:val="220"/>
        </w:trPr>
        <w:tc>
          <w:tcPr>
            <w:tcW w:w="19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Shares Issued</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1,625,826</w:t>
            </w:r>
          </w:p>
        </w:tc>
        <w:tc>
          <w:tcPr>
            <w:tcW w:w="10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left="500" w:hanging="500"/>
        <w:spacing w:after="0"/>
        <w:tabs>
          <w:tab w:leader="none" w:pos="500" w:val="left"/>
        </w:tabs>
        <w:numPr>
          <w:ilvl w:val="0"/>
          <w:numId w:val="10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See Note 11 for further information on base, supplemental and special dividends.</w:t>
      </w:r>
    </w:p>
    <w:p>
      <w:pPr>
        <w:spacing w:after="0" w:line="240"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20"/>
          <w:szCs w:val="20"/>
          <w:color w:val="231F20"/>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w:t>
      </w:r>
    </w:p>
    <w:p>
      <w:pPr>
        <w:spacing w:after="0" w:line="197" w:lineRule="exact"/>
        <w:rPr>
          <w:sz w:val="20"/>
          <w:szCs w:val="20"/>
          <w:color w:val="auto"/>
        </w:rPr>
      </w:pPr>
    </w:p>
    <w:p>
      <w:pPr>
        <w:jc w:val="center"/>
        <w:ind w:right="80"/>
        <w:spacing w:after="0" w:line="277" w:lineRule="auto"/>
        <w:rPr>
          <w:sz w:val="20"/>
          <w:szCs w:val="20"/>
          <w:color w:val="auto"/>
        </w:rPr>
      </w:pPr>
      <w:r>
        <w:rPr>
          <w:rFonts w:ascii="Times New Roman" w:cs="Times New Roman" w:eastAsia="Times New Roman" w:hAnsi="Times New Roman"/>
          <w:sz w:val="20"/>
          <w:szCs w:val="20"/>
          <w:color w:val="231F20"/>
        </w:rPr>
        <w:t>During the year ended December 31, 2023, no shares were repurchased. For the year ended December 31, 2022, the Company repurchased 368,206 shares at a weighted average price per share of $16.75 inclusive of commissions, for a total cost of $6.2 million.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Earnings per share</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following table sets forth the computation of basic and diluted earnings per common share:</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c>
          <w:tcPr>
            <w:tcW w:w="26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43"/>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45"/>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63"/>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100" w:type="dxa"/>
            <w:vAlign w:val="bottom"/>
          </w:tcPr>
          <w:p>
            <w:pPr>
              <w:spacing w:after="0"/>
              <w:rPr>
                <w:sz w:val="13"/>
                <w:szCs w:val="13"/>
                <w:color w:val="auto"/>
              </w:rPr>
            </w:pPr>
          </w:p>
        </w:tc>
      </w:tr>
      <w:tr>
        <w:trPr>
          <w:trHeight w:val="203"/>
        </w:trPr>
        <w:tc>
          <w:tcPr>
            <w:tcW w:w="538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40" w:type="dxa"/>
            <w:vAlign w:val="bottom"/>
            <w:tcBorders>
              <w:bottom w:val="single" w:sz="8" w:color="CFEDF9"/>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26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00" w:type="dxa"/>
            <w:vAlign w:val="bottom"/>
            <w:tcBorders>
              <w:bottom w:val="single" w:sz="8" w:color="CFEDF9"/>
            </w:tcBorders>
          </w:tcPr>
          <w:p>
            <w:pPr>
              <w:spacing w:after="0"/>
              <w:rPr>
                <w:sz w:val="17"/>
                <w:szCs w:val="17"/>
                <w:color w:val="auto"/>
              </w:rPr>
            </w:pPr>
          </w:p>
        </w:tc>
      </w:tr>
      <w:tr>
        <w:trPr>
          <w:trHeight w:val="220"/>
        </w:trPr>
        <w:tc>
          <w:tcPr>
            <w:tcW w:w="538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Earnings per common share—basic</w:t>
            </w: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0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12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Numerator for basic earnings per share</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222,023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108,053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211,780</w:t>
            </w:r>
          </w:p>
        </w:tc>
        <w:tc>
          <w:tcPr>
            <w:tcW w:w="100" w:type="dxa"/>
            <w:vAlign w:val="bottom"/>
          </w:tcPr>
          <w:p>
            <w:pPr>
              <w:spacing w:after="0"/>
              <w:rPr>
                <w:sz w:val="19"/>
                <w:szCs w:val="19"/>
                <w:color w:val="auto"/>
              </w:rPr>
            </w:pPr>
          </w:p>
        </w:tc>
      </w:tr>
      <w:tr>
        <w:trPr>
          <w:trHeight w:val="210"/>
        </w:trPr>
        <w:tc>
          <w:tcPr>
            <w:tcW w:w="5380" w:type="dxa"/>
            <w:vAlign w:val="bottom"/>
            <w:shd w:val="clear" w:color="auto" w:fill="CFEDF9"/>
          </w:tcPr>
          <w:p>
            <w:pPr>
              <w:spacing w:after="0" w:line="210" w:lineRule="exact"/>
              <w:rPr>
                <w:sz w:val="20"/>
                <w:szCs w:val="20"/>
                <w:color w:val="auto"/>
              </w:rPr>
            </w:pPr>
            <w:r>
              <w:rPr>
                <w:rFonts w:ascii="Times New Roman" w:cs="Times New Roman" w:eastAsia="Times New Roman" w:hAnsi="Times New Roman"/>
                <w:sz w:val="20"/>
                <w:szCs w:val="20"/>
                <w:color w:val="231F20"/>
              </w:rPr>
              <w:t>Denominator for basic weighted average</w:t>
            </w:r>
          </w:p>
        </w:tc>
        <w:tc>
          <w:tcPr>
            <w:tcW w:w="2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0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1120" w:type="dxa"/>
            <w:vAlign w:val="bottom"/>
            <w:shd w:val="clear" w:color="auto" w:fill="CFEDF9"/>
          </w:tcPr>
          <w:p>
            <w:pPr>
              <w:spacing w:after="0"/>
              <w:rPr>
                <w:sz w:val="18"/>
                <w:szCs w:val="18"/>
                <w:color w:val="auto"/>
              </w:rPr>
            </w:pPr>
          </w:p>
        </w:tc>
        <w:tc>
          <w:tcPr>
            <w:tcW w:w="26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2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r>
      <w:tr>
        <w:trPr>
          <w:trHeight w:val="249"/>
        </w:trPr>
        <w:tc>
          <w:tcPr>
            <w:tcW w:w="538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shares</w:t>
            </w:r>
          </w:p>
        </w:tc>
        <w:tc>
          <w:tcPr>
            <w:tcW w:w="20" w:type="dxa"/>
            <w:vAlign w:val="bottom"/>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spacing w:after="0"/>
              <w:rPr>
                <w:sz w:val="21"/>
                <w:szCs w:val="21"/>
                <w:color w:val="auto"/>
              </w:rPr>
            </w:pPr>
          </w:p>
        </w:tc>
        <w:tc>
          <w:tcPr>
            <w:tcW w:w="11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85,131,264</w:t>
            </w:r>
          </w:p>
        </w:tc>
        <w:tc>
          <w:tcPr>
            <w:tcW w:w="240" w:type="dxa"/>
            <w:vAlign w:val="bottom"/>
            <w:shd w:val="clear" w:color="auto" w:fill="CFEDF9"/>
          </w:tcPr>
          <w:p>
            <w:pPr>
              <w:spacing w:after="0"/>
              <w:rPr>
                <w:sz w:val="21"/>
                <w:szCs w:val="21"/>
                <w:color w:val="auto"/>
              </w:rPr>
            </w:pPr>
          </w:p>
        </w:tc>
        <w:tc>
          <w:tcPr>
            <w:tcW w:w="140" w:type="dxa"/>
            <w:vAlign w:val="bottom"/>
            <w:tcBorders>
              <w:bottom w:val="single" w:sz="8" w:color="231F20"/>
            </w:tcBorders>
            <w:shd w:val="clear" w:color="auto" w:fill="CFEDF9"/>
          </w:tcPr>
          <w:p>
            <w:pPr>
              <w:spacing w:after="0"/>
              <w:rPr>
                <w:sz w:val="21"/>
                <w:szCs w:val="21"/>
                <w:color w:val="auto"/>
              </w:rPr>
            </w:pPr>
          </w:p>
        </w:tc>
        <w:tc>
          <w:tcPr>
            <w:tcW w:w="1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78,197,826</w:t>
            </w:r>
          </w:p>
        </w:tc>
        <w:tc>
          <w:tcPr>
            <w:tcW w:w="260" w:type="dxa"/>
            <w:vAlign w:val="bottom"/>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spacing w:after="0"/>
              <w:rPr>
                <w:sz w:val="21"/>
                <w:szCs w:val="21"/>
                <w:color w:val="auto"/>
              </w:rPr>
            </w:pPr>
          </w:p>
        </w:tc>
        <w:tc>
          <w:tcPr>
            <w:tcW w:w="1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72,169,488</w:t>
            </w:r>
          </w:p>
        </w:tc>
        <w:tc>
          <w:tcPr>
            <w:tcW w:w="100" w:type="dxa"/>
            <w:vAlign w:val="bottom"/>
            <w:shd w:val="clear" w:color="auto" w:fill="CFEDF9"/>
          </w:tcPr>
          <w:p>
            <w:pPr>
              <w:spacing w:after="0"/>
              <w:rPr>
                <w:sz w:val="21"/>
                <w:szCs w:val="21"/>
                <w:color w:val="auto"/>
              </w:rPr>
            </w:pPr>
          </w:p>
        </w:tc>
      </w:tr>
      <w:tr>
        <w:trPr>
          <w:trHeight w:val="220"/>
        </w:trPr>
        <w:tc>
          <w:tcPr>
            <w:tcW w:w="5380" w:type="dxa"/>
            <w:vAlign w:val="bottom"/>
            <w:tcBorders>
              <w:bottom w:val="single" w:sz="8" w:color="CFEDF9"/>
            </w:tcBorders>
          </w:tcPr>
          <w:p>
            <w:pPr>
              <w:spacing w:after="0" w:line="220" w:lineRule="exact"/>
              <w:rPr>
                <w:sz w:val="20"/>
                <w:szCs w:val="20"/>
                <w:color w:val="auto"/>
              </w:rPr>
            </w:pPr>
            <w:r>
              <w:rPr>
                <w:rFonts w:ascii="Times New Roman" w:cs="Times New Roman" w:eastAsia="Times New Roman" w:hAnsi="Times New Roman"/>
                <w:sz w:val="20"/>
                <w:szCs w:val="20"/>
                <w:color w:val="231F20"/>
              </w:rPr>
              <w:t>Earnings per common share—basic</w:t>
            </w:r>
          </w:p>
        </w:tc>
        <w:tc>
          <w:tcPr>
            <w:tcW w:w="20" w:type="dxa"/>
            <w:vAlign w:val="bottom"/>
            <w:tcBorders>
              <w:bottom w:val="single" w:sz="8" w:color="CFEDF9"/>
            </w:tcBorders>
          </w:tcPr>
          <w:p>
            <w:pPr>
              <w:spacing w:after="0"/>
              <w:rPr>
                <w:sz w:val="19"/>
                <w:szCs w:val="19"/>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2.61</w:t>
            </w:r>
          </w:p>
        </w:tc>
        <w:tc>
          <w:tcPr>
            <w:tcW w:w="24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1.38</w:t>
            </w:r>
          </w:p>
        </w:tc>
        <w:tc>
          <w:tcPr>
            <w:tcW w:w="260" w:type="dxa"/>
            <w:vAlign w:val="bottom"/>
            <w:tcBorders>
              <w:bottom w:val="single" w:sz="8" w:color="CFEDF9"/>
            </w:tcBorders>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2.93</w:t>
            </w:r>
          </w:p>
        </w:tc>
        <w:tc>
          <w:tcPr>
            <w:tcW w:w="100" w:type="dxa"/>
            <w:vAlign w:val="bottom"/>
            <w:tcBorders>
              <w:bottom w:val="single" w:sz="8" w:color="CFEDF9"/>
            </w:tcBorders>
          </w:tcPr>
          <w:p>
            <w:pPr>
              <w:spacing w:after="0"/>
              <w:rPr>
                <w:sz w:val="19"/>
                <w:szCs w:val="19"/>
                <w:color w:val="auto"/>
              </w:rPr>
            </w:pPr>
          </w:p>
        </w:tc>
      </w:tr>
      <w:tr>
        <w:trPr>
          <w:trHeight w:val="220"/>
        </w:trPr>
        <w:tc>
          <w:tcPr>
            <w:tcW w:w="538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Earnings per common share—diluted</w:t>
            </w: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0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12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r>
      <w:tr>
        <w:trPr>
          <w:trHeight w:val="210"/>
        </w:trPr>
        <w:tc>
          <w:tcPr>
            <w:tcW w:w="53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Numerator for increase in net assets per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3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share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222,023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108,053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211,780</w:t>
            </w:r>
          </w:p>
        </w:tc>
        <w:tc>
          <w:tcPr>
            <w:tcW w:w="100" w:type="dxa"/>
            <w:vAlign w:val="bottom"/>
          </w:tcPr>
          <w:p>
            <w:pPr>
              <w:spacing w:after="0"/>
              <w:rPr>
                <w:sz w:val="21"/>
                <w:szCs w:val="21"/>
                <w:color w:val="auto"/>
              </w:rPr>
            </w:pPr>
          </w:p>
        </w:tc>
      </w:tr>
      <w:tr>
        <w:trPr>
          <w:trHeight w:val="210"/>
        </w:trPr>
        <w:tc>
          <w:tcPr>
            <w:tcW w:w="5380" w:type="dxa"/>
            <w:vAlign w:val="bottom"/>
            <w:shd w:val="clear" w:color="auto" w:fill="CFEDF9"/>
          </w:tcPr>
          <w:p>
            <w:pPr>
              <w:spacing w:after="0" w:line="210" w:lineRule="exact"/>
              <w:rPr>
                <w:sz w:val="20"/>
                <w:szCs w:val="20"/>
                <w:color w:val="auto"/>
              </w:rPr>
            </w:pPr>
            <w:r>
              <w:rPr>
                <w:rFonts w:ascii="Times New Roman" w:cs="Times New Roman" w:eastAsia="Times New Roman" w:hAnsi="Times New Roman"/>
                <w:sz w:val="20"/>
                <w:szCs w:val="20"/>
                <w:color w:val="231F20"/>
              </w:rPr>
              <w:t>Adjustment for interest expense and</w:t>
            </w:r>
          </w:p>
        </w:tc>
        <w:tc>
          <w:tcPr>
            <w:tcW w:w="2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0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1120" w:type="dxa"/>
            <w:vAlign w:val="bottom"/>
            <w:shd w:val="clear" w:color="auto" w:fill="CFEDF9"/>
          </w:tcPr>
          <w:p>
            <w:pPr>
              <w:spacing w:after="0"/>
              <w:rPr>
                <w:sz w:val="18"/>
                <w:szCs w:val="18"/>
                <w:color w:val="auto"/>
              </w:rPr>
            </w:pPr>
          </w:p>
        </w:tc>
        <w:tc>
          <w:tcPr>
            <w:tcW w:w="26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2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r>
      <w:tr>
        <w:trPr>
          <w:trHeight w:val="230"/>
        </w:trPr>
        <w:tc>
          <w:tcPr>
            <w:tcW w:w="538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deferred financing costs on 2022 Convertible</w:t>
            </w: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0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120" w:type="dxa"/>
            <w:vAlign w:val="bottom"/>
            <w:shd w:val="clear" w:color="auto" w:fill="CFEDF9"/>
          </w:tcPr>
          <w:p>
            <w:pPr>
              <w:spacing w:after="0"/>
              <w:rPr>
                <w:sz w:val="19"/>
                <w:szCs w:val="19"/>
                <w:color w:val="auto"/>
              </w:rPr>
            </w:pP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r>
      <w:tr>
        <w:trPr>
          <w:trHeight w:val="249"/>
        </w:trPr>
        <w:tc>
          <w:tcPr>
            <w:tcW w:w="538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Notes, incentive fee and excise tax, net</w:t>
            </w:r>
          </w:p>
        </w:tc>
        <w:tc>
          <w:tcPr>
            <w:tcW w:w="20" w:type="dxa"/>
            <w:vAlign w:val="bottom"/>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spacing w:after="0"/>
              <w:rPr>
                <w:sz w:val="21"/>
                <w:szCs w:val="21"/>
                <w:color w:val="auto"/>
              </w:rPr>
            </w:pPr>
          </w:p>
        </w:tc>
        <w:tc>
          <w:tcPr>
            <w:tcW w:w="11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CFEDF9"/>
          </w:tcPr>
          <w:p>
            <w:pPr>
              <w:spacing w:after="0"/>
              <w:rPr>
                <w:sz w:val="21"/>
                <w:szCs w:val="21"/>
                <w:color w:val="auto"/>
              </w:rPr>
            </w:pPr>
          </w:p>
        </w:tc>
        <w:tc>
          <w:tcPr>
            <w:tcW w:w="140" w:type="dxa"/>
            <w:vAlign w:val="bottom"/>
            <w:tcBorders>
              <w:bottom w:val="single" w:sz="8" w:color="231F20"/>
            </w:tcBorders>
            <w:shd w:val="clear" w:color="auto" w:fill="CFEDF9"/>
          </w:tcPr>
          <w:p>
            <w:pPr>
              <w:spacing w:after="0"/>
              <w:rPr>
                <w:sz w:val="21"/>
                <w:szCs w:val="21"/>
                <w:color w:val="auto"/>
              </w:rPr>
            </w:pPr>
          </w:p>
        </w:tc>
        <w:tc>
          <w:tcPr>
            <w:tcW w:w="1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spacing w:after="0"/>
              <w:rPr>
                <w:sz w:val="21"/>
                <w:szCs w:val="21"/>
                <w:color w:val="auto"/>
              </w:rPr>
            </w:pPr>
          </w:p>
        </w:tc>
        <w:tc>
          <w:tcPr>
            <w:tcW w:w="1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5,194</w:t>
            </w:r>
          </w:p>
        </w:tc>
        <w:tc>
          <w:tcPr>
            <w:tcW w:w="100" w:type="dxa"/>
            <w:vAlign w:val="bottom"/>
            <w:shd w:val="clear" w:color="auto" w:fill="CFEDF9"/>
          </w:tcPr>
          <w:p>
            <w:pPr>
              <w:spacing w:after="0"/>
              <w:rPr>
                <w:sz w:val="21"/>
                <w:szCs w:val="21"/>
                <w:color w:val="auto"/>
              </w:rPr>
            </w:pPr>
          </w:p>
        </w:tc>
      </w:tr>
      <w:tr>
        <w:trPr>
          <w:trHeight w:val="220"/>
        </w:trPr>
        <w:tc>
          <w:tcPr>
            <w:tcW w:w="53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Numerator for diluted earnings per share</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222,023</w:t>
            </w:r>
          </w:p>
        </w:tc>
        <w:tc>
          <w:tcPr>
            <w:tcW w:w="240" w:type="dxa"/>
            <w:vAlign w:val="bottom"/>
          </w:tcPr>
          <w:p>
            <w:pPr>
              <w:spacing w:after="0"/>
              <w:rPr>
                <w:sz w:val="19"/>
                <w:szCs w:val="19"/>
                <w:color w:val="auto"/>
              </w:rPr>
            </w:pPr>
          </w:p>
        </w:tc>
        <w:tc>
          <w:tcPr>
            <w:tcW w:w="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108,053</w:t>
            </w:r>
          </w:p>
        </w:tc>
        <w:tc>
          <w:tcPr>
            <w:tcW w:w="26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216,974</w:t>
            </w:r>
          </w:p>
        </w:tc>
        <w:tc>
          <w:tcPr>
            <w:tcW w:w="100" w:type="dxa"/>
            <w:vAlign w:val="bottom"/>
          </w:tcPr>
          <w:p>
            <w:pPr>
              <w:spacing w:after="0"/>
              <w:rPr>
                <w:sz w:val="19"/>
                <w:szCs w:val="19"/>
                <w:color w:val="auto"/>
              </w:rPr>
            </w:pPr>
          </w:p>
        </w:tc>
      </w:tr>
      <w:tr>
        <w:trPr>
          <w:trHeight w:val="211"/>
        </w:trPr>
        <w:tc>
          <w:tcPr>
            <w:tcW w:w="5380" w:type="dxa"/>
            <w:vAlign w:val="bottom"/>
            <w:shd w:val="clear" w:color="auto" w:fill="CFEDF9"/>
          </w:tcPr>
          <w:p>
            <w:pPr>
              <w:spacing w:after="0" w:line="210" w:lineRule="exact"/>
              <w:rPr>
                <w:sz w:val="20"/>
                <w:szCs w:val="20"/>
                <w:color w:val="auto"/>
              </w:rPr>
            </w:pPr>
            <w:r>
              <w:rPr>
                <w:rFonts w:ascii="Times New Roman" w:cs="Times New Roman" w:eastAsia="Times New Roman" w:hAnsi="Times New Roman"/>
                <w:sz w:val="20"/>
                <w:szCs w:val="20"/>
                <w:color w:val="231F20"/>
              </w:rPr>
              <w:t>Denominator for basic weighted average</w:t>
            </w:r>
          </w:p>
        </w:tc>
        <w:tc>
          <w:tcPr>
            <w:tcW w:w="2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0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1120" w:type="dxa"/>
            <w:vAlign w:val="bottom"/>
            <w:shd w:val="clear" w:color="auto" w:fill="CFEDF9"/>
          </w:tcPr>
          <w:p>
            <w:pPr>
              <w:spacing w:after="0"/>
              <w:rPr>
                <w:sz w:val="18"/>
                <w:szCs w:val="18"/>
                <w:color w:val="auto"/>
              </w:rPr>
            </w:pPr>
          </w:p>
        </w:tc>
        <w:tc>
          <w:tcPr>
            <w:tcW w:w="26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2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r>
      <w:tr>
        <w:trPr>
          <w:trHeight w:val="249"/>
        </w:trPr>
        <w:tc>
          <w:tcPr>
            <w:tcW w:w="538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shares</w:t>
            </w:r>
          </w:p>
        </w:tc>
        <w:tc>
          <w:tcPr>
            <w:tcW w:w="2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85,131,264</w:t>
            </w:r>
          </w:p>
        </w:tc>
        <w:tc>
          <w:tcPr>
            <w:tcW w:w="24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78,197,826</w:t>
            </w:r>
          </w:p>
        </w:tc>
        <w:tc>
          <w:tcPr>
            <w:tcW w:w="26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72,169,488</w:t>
            </w:r>
          </w:p>
        </w:tc>
        <w:tc>
          <w:tcPr>
            <w:tcW w:w="100" w:type="dxa"/>
            <w:vAlign w:val="bottom"/>
            <w:shd w:val="clear" w:color="auto" w:fill="CFEDF9"/>
          </w:tcPr>
          <w:p>
            <w:pPr>
              <w:spacing w:after="0"/>
              <w:rPr>
                <w:sz w:val="21"/>
                <w:szCs w:val="2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Adjustment for dilutive effect of 2022 Convertible Notes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5,532,770</w:t>
            </w:r>
          </w:p>
        </w:tc>
        <w:tc>
          <w:tcPr>
            <w:tcW w:w="100" w:type="dxa"/>
            <w:vAlign w:val="bottom"/>
          </w:tcPr>
          <w:p>
            <w:pPr>
              <w:spacing w:after="0"/>
              <w:rPr>
                <w:sz w:val="19"/>
                <w:szCs w:val="19"/>
                <w:color w:val="auto"/>
              </w:rPr>
            </w:pPr>
          </w:p>
        </w:tc>
      </w:tr>
      <w:tr>
        <w:trPr>
          <w:trHeight w:val="211"/>
        </w:trPr>
        <w:tc>
          <w:tcPr>
            <w:tcW w:w="5380" w:type="dxa"/>
            <w:vAlign w:val="bottom"/>
            <w:shd w:val="clear" w:color="auto" w:fill="CFEDF9"/>
          </w:tcPr>
          <w:p>
            <w:pPr>
              <w:spacing w:after="0" w:line="210" w:lineRule="exact"/>
              <w:rPr>
                <w:sz w:val="20"/>
                <w:szCs w:val="20"/>
                <w:color w:val="auto"/>
              </w:rPr>
            </w:pPr>
            <w:r>
              <w:rPr>
                <w:rFonts w:ascii="Times New Roman" w:cs="Times New Roman" w:eastAsia="Times New Roman" w:hAnsi="Times New Roman"/>
                <w:sz w:val="20"/>
                <w:szCs w:val="20"/>
                <w:color w:val="231F20"/>
              </w:rPr>
              <w:t>Denominator for diluted weighted average</w:t>
            </w:r>
          </w:p>
        </w:tc>
        <w:tc>
          <w:tcPr>
            <w:tcW w:w="2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0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1120" w:type="dxa"/>
            <w:vAlign w:val="bottom"/>
            <w:shd w:val="clear" w:color="auto" w:fill="CFEDF9"/>
          </w:tcPr>
          <w:p>
            <w:pPr>
              <w:spacing w:after="0"/>
              <w:rPr>
                <w:sz w:val="18"/>
                <w:szCs w:val="18"/>
                <w:color w:val="auto"/>
              </w:rPr>
            </w:pPr>
          </w:p>
        </w:tc>
        <w:tc>
          <w:tcPr>
            <w:tcW w:w="26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112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r>
      <w:tr>
        <w:trPr>
          <w:trHeight w:val="249"/>
        </w:trPr>
        <w:tc>
          <w:tcPr>
            <w:tcW w:w="538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shares</w:t>
            </w:r>
          </w:p>
        </w:tc>
        <w:tc>
          <w:tcPr>
            <w:tcW w:w="20" w:type="dxa"/>
            <w:vAlign w:val="bottom"/>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spacing w:after="0"/>
              <w:rPr>
                <w:sz w:val="21"/>
                <w:szCs w:val="21"/>
                <w:color w:val="auto"/>
              </w:rPr>
            </w:pPr>
          </w:p>
        </w:tc>
        <w:tc>
          <w:tcPr>
            <w:tcW w:w="11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85,131,264</w:t>
            </w:r>
          </w:p>
        </w:tc>
        <w:tc>
          <w:tcPr>
            <w:tcW w:w="240" w:type="dxa"/>
            <w:vAlign w:val="bottom"/>
            <w:shd w:val="clear" w:color="auto" w:fill="CFEDF9"/>
          </w:tcPr>
          <w:p>
            <w:pPr>
              <w:spacing w:after="0"/>
              <w:rPr>
                <w:sz w:val="21"/>
                <w:szCs w:val="21"/>
                <w:color w:val="auto"/>
              </w:rPr>
            </w:pPr>
          </w:p>
        </w:tc>
        <w:tc>
          <w:tcPr>
            <w:tcW w:w="140" w:type="dxa"/>
            <w:vAlign w:val="bottom"/>
            <w:tcBorders>
              <w:bottom w:val="single" w:sz="8" w:color="231F20"/>
            </w:tcBorders>
            <w:shd w:val="clear" w:color="auto" w:fill="CFEDF9"/>
          </w:tcPr>
          <w:p>
            <w:pPr>
              <w:spacing w:after="0"/>
              <w:rPr>
                <w:sz w:val="21"/>
                <w:szCs w:val="21"/>
                <w:color w:val="auto"/>
              </w:rPr>
            </w:pPr>
          </w:p>
        </w:tc>
        <w:tc>
          <w:tcPr>
            <w:tcW w:w="1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78,197,826</w:t>
            </w:r>
          </w:p>
        </w:tc>
        <w:tc>
          <w:tcPr>
            <w:tcW w:w="260" w:type="dxa"/>
            <w:vAlign w:val="bottom"/>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spacing w:after="0"/>
              <w:rPr>
                <w:sz w:val="21"/>
                <w:szCs w:val="21"/>
                <w:color w:val="auto"/>
              </w:rPr>
            </w:pPr>
          </w:p>
        </w:tc>
        <w:tc>
          <w:tcPr>
            <w:tcW w:w="1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77,702,258</w:t>
            </w:r>
          </w:p>
        </w:tc>
        <w:tc>
          <w:tcPr>
            <w:tcW w:w="100" w:type="dxa"/>
            <w:vAlign w:val="bottom"/>
            <w:shd w:val="clear" w:color="auto" w:fill="CFEDF9"/>
          </w:tcPr>
          <w:p>
            <w:pPr>
              <w:spacing w:after="0"/>
              <w:rPr>
                <w:sz w:val="21"/>
                <w:szCs w:val="21"/>
                <w:color w:val="auto"/>
              </w:rPr>
            </w:pPr>
          </w:p>
        </w:tc>
      </w:tr>
      <w:tr>
        <w:trPr>
          <w:trHeight w:val="220"/>
        </w:trPr>
        <w:tc>
          <w:tcPr>
            <w:tcW w:w="53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Earnings per common share—diluted</w:t>
            </w:r>
          </w:p>
        </w:tc>
        <w:tc>
          <w:tcPr>
            <w:tcW w:w="20" w:type="dxa"/>
            <w:vAlign w:val="bottom"/>
          </w:tcPr>
          <w:p>
            <w:pPr>
              <w:spacing w:after="0"/>
              <w:rPr>
                <w:sz w:val="19"/>
                <w:szCs w:val="19"/>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2.61</w:t>
            </w:r>
          </w:p>
        </w:tc>
        <w:tc>
          <w:tcPr>
            <w:tcW w:w="240" w:type="dxa"/>
            <w:vAlign w:val="bottom"/>
          </w:tcPr>
          <w:p>
            <w:pPr>
              <w:spacing w:after="0"/>
              <w:rPr>
                <w:sz w:val="19"/>
                <w:szCs w:val="19"/>
                <w:color w:val="auto"/>
              </w:rPr>
            </w:pPr>
          </w:p>
        </w:tc>
        <w:tc>
          <w:tcPr>
            <w:tcW w:w="1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1.38</w:t>
            </w:r>
          </w:p>
        </w:tc>
        <w:tc>
          <w:tcPr>
            <w:tcW w:w="26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2.79</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20"/>
          <w:szCs w:val="20"/>
          <w:color w:val="231F20"/>
        </w:rPr>
        <w:t>The 2022 Convertible Notes were convertible into a combination of cash and shares of the Company’s common stock, which could have been dilutive to common stockholders. Diluted earnings per share is the amount of earnings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 EPS using the if-converted method. The if-converted method is a method of computing EPS that assumes</w:t>
      </w:r>
    </w:p>
    <w:p>
      <w:pPr>
        <w:sectPr>
          <w:pgSz w:w="12240" w:h="15840" w:orient="portrait"/>
          <w:cols w:equalWidth="0" w:num="1">
            <w:col w:w="10760"/>
          </w:cols>
          <w:pgMar w:left="720" w:top="1206"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F-41</w:t>
      </w:r>
    </w:p>
    <w:p>
      <w:pPr>
        <w:sectPr>
          <w:pgSz w:w="12240" w:h="15840" w:orient="portrait"/>
          <w:cols w:equalWidth="0" w:num="1">
            <w:col w:w="10760"/>
          </w:cols>
          <w:pgMar w:left="720" w:top="1206" w:right="760" w:bottom="186" w:gutter="0" w:footer="0" w:header="0"/>
          <w:type w:val="continuous"/>
        </w:sectPr>
      </w:pPr>
    </w:p>
    <w:bookmarkStart w:id="126" w:name="page127"/>
    <w:bookmarkEnd w:id="126"/>
    <w:p>
      <w:pPr>
        <w:ind w:right="280"/>
        <w:spacing w:after="0" w:line="277" w:lineRule="auto"/>
        <w:rPr>
          <w:sz w:val="20"/>
          <w:szCs w:val="20"/>
          <w:color w:val="auto"/>
        </w:rPr>
      </w:pPr>
      <w:r>
        <w:rPr>
          <w:rFonts w:ascii="Times New Roman" w:cs="Times New Roman" w:eastAsia="Times New Roman" w:hAnsi="Times New Roman"/>
          <w:sz w:val="20"/>
          <w:szCs w:val="20"/>
          <w:color w:val="231F20"/>
        </w:rPr>
        <w:t>conversion of convertible securities at the beginning of the reporting period and is intended to show the maximum dilution effect to common stockholders regardless of how the conversion can occur.</w:t>
      </w:r>
    </w:p>
    <w:p>
      <w:pPr>
        <w:spacing w:after="0" w:line="49" w:lineRule="exact"/>
        <w:rPr>
          <w:sz w:val="20"/>
          <w:szCs w:val="20"/>
          <w:color w:val="auto"/>
        </w:rPr>
      </w:pPr>
    </w:p>
    <w:p>
      <w:pPr>
        <w:ind w:right="220" w:firstLine="245"/>
        <w:spacing w:after="0" w:line="252" w:lineRule="auto"/>
        <w:rPr>
          <w:sz w:val="20"/>
          <w:szCs w:val="20"/>
          <w:color w:val="auto"/>
        </w:rPr>
      </w:pPr>
      <w:r>
        <w:rPr>
          <w:rFonts w:ascii="Times New Roman" w:cs="Times New Roman" w:eastAsia="Times New Roman" w:hAnsi="Times New Roman"/>
          <w:sz w:val="20"/>
          <w:szCs w:val="20"/>
          <w:color w:val="231F20"/>
        </w:rPr>
        <w:t>For the purpose of calculating diluted earnings per common share, the average closing price of the Company’s common stock for the year ended December 31, 2021 was greater than the estimated adjusted conversion price for the 2022 Convertible Notes outstanding as of December 31, 2021. Therefore, for this period presented in the consolidated financial statements the Company applied the if-converted method for purposes of calculating diluted earnings per common share.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 Dividends</w:t>
      </w:r>
    </w:p>
    <w:p>
      <w:pPr>
        <w:spacing w:after="0" w:line="124" w:lineRule="exact"/>
        <w:rPr>
          <w:sz w:val="20"/>
          <w:szCs w:val="20"/>
          <w:color w:val="auto"/>
        </w:rPr>
      </w:pPr>
    </w:p>
    <w:p>
      <w:pPr>
        <w:jc w:val="both"/>
        <w:ind w:right="220" w:firstLine="245"/>
        <w:spacing w:after="0" w:line="258" w:lineRule="auto"/>
        <w:rPr>
          <w:sz w:val="20"/>
          <w:szCs w:val="20"/>
          <w:color w:val="auto"/>
        </w:rPr>
      </w:pPr>
      <w:r>
        <w:rPr>
          <w:rFonts w:ascii="Times New Roman" w:cs="Times New Roman" w:eastAsia="Times New Roman" w:hAnsi="Times New Roman"/>
          <w:sz w:val="20"/>
          <w:szCs w:val="20"/>
          <w:color w:val="231F20"/>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following tables summarize dividends declared during the years ended December 31, 2023,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3"/>
          </w:tcPr>
          <w:p>
            <w:pPr>
              <w:jc w:val="center"/>
              <w:ind w:left="1305"/>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Date Declared</w:t>
            </w:r>
          </w:p>
        </w:tc>
        <w:tc>
          <w:tcPr>
            <w:tcW w:w="17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860" w:type="dxa"/>
            <w:vAlign w:val="bottom"/>
            <w:tcBorders>
              <w:bottom w:val="single" w:sz="8" w:color="231F20"/>
            </w:tcBorders>
            <w:gridSpan w:val="3"/>
          </w:tcPr>
          <w:p>
            <w:pPr>
              <w:jc w:val="center"/>
              <w:ind w:left="1325"/>
              <w:spacing w:after="0"/>
              <w:rPr>
                <w:sz w:val="20"/>
                <w:szCs w:val="20"/>
                <w:color w:val="auto"/>
              </w:rPr>
            </w:pPr>
            <w:r>
              <w:rPr>
                <w:rFonts w:ascii="Times New Roman" w:cs="Times New Roman" w:eastAsia="Times New Roman" w:hAnsi="Times New Roman"/>
                <w:sz w:val="16"/>
                <w:szCs w:val="16"/>
                <w:b w:val="1"/>
                <w:bCs w:val="1"/>
                <w:color w:val="231F20"/>
                <w:w w:val="98"/>
              </w:rPr>
              <w:t>December 31, 2023</w:t>
            </w:r>
          </w:p>
        </w:tc>
        <w:tc>
          <w:tcPr>
            <w:tcW w:w="168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00" w:type="dxa"/>
            <w:vAlign w:val="bottom"/>
            <w:vMerge w:val="continue"/>
          </w:tcPr>
          <w:p>
            <w:pPr>
              <w:spacing w:after="0"/>
              <w:rPr>
                <w:sz w:val="15"/>
                <w:szCs w:val="15"/>
                <w:color w:val="auto"/>
              </w:rPr>
            </w:pPr>
          </w:p>
        </w:tc>
        <w:tc>
          <w:tcPr>
            <w:tcW w:w="17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Dividend</w:t>
            </w:r>
          </w:p>
        </w:tc>
        <w:tc>
          <w:tcPr>
            <w:tcW w:w="140" w:type="dxa"/>
            <w:vAlign w:val="bottom"/>
          </w:tcPr>
          <w:p>
            <w:pPr>
              <w:spacing w:after="0"/>
              <w:rPr>
                <w:sz w:val="15"/>
                <w:szCs w:val="15"/>
                <w:color w:val="auto"/>
              </w:rPr>
            </w:pPr>
          </w:p>
        </w:tc>
        <w:tc>
          <w:tcPr>
            <w:tcW w:w="2860" w:type="dxa"/>
            <w:vAlign w:val="bottom"/>
            <w:gridSpan w:val="3"/>
          </w:tcPr>
          <w:p>
            <w:pPr>
              <w:ind w:left="640"/>
              <w:spacing w:after="0" w:line="174" w:lineRule="exact"/>
              <w:rPr>
                <w:sz w:val="20"/>
                <w:szCs w:val="20"/>
                <w:color w:val="auto"/>
              </w:rPr>
            </w:pPr>
            <w:r>
              <w:rPr>
                <w:rFonts w:ascii="Times New Roman" w:cs="Times New Roman" w:eastAsia="Times New Roman" w:hAnsi="Times New Roman"/>
                <w:sz w:val="16"/>
                <w:szCs w:val="16"/>
                <w:b w:val="1"/>
                <w:bCs w:val="1"/>
                <w:color w:val="231F20"/>
              </w:rPr>
              <w:t>Record Date</w:t>
            </w:r>
          </w:p>
        </w:tc>
        <w:tc>
          <w:tcPr>
            <w:tcW w:w="182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231F20"/>
              </w:rPr>
              <w:t>Payment Date</w:t>
            </w:r>
          </w:p>
        </w:tc>
        <w:tc>
          <w:tcPr>
            <w:tcW w:w="146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Dividend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0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February 16, 2023</w:t>
            </w:r>
          </w:p>
        </w:tc>
        <w:tc>
          <w:tcPr>
            <w:tcW w:w="1720" w:type="dxa"/>
            <w:vAlign w:val="bottom"/>
            <w:tcBorders>
              <w:top w:val="single" w:sz="8" w:color="231F20"/>
            </w:tcBorders>
            <w:shd w:val="clear" w:color="auto" w:fill="CFEDF9"/>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tcBorders>
              <w:top w:val="single" w:sz="8" w:color="CFEDF9"/>
            </w:tcBorders>
            <w:shd w:val="clear" w:color="auto" w:fill="CFEDF9"/>
          </w:tcPr>
          <w:p>
            <w:pPr>
              <w:spacing w:after="0"/>
              <w:rPr>
                <w:sz w:val="19"/>
                <w:szCs w:val="19"/>
                <w:color w:val="auto"/>
              </w:rPr>
            </w:pPr>
          </w:p>
        </w:tc>
        <w:tc>
          <w:tcPr>
            <w:tcW w:w="2120" w:type="dxa"/>
            <w:vAlign w:val="bottom"/>
            <w:tcBorders>
              <w:top w:val="single" w:sz="8" w:color="231F20"/>
            </w:tcBorders>
            <w:shd w:val="clear" w:color="auto" w:fill="CFEDF9"/>
          </w:tcPr>
          <w:p>
            <w:pPr>
              <w:ind w:left="660"/>
              <w:spacing w:after="0" w:line="220" w:lineRule="exact"/>
              <w:rPr>
                <w:sz w:val="20"/>
                <w:szCs w:val="20"/>
                <w:color w:val="auto"/>
              </w:rPr>
            </w:pPr>
            <w:r>
              <w:rPr>
                <w:rFonts w:ascii="Times New Roman" w:cs="Times New Roman" w:eastAsia="Times New Roman" w:hAnsi="Times New Roman"/>
                <w:sz w:val="20"/>
                <w:szCs w:val="20"/>
                <w:color w:val="231F20"/>
                <w:w w:val="97"/>
              </w:rPr>
              <w:t>February 28, 2023</w:t>
            </w:r>
          </w:p>
        </w:tc>
        <w:tc>
          <w:tcPr>
            <w:tcW w:w="140" w:type="dxa"/>
            <w:vAlign w:val="bottom"/>
            <w:tcBorders>
              <w:top w:val="single" w:sz="8" w:color="CFEDF9"/>
            </w:tcBorders>
            <w:shd w:val="clear" w:color="auto" w:fill="CFEDF9"/>
          </w:tcPr>
          <w:p>
            <w:pPr>
              <w:spacing w:after="0"/>
              <w:rPr>
                <w:sz w:val="19"/>
                <w:szCs w:val="19"/>
                <w:color w:val="auto"/>
              </w:rPr>
            </w:pPr>
          </w:p>
        </w:tc>
        <w:tc>
          <w:tcPr>
            <w:tcW w:w="600" w:type="dxa"/>
            <w:vAlign w:val="bottom"/>
            <w:tcBorders>
              <w:top w:val="single" w:sz="8" w:color="231F20"/>
            </w:tcBorders>
            <w:shd w:val="clear" w:color="auto" w:fill="CFEDF9"/>
          </w:tcPr>
          <w:p>
            <w:pPr>
              <w:spacing w:after="0"/>
              <w:rPr>
                <w:sz w:val="19"/>
                <w:szCs w:val="19"/>
                <w:color w:val="auto"/>
              </w:rPr>
            </w:pPr>
          </w:p>
        </w:tc>
        <w:tc>
          <w:tcPr>
            <w:tcW w:w="16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March 20, 2023</w:t>
            </w:r>
          </w:p>
        </w:tc>
        <w:tc>
          <w:tcPr>
            <w:tcW w:w="140" w:type="dxa"/>
            <w:vAlign w:val="bottom"/>
            <w:tcBorders>
              <w:top w:val="single" w:sz="8" w:color="CFEDF9"/>
            </w:tcBorders>
            <w:shd w:val="clear" w:color="auto" w:fill="CFEDF9"/>
          </w:tcPr>
          <w:p>
            <w:pPr>
              <w:spacing w:after="0"/>
              <w:rPr>
                <w:sz w:val="19"/>
                <w:szCs w:val="19"/>
                <w:color w:val="auto"/>
              </w:rPr>
            </w:pPr>
          </w:p>
        </w:tc>
        <w:tc>
          <w:tcPr>
            <w:tcW w:w="600" w:type="dxa"/>
            <w:vAlign w:val="bottom"/>
            <w:tcBorders>
              <w:top w:val="single" w:sz="8" w:color="231F20"/>
            </w:tcBorders>
            <w:shd w:val="clear" w:color="auto" w:fill="CFEDF9"/>
          </w:tcPr>
          <w:p>
            <w:pPr>
              <w:jc w:val="right"/>
              <w:ind w:right="4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0.09</w:t>
            </w:r>
          </w:p>
        </w:tc>
        <w:tc>
          <w:tcPr>
            <w:tcW w:w="10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February 16, 2023</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2023</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31, 2023</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May 8, 2023</w:t>
            </w:r>
          </w:p>
        </w:tc>
        <w:tc>
          <w:tcPr>
            <w:tcW w:w="17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May 31, 2023</w:t>
            </w:r>
          </w:p>
        </w:tc>
        <w:tc>
          <w:tcPr>
            <w:tcW w:w="14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82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June 20, 2023</w:t>
            </w:r>
          </w:p>
        </w:tc>
        <w:tc>
          <w:tcPr>
            <w:tcW w:w="60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0.04</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May 8, 2023</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June 15, 2023</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June 30, 2023</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August 3, 2023</w:t>
            </w:r>
          </w:p>
        </w:tc>
        <w:tc>
          <w:tcPr>
            <w:tcW w:w="17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August 31, 2023</w:t>
            </w:r>
          </w:p>
        </w:tc>
        <w:tc>
          <w:tcPr>
            <w:tcW w:w="14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82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September 20, 2023</w:t>
            </w:r>
          </w:p>
        </w:tc>
        <w:tc>
          <w:tcPr>
            <w:tcW w:w="60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0.06</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August 3, 2023</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September 15 2023</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September 29, 2023</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November 2, 2023</w:t>
            </w:r>
          </w:p>
        </w:tc>
        <w:tc>
          <w:tcPr>
            <w:tcW w:w="17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November 30, 2023</w:t>
            </w:r>
          </w:p>
        </w:tc>
        <w:tc>
          <w:tcPr>
            <w:tcW w:w="14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82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December 20, 2023</w:t>
            </w:r>
          </w:p>
        </w:tc>
        <w:tc>
          <w:tcPr>
            <w:tcW w:w="60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0.07</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November 2, 2023</w:t>
            </w:r>
          </w:p>
        </w:tc>
        <w:tc>
          <w:tcPr>
            <w:tcW w:w="1720" w:type="dxa"/>
            <w:vAlign w:val="bottom"/>
            <w:tcBorders>
              <w:bottom w:val="single" w:sz="8" w:color="CFEDF9"/>
            </w:tcBorders>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tcBorders>
              <w:bottom w:val="single" w:sz="8" w:color="CFEDF9"/>
            </w:tcBorders>
          </w:tcPr>
          <w:p>
            <w:pPr>
              <w:spacing w:after="0"/>
              <w:rPr>
                <w:sz w:val="19"/>
                <w:szCs w:val="19"/>
                <w:color w:val="auto"/>
              </w:rPr>
            </w:pPr>
          </w:p>
        </w:tc>
        <w:tc>
          <w:tcPr>
            <w:tcW w:w="2120" w:type="dxa"/>
            <w:vAlign w:val="bottom"/>
            <w:tcBorders>
              <w:bottom w:val="single" w:sz="8" w:color="CFEDF9"/>
            </w:tcBorders>
          </w:tcPr>
          <w:p>
            <w:pPr>
              <w:jc w:val="right"/>
              <w:spacing w:after="0"/>
              <w:rPr>
                <w:sz w:val="20"/>
                <w:szCs w:val="20"/>
                <w:color w:val="auto"/>
              </w:rPr>
            </w:pPr>
            <w:r>
              <w:rPr>
                <w:rFonts w:ascii="Times New Roman" w:cs="Times New Roman" w:eastAsia="Times New Roman" w:hAnsi="Times New Roman"/>
                <w:sz w:val="20"/>
                <w:szCs w:val="20"/>
                <w:color w:val="231F20"/>
              </w:rPr>
              <w:t>December 15, 2023</w:t>
            </w:r>
          </w:p>
        </w:tc>
        <w:tc>
          <w:tcPr>
            <w:tcW w:w="140" w:type="dxa"/>
            <w:vAlign w:val="bottom"/>
            <w:tcBorders>
              <w:bottom w:val="single" w:sz="8" w:color="CFEDF9"/>
            </w:tcBorders>
          </w:tcPr>
          <w:p>
            <w:pPr>
              <w:spacing w:after="0"/>
              <w:rPr>
                <w:sz w:val="19"/>
                <w:szCs w:val="19"/>
                <w:color w:val="auto"/>
              </w:rPr>
            </w:pPr>
          </w:p>
        </w:tc>
        <w:tc>
          <w:tcPr>
            <w:tcW w:w="600" w:type="dxa"/>
            <w:vAlign w:val="bottom"/>
            <w:tcBorders>
              <w:bottom w:val="single" w:sz="8" w:color="CFEDF9"/>
            </w:tcBorders>
          </w:tcPr>
          <w:p>
            <w:pPr>
              <w:spacing w:after="0"/>
              <w:rPr>
                <w:sz w:val="19"/>
                <w:szCs w:val="19"/>
                <w:color w:val="auto"/>
              </w:rPr>
            </w:pPr>
          </w:p>
        </w:tc>
        <w:tc>
          <w:tcPr>
            <w:tcW w:w="1820" w:type="dxa"/>
            <w:vAlign w:val="bottom"/>
            <w:tcBorders>
              <w:bottom w:val="single" w:sz="8" w:color="CFEDF9"/>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December 29, 2023</w:t>
            </w:r>
          </w:p>
        </w:tc>
        <w:tc>
          <w:tcPr>
            <w:tcW w:w="6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0.46</w:t>
            </w: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0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Dividends Declared</w:t>
            </w:r>
          </w:p>
        </w:tc>
        <w:tc>
          <w:tcPr>
            <w:tcW w:w="17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68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600" w:type="dxa"/>
            <w:vAlign w:val="bottom"/>
            <w:tcBorders>
              <w:bottom w:val="single" w:sz="8" w:color="231F20"/>
            </w:tcBorders>
            <w:shd w:val="clear" w:color="auto" w:fill="CFEDF9"/>
          </w:tcPr>
          <w:p>
            <w:pPr>
              <w:jc w:val="right"/>
              <w:ind w:right="4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2.10</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vMerge w:val="restart"/>
          </w:tcPr>
          <w:p>
            <w:pPr>
              <w:jc w:val="center"/>
              <w:ind w:left="1305"/>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Date Declared</w:t>
            </w:r>
          </w:p>
        </w:tc>
        <w:tc>
          <w:tcPr>
            <w:tcW w:w="17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860" w:type="dxa"/>
            <w:vAlign w:val="bottom"/>
            <w:tcBorders>
              <w:bottom w:val="single" w:sz="8" w:color="231F20"/>
            </w:tcBorders>
            <w:gridSpan w:val="3"/>
          </w:tcPr>
          <w:p>
            <w:pPr>
              <w:jc w:val="center"/>
              <w:ind w:left="1325"/>
              <w:spacing w:after="0"/>
              <w:rPr>
                <w:sz w:val="20"/>
                <w:szCs w:val="20"/>
                <w:color w:val="auto"/>
              </w:rPr>
            </w:pPr>
            <w:r>
              <w:rPr>
                <w:rFonts w:ascii="Times New Roman" w:cs="Times New Roman" w:eastAsia="Times New Roman" w:hAnsi="Times New Roman"/>
                <w:sz w:val="16"/>
                <w:szCs w:val="16"/>
                <w:b w:val="1"/>
                <w:bCs w:val="1"/>
                <w:color w:val="231F20"/>
                <w:w w:val="98"/>
              </w:rPr>
              <w:t>December 31, 2022</w:t>
            </w:r>
          </w:p>
        </w:tc>
        <w:tc>
          <w:tcPr>
            <w:tcW w:w="168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00" w:type="dxa"/>
            <w:vAlign w:val="bottom"/>
            <w:vMerge w:val="continue"/>
          </w:tcPr>
          <w:p>
            <w:pPr>
              <w:spacing w:after="0"/>
              <w:rPr>
                <w:sz w:val="15"/>
                <w:szCs w:val="15"/>
                <w:color w:val="auto"/>
              </w:rPr>
            </w:pPr>
          </w:p>
        </w:tc>
        <w:tc>
          <w:tcPr>
            <w:tcW w:w="17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Dividend</w:t>
            </w:r>
          </w:p>
        </w:tc>
        <w:tc>
          <w:tcPr>
            <w:tcW w:w="140" w:type="dxa"/>
            <w:vAlign w:val="bottom"/>
          </w:tcPr>
          <w:p>
            <w:pPr>
              <w:spacing w:after="0"/>
              <w:rPr>
                <w:sz w:val="15"/>
                <w:szCs w:val="15"/>
                <w:color w:val="auto"/>
              </w:rPr>
            </w:pPr>
          </w:p>
        </w:tc>
        <w:tc>
          <w:tcPr>
            <w:tcW w:w="2860" w:type="dxa"/>
            <w:vAlign w:val="bottom"/>
            <w:gridSpan w:val="3"/>
          </w:tcPr>
          <w:p>
            <w:pPr>
              <w:ind w:left="640"/>
              <w:spacing w:after="0" w:line="174" w:lineRule="exact"/>
              <w:rPr>
                <w:sz w:val="20"/>
                <w:szCs w:val="20"/>
                <w:color w:val="auto"/>
              </w:rPr>
            </w:pPr>
            <w:r>
              <w:rPr>
                <w:rFonts w:ascii="Times New Roman" w:cs="Times New Roman" w:eastAsia="Times New Roman" w:hAnsi="Times New Roman"/>
                <w:sz w:val="16"/>
                <w:szCs w:val="16"/>
                <w:b w:val="1"/>
                <w:bCs w:val="1"/>
                <w:color w:val="231F20"/>
              </w:rPr>
              <w:t>Record Date</w:t>
            </w:r>
          </w:p>
        </w:tc>
        <w:tc>
          <w:tcPr>
            <w:tcW w:w="182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231F20"/>
              </w:rPr>
              <w:t>Payment Date</w:t>
            </w:r>
          </w:p>
        </w:tc>
        <w:tc>
          <w:tcPr>
            <w:tcW w:w="146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Dividend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0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February 17, 2022</w:t>
            </w:r>
          </w:p>
        </w:tc>
        <w:tc>
          <w:tcPr>
            <w:tcW w:w="1720" w:type="dxa"/>
            <w:vAlign w:val="bottom"/>
            <w:tcBorders>
              <w:top w:val="single" w:sz="8" w:color="231F20"/>
            </w:tcBorders>
            <w:shd w:val="clear" w:color="auto" w:fill="CFEDF9"/>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tcBorders>
              <w:top w:val="single" w:sz="8" w:color="CFEDF9"/>
            </w:tcBorders>
            <w:shd w:val="clear" w:color="auto" w:fill="CFEDF9"/>
          </w:tcPr>
          <w:p>
            <w:pPr>
              <w:spacing w:after="0"/>
              <w:rPr>
                <w:sz w:val="19"/>
                <w:szCs w:val="19"/>
                <w:color w:val="auto"/>
              </w:rPr>
            </w:pPr>
          </w:p>
        </w:tc>
        <w:tc>
          <w:tcPr>
            <w:tcW w:w="21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February 28, 2022</w:t>
            </w:r>
          </w:p>
        </w:tc>
        <w:tc>
          <w:tcPr>
            <w:tcW w:w="140" w:type="dxa"/>
            <w:vAlign w:val="bottom"/>
            <w:tcBorders>
              <w:top w:val="single" w:sz="8" w:color="CFEDF9"/>
            </w:tcBorders>
            <w:shd w:val="clear" w:color="auto" w:fill="CFEDF9"/>
          </w:tcPr>
          <w:p>
            <w:pPr>
              <w:spacing w:after="0"/>
              <w:rPr>
                <w:sz w:val="19"/>
                <w:szCs w:val="19"/>
                <w:color w:val="auto"/>
              </w:rPr>
            </w:pPr>
          </w:p>
        </w:tc>
        <w:tc>
          <w:tcPr>
            <w:tcW w:w="600" w:type="dxa"/>
            <w:vAlign w:val="bottom"/>
            <w:tcBorders>
              <w:top w:val="single" w:sz="8" w:color="231F20"/>
            </w:tcBorders>
            <w:shd w:val="clear" w:color="auto" w:fill="CFEDF9"/>
          </w:tcPr>
          <w:p>
            <w:pPr>
              <w:spacing w:after="0"/>
              <w:rPr>
                <w:sz w:val="19"/>
                <w:szCs w:val="19"/>
                <w:color w:val="auto"/>
              </w:rPr>
            </w:pPr>
          </w:p>
        </w:tc>
        <w:tc>
          <w:tcPr>
            <w:tcW w:w="16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March 31, 2022</w:t>
            </w:r>
          </w:p>
        </w:tc>
        <w:tc>
          <w:tcPr>
            <w:tcW w:w="140" w:type="dxa"/>
            <w:vAlign w:val="bottom"/>
            <w:tcBorders>
              <w:top w:val="single" w:sz="8" w:color="CFEDF9"/>
            </w:tcBorders>
            <w:shd w:val="clear" w:color="auto" w:fill="CFEDF9"/>
          </w:tcPr>
          <w:p>
            <w:pPr>
              <w:spacing w:after="0"/>
              <w:rPr>
                <w:sz w:val="19"/>
                <w:szCs w:val="19"/>
                <w:color w:val="auto"/>
              </w:rPr>
            </w:pPr>
          </w:p>
        </w:tc>
        <w:tc>
          <w:tcPr>
            <w:tcW w:w="600" w:type="dxa"/>
            <w:vAlign w:val="bottom"/>
            <w:tcBorders>
              <w:top w:val="single" w:sz="8" w:color="231F20"/>
            </w:tcBorders>
            <w:shd w:val="clear" w:color="auto" w:fill="CFEDF9"/>
          </w:tcPr>
          <w:p>
            <w:pPr>
              <w:jc w:val="right"/>
              <w:ind w:right="4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0.11</w:t>
            </w:r>
          </w:p>
        </w:tc>
        <w:tc>
          <w:tcPr>
            <w:tcW w:w="10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February 17, 2022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2022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April 18, 2022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May 3, 2022</w:t>
            </w:r>
          </w:p>
        </w:tc>
        <w:tc>
          <w:tcPr>
            <w:tcW w:w="17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May 31, 2022</w:t>
            </w:r>
          </w:p>
        </w:tc>
        <w:tc>
          <w:tcPr>
            <w:tcW w:w="740" w:type="dxa"/>
            <w:vAlign w:val="bottom"/>
            <w:gridSpan w:val="2"/>
            <w:shd w:val="clear" w:color="auto" w:fill="CFEDF9"/>
          </w:tcPr>
          <w:p>
            <w:pPr>
              <w:spacing w:after="0"/>
              <w:rPr>
                <w:sz w:val="19"/>
                <w:szCs w:val="19"/>
                <w:color w:val="auto"/>
              </w:rPr>
            </w:pPr>
          </w:p>
        </w:tc>
        <w:tc>
          <w:tcPr>
            <w:tcW w:w="182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June 30, 2022</w:t>
            </w:r>
          </w:p>
        </w:tc>
        <w:tc>
          <w:tcPr>
            <w:tcW w:w="60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0.04</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May 3, 2022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June 15, 2022</w:t>
            </w:r>
          </w:p>
        </w:tc>
        <w:tc>
          <w:tcPr>
            <w:tcW w:w="740" w:type="dxa"/>
            <w:vAlign w:val="bottom"/>
            <w:gridSpan w:val="2"/>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July 15, 2022</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August 2, 2022</w:t>
            </w:r>
          </w:p>
        </w:tc>
        <w:tc>
          <w:tcPr>
            <w:tcW w:w="17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September 15, 2022</w:t>
            </w:r>
          </w:p>
        </w:tc>
        <w:tc>
          <w:tcPr>
            <w:tcW w:w="740" w:type="dxa"/>
            <w:vAlign w:val="bottom"/>
            <w:gridSpan w:val="2"/>
            <w:shd w:val="clear" w:color="auto" w:fill="CFEDF9"/>
          </w:tcPr>
          <w:p>
            <w:pPr>
              <w:spacing w:after="0"/>
              <w:rPr>
                <w:sz w:val="19"/>
                <w:szCs w:val="19"/>
                <w:color w:val="auto"/>
              </w:rPr>
            </w:pPr>
          </w:p>
        </w:tc>
        <w:tc>
          <w:tcPr>
            <w:tcW w:w="182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September 30, 2022</w:t>
            </w:r>
          </w:p>
        </w:tc>
        <w:tc>
          <w:tcPr>
            <w:tcW w:w="60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0.42</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November 1, 2022</w:t>
            </w:r>
          </w:p>
        </w:tc>
        <w:tc>
          <w:tcPr>
            <w:tcW w:w="1720" w:type="dxa"/>
            <w:vAlign w:val="bottom"/>
            <w:tcBorders>
              <w:bottom w:val="single" w:sz="8" w:color="CFEDF9"/>
            </w:tcBorders>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tcBorders>
              <w:bottom w:val="single" w:sz="8" w:color="CFEDF9"/>
            </w:tcBorders>
          </w:tcPr>
          <w:p>
            <w:pPr>
              <w:spacing w:after="0"/>
              <w:rPr>
                <w:sz w:val="19"/>
                <w:szCs w:val="19"/>
                <w:color w:val="auto"/>
              </w:rPr>
            </w:pPr>
          </w:p>
        </w:tc>
        <w:tc>
          <w:tcPr>
            <w:tcW w:w="2120" w:type="dxa"/>
            <w:vAlign w:val="bottom"/>
            <w:tcBorders>
              <w:bottom w:val="single" w:sz="8" w:color="CFEDF9"/>
            </w:tcBorders>
          </w:tcPr>
          <w:p>
            <w:pPr>
              <w:jc w:val="right"/>
              <w:spacing w:after="0"/>
              <w:rPr>
                <w:sz w:val="20"/>
                <w:szCs w:val="20"/>
                <w:color w:val="auto"/>
              </w:rPr>
            </w:pPr>
            <w:r>
              <w:rPr>
                <w:rFonts w:ascii="Times New Roman" w:cs="Times New Roman" w:eastAsia="Times New Roman" w:hAnsi="Times New Roman"/>
                <w:sz w:val="20"/>
                <w:szCs w:val="20"/>
                <w:color w:val="231F20"/>
              </w:rPr>
              <w:t>December 15, 2022</w:t>
            </w:r>
          </w:p>
        </w:tc>
        <w:tc>
          <w:tcPr>
            <w:tcW w:w="740" w:type="dxa"/>
            <w:vAlign w:val="bottom"/>
            <w:tcBorders>
              <w:bottom w:val="single" w:sz="8" w:color="CFEDF9"/>
            </w:tcBorders>
            <w:gridSpan w:val="2"/>
          </w:tcPr>
          <w:p>
            <w:pPr>
              <w:spacing w:after="0"/>
              <w:rPr>
                <w:sz w:val="19"/>
                <w:szCs w:val="19"/>
                <w:color w:val="auto"/>
              </w:rPr>
            </w:pPr>
          </w:p>
        </w:tc>
        <w:tc>
          <w:tcPr>
            <w:tcW w:w="1820" w:type="dxa"/>
            <w:vAlign w:val="bottom"/>
            <w:tcBorders>
              <w:bottom w:val="single" w:sz="8" w:color="CFEDF9"/>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December 30, 2022</w:t>
            </w:r>
          </w:p>
        </w:tc>
        <w:tc>
          <w:tcPr>
            <w:tcW w:w="6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0.45</w:t>
            </w: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0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Dividends Declared</w:t>
            </w:r>
          </w:p>
        </w:tc>
        <w:tc>
          <w:tcPr>
            <w:tcW w:w="17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68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600" w:type="dxa"/>
            <w:vAlign w:val="bottom"/>
            <w:tcBorders>
              <w:bottom w:val="single" w:sz="8" w:color="231F20"/>
            </w:tcBorders>
            <w:shd w:val="clear" w:color="auto" w:fill="CFEDF9"/>
          </w:tcPr>
          <w:p>
            <w:pPr>
              <w:jc w:val="right"/>
              <w:ind w:right="4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1.84</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vMerge w:val="restart"/>
          </w:tcPr>
          <w:p>
            <w:pPr>
              <w:jc w:val="center"/>
              <w:ind w:left="1305"/>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Date Declared</w:t>
            </w:r>
          </w:p>
        </w:tc>
        <w:tc>
          <w:tcPr>
            <w:tcW w:w="17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860" w:type="dxa"/>
            <w:vAlign w:val="bottom"/>
            <w:tcBorders>
              <w:bottom w:val="single" w:sz="8" w:color="231F20"/>
            </w:tcBorders>
            <w:gridSpan w:val="3"/>
          </w:tcPr>
          <w:p>
            <w:pPr>
              <w:jc w:val="center"/>
              <w:ind w:left="1325"/>
              <w:spacing w:after="0"/>
              <w:rPr>
                <w:sz w:val="20"/>
                <w:szCs w:val="20"/>
                <w:color w:val="auto"/>
              </w:rPr>
            </w:pPr>
            <w:r>
              <w:rPr>
                <w:rFonts w:ascii="Times New Roman" w:cs="Times New Roman" w:eastAsia="Times New Roman" w:hAnsi="Times New Roman"/>
                <w:sz w:val="16"/>
                <w:szCs w:val="16"/>
                <w:b w:val="1"/>
                <w:bCs w:val="1"/>
                <w:color w:val="231F20"/>
                <w:w w:val="98"/>
              </w:rPr>
              <w:t>December 31, 2021</w:t>
            </w:r>
          </w:p>
        </w:tc>
        <w:tc>
          <w:tcPr>
            <w:tcW w:w="168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00" w:type="dxa"/>
            <w:vAlign w:val="bottom"/>
            <w:vMerge w:val="continue"/>
          </w:tcPr>
          <w:p>
            <w:pPr>
              <w:spacing w:after="0"/>
              <w:rPr>
                <w:sz w:val="15"/>
                <w:szCs w:val="15"/>
                <w:color w:val="auto"/>
              </w:rPr>
            </w:pPr>
          </w:p>
        </w:tc>
        <w:tc>
          <w:tcPr>
            <w:tcW w:w="17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Dividend</w:t>
            </w:r>
          </w:p>
        </w:tc>
        <w:tc>
          <w:tcPr>
            <w:tcW w:w="140" w:type="dxa"/>
            <w:vAlign w:val="bottom"/>
          </w:tcPr>
          <w:p>
            <w:pPr>
              <w:spacing w:after="0"/>
              <w:rPr>
                <w:sz w:val="15"/>
                <w:szCs w:val="15"/>
                <w:color w:val="auto"/>
              </w:rPr>
            </w:pPr>
          </w:p>
        </w:tc>
        <w:tc>
          <w:tcPr>
            <w:tcW w:w="2860" w:type="dxa"/>
            <w:vAlign w:val="bottom"/>
            <w:gridSpan w:val="3"/>
          </w:tcPr>
          <w:p>
            <w:pPr>
              <w:ind w:left="640"/>
              <w:spacing w:after="0" w:line="174" w:lineRule="exact"/>
              <w:rPr>
                <w:sz w:val="20"/>
                <w:szCs w:val="20"/>
                <w:color w:val="auto"/>
              </w:rPr>
            </w:pPr>
            <w:r>
              <w:rPr>
                <w:rFonts w:ascii="Times New Roman" w:cs="Times New Roman" w:eastAsia="Times New Roman" w:hAnsi="Times New Roman"/>
                <w:sz w:val="16"/>
                <w:szCs w:val="16"/>
                <w:b w:val="1"/>
                <w:bCs w:val="1"/>
                <w:color w:val="231F20"/>
              </w:rPr>
              <w:t>Record Date</w:t>
            </w:r>
          </w:p>
        </w:tc>
        <w:tc>
          <w:tcPr>
            <w:tcW w:w="182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231F20"/>
              </w:rPr>
              <w:t>Payment Date</w:t>
            </w:r>
          </w:p>
        </w:tc>
        <w:tc>
          <w:tcPr>
            <w:tcW w:w="146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Dividend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0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February 17, 2021</w:t>
            </w:r>
          </w:p>
        </w:tc>
        <w:tc>
          <w:tcPr>
            <w:tcW w:w="1720" w:type="dxa"/>
            <w:vAlign w:val="bottom"/>
            <w:tcBorders>
              <w:top w:val="single" w:sz="8" w:color="231F20"/>
            </w:tcBorders>
            <w:shd w:val="clear" w:color="auto" w:fill="CFEDF9"/>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tcBorders>
              <w:top w:val="single" w:sz="8" w:color="CFEDF9"/>
            </w:tcBorders>
            <w:shd w:val="clear" w:color="auto" w:fill="CFEDF9"/>
          </w:tcPr>
          <w:p>
            <w:pPr>
              <w:spacing w:after="0"/>
              <w:rPr>
                <w:sz w:val="19"/>
                <w:szCs w:val="19"/>
                <w:color w:val="auto"/>
              </w:rPr>
            </w:pPr>
          </w:p>
        </w:tc>
        <w:tc>
          <w:tcPr>
            <w:tcW w:w="21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February 26, 2021</w:t>
            </w:r>
          </w:p>
        </w:tc>
        <w:tc>
          <w:tcPr>
            <w:tcW w:w="140" w:type="dxa"/>
            <w:vAlign w:val="bottom"/>
            <w:tcBorders>
              <w:top w:val="single" w:sz="8" w:color="CFEDF9"/>
            </w:tcBorders>
            <w:shd w:val="clear" w:color="auto" w:fill="CFEDF9"/>
          </w:tcPr>
          <w:p>
            <w:pPr>
              <w:spacing w:after="0"/>
              <w:rPr>
                <w:sz w:val="19"/>
                <w:szCs w:val="19"/>
                <w:color w:val="auto"/>
              </w:rPr>
            </w:pPr>
          </w:p>
        </w:tc>
        <w:tc>
          <w:tcPr>
            <w:tcW w:w="600" w:type="dxa"/>
            <w:vAlign w:val="bottom"/>
            <w:tcBorders>
              <w:top w:val="single" w:sz="8" w:color="231F20"/>
            </w:tcBorders>
            <w:shd w:val="clear" w:color="auto" w:fill="CFEDF9"/>
          </w:tcPr>
          <w:p>
            <w:pPr>
              <w:spacing w:after="0"/>
              <w:rPr>
                <w:sz w:val="19"/>
                <w:szCs w:val="19"/>
                <w:color w:val="auto"/>
              </w:rPr>
            </w:pPr>
          </w:p>
        </w:tc>
        <w:tc>
          <w:tcPr>
            <w:tcW w:w="16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March 31, 2021</w:t>
            </w:r>
          </w:p>
        </w:tc>
        <w:tc>
          <w:tcPr>
            <w:tcW w:w="140" w:type="dxa"/>
            <w:vAlign w:val="bottom"/>
            <w:tcBorders>
              <w:top w:val="single" w:sz="8" w:color="CFEDF9"/>
            </w:tcBorders>
            <w:shd w:val="clear" w:color="auto" w:fill="CFEDF9"/>
          </w:tcPr>
          <w:p>
            <w:pPr>
              <w:spacing w:after="0"/>
              <w:rPr>
                <w:sz w:val="19"/>
                <w:szCs w:val="19"/>
                <w:color w:val="auto"/>
              </w:rPr>
            </w:pPr>
          </w:p>
        </w:tc>
        <w:tc>
          <w:tcPr>
            <w:tcW w:w="600" w:type="dxa"/>
            <w:vAlign w:val="bottom"/>
            <w:tcBorders>
              <w:top w:val="single" w:sz="8" w:color="231F20"/>
            </w:tcBorders>
            <w:shd w:val="clear" w:color="auto" w:fill="CFEDF9"/>
          </w:tcPr>
          <w:p>
            <w:pPr>
              <w:jc w:val="right"/>
              <w:ind w:right="4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0.05</w:t>
            </w:r>
          </w:p>
        </w:tc>
        <w:tc>
          <w:tcPr>
            <w:tcW w:w="10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February 17, 2021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2021</w:t>
            </w:r>
          </w:p>
        </w:tc>
        <w:tc>
          <w:tcPr>
            <w:tcW w:w="740" w:type="dxa"/>
            <w:vAlign w:val="bottom"/>
            <w:gridSpan w:val="2"/>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April 15, 2021</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February 17, 2021</w:t>
            </w:r>
          </w:p>
        </w:tc>
        <w:tc>
          <w:tcPr>
            <w:tcW w:w="17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rPr>
              <w:t>Special</w:t>
            </w: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March 25, 2021</w:t>
            </w:r>
          </w:p>
        </w:tc>
        <w:tc>
          <w:tcPr>
            <w:tcW w:w="740" w:type="dxa"/>
            <w:vAlign w:val="bottom"/>
            <w:gridSpan w:val="2"/>
            <w:shd w:val="clear" w:color="auto" w:fill="CFEDF9"/>
          </w:tcPr>
          <w:p>
            <w:pPr>
              <w:spacing w:after="0"/>
              <w:rPr>
                <w:sz w:val="19"/>
                <w:szCs w:val="19"/>
                <w:color w:val="auto"/>
              </w:rPr>
            </w:pPr>
          </w:p>
        </w:tc>
        <w:tc>
          <w:tcPr>
            <w:tcW w:w="182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April 8, 2021</w:t>
            </w:r>
          </w:p>
        </w:tc>
        <w:tc>
          <w:tcPr>
            <w:tcW w:w="60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1.25</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May 4, 2021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May 28, 2021</w:t>
            </w:r>
          </w:p>
        </w:tc>
        <w:tc>
          <w:tcPr>
            <w:tcW w:w="740" w:type="dxa"/>
            <w:vAlign w:val="bottom"/>
            <w:gridSpan w:val="2"/>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June 30, 2021</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May 4, 2021</w:t>
            </w:r>
          </w:p>
        </w:tc>
        <w:tc>
          <w:tcPr>
            <w:tcW w:w="17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June 15, 2021</w:t>
            </w:r>
          </w:p>
        </w:tc>
        <w:tc>
          <w:tcPr>
            <w:tcW w:w="740" w:type="dxa"/>
            <w:vAlign w:val="bottom"/>
            <w:gridSpan w:val="2"/>
            <w:shd w:val="clear" w:color="auto" w:fill="CFEDF9"/>
          </w:tcPr>
          <w:p>
            <w:pPr>
              <w:spacing w:after="0"/>
              <w:rPr>
                <w:sz w:val="19"/>
                <w:szCs w:val="19"/>
                <w:color w:val="auto"/>
              </w:rPr>
            </w:pPr>
          </w:p>
        </w:tc>
        <w:tc>
          <w:tcPr>
            <w:tcW w:w="182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July 15, 2021</w:t>
            </w:r>
          </w:p>
        </w:tc>
        <w:tc>
          <w:tcPr>
            <w:tcW w:w="60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0.41</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August 3, 2021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August 31, 2021</w:t>
            </w:r>
          </w:p>
        </w:tc>
        <w:tc>
          <w:tcPr>
            <w:tcW w:w="740" w:type="dxa"/>
            <w:vAlign w:val="bottom"/>
            <w:gridSpan w:val="2"/>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September 30, 2021</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August 3, 2021</w:t>
            </w:r>
          </w:p>
        </w:tc>
        <w:tc>
          <w:tcPr>
            <w:tcW w:w="17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September 15, 2021</w:t>
            </w:r>
          </w:p>
        </w:tc>
        <w:tc>
          <w:tcPr>
            <w:tcW w:w="740" w:type="dxa"/>
            <w:vAlign w:val="bottom"/>
            <w:gridSpan w:val="2"/>
            <w:shd w:val="clear" w:color="auto" w:fill="CFEDF9"/>
          </w:tcPr>
          <w:p>
            <w:pPr>
              <w:spacing w:after="0"/>
              <w:rPr>
                <w:sz w:val="19"/>
                <w:szCs w:val="19"/>
                <w:color w:val="auto"/>
              </w:rPr>
            </w:pPr>
          </w:p>
        </w:tc>
        <w:tc>
          <w:tcPr>
            <w:tcW w:w="182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October 15, 2021</w:t>
            </w:r>
          </w:p>
        </w:tc>
        <w:tc>
          <w:tcPr>
            <w:tcW w:w="60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0.41</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November 2, 2021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Supplemental</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November 30, 2021</w:t>
            </w:r>
          </w:p>
        </w:tc>
        <w:tc>
          <w:tcPr>
            <w:tcW w:w="740" w:type="dxa"/>
            <w:vAlign w:val="bottom"/>
            <w:gridSpan w:val="2"/>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December 31, 2021</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November 2, 2021</w:t>
            </w:r>
          </w:p>
        </w:tc>
        <w:tc>
          <w:tcPr>
            <w:tcW w:w="172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rPr>
              <w:t>Special</w:t>
            </w: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December 7, 2021</w:t>
            </w:r>
          </w:p>
        </w:tc>
        <w:tc>
          <w:tcPr>
            <w:tcW w:w="740" w:type="dxa"/>
            <w:vAlign w:val="bottom"/>
            <w:gridSpan w:val="2"/>
            <w:shd w:val="clear" w:color="auto" w:fill="CFEDF9"/>
          </w:tcPr>
          <w:p>
            <w:pPr>
              <w:spacing w:after="0"/>
              <w:rPr>
                <w:sz w:val="19"/>
                <w:szCs w:val="19"/>
                <w:color w:val="auto"/>
              </w:rPr>
            </w:pPr>
          </w:p>
        </w:tc>
        <w:tc>
          <w:tcPr>
            <w:tcW w:w="182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December 20, 2021</w:t>
            </w:r>
          </w:p>
        </w:tc>
        <w:tc>
          <w:tcPr>
            <w:tcW w:w="600" w:type="dxa"/>
            <w:vAlign w:val="bottom"/>
            <w:shd w:val="clear" w:color="auto" w:fill="CFEDF9"/>
          </w:tcPr>
          <w:p>
            <w:pPr>
              <w:spacing w:after="0"/>
              <w:rPr>
                <w:sz w:val="19"/>
                <w:szCs w:val="19"/>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0.50</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November 2, 2021</w:t>
            </w:r>
          </w:p>
        </w:tc>
        <w:tc>
          <w:tcPr>
            <w:tcW w:w="1720" w:type="dxa"/>
            <w:vAlign w:val="bottom"/>
            <w:tcBorders>
              <w:bottom w:val="single" w:sz="8" w:color="CFEDF9"/>
            </w:tcBorders>
          </w:tcPr>
          <w:p>
            <w:pPr>
              <w:jc w:val="center"/>
              <w:spacing w:after="0"/>
              <w:rPr>
                <w:sz w:val="20"/>
                <w:szCs w:val="20"/>
                <w:color w:val="auto"/>
              </w:rPr>
            </w:pPr>
            <w:r>
              <w:rPr>
                <w:rFonts w:ascii="Times New Roman" w:cs="Times New Roman" w:eastAsia="Times New Roman" w:hAnsi="Times New Roman"/>
                <w:sz w:val="20"/>
                <w:szCs w:val="20"/>
                <w:color w:val="231F20"/>
              </w:rPr>
              <w:t>Base</w:t>
            </w:r>
          </w:p>
        </w:tc>
        <w:tc>
          <w:tcPr>
            <w:tcW w:w="140" w:type="dxa"/>
            <w:vAlign w:val="bottom"/>
            <w:tcBorders>
              <w:bottom w:val="single" w:sz="8" w:color="CFEDF9"/>
            </w:tcBorders>
          </w:tcPr>
          <w:p>
            <w:pPr>
              <w:spacing w:after="0"/>
              <w:rPr>
                <w:sz w:val="19"/>
                <w:szCs w:val="19"/>
                <w:color w:val="auto"/>
              </w:rPr>
            </w:pPr>
          </w:p>
        </w:tc>
        <w:tc>
          <w:tcPr>
            <w:tcW w:w="2120" w:type="dxa"/>
            <w:vAlign w:val="bottom"/>
            <w:tcBorders>
              <w:bottom w:val="single" w:sz="8" w:color="CFEDF9"/>
            </w:tcBorders>
          </w:tcPr>
          <w:p>
            <w:pPr>
              <w:jc w:val="right"/>
              <w:spacing w:after="0"/>
              <w:rPr>
                <w:sz w:val="20"/>
                <w:szCs w:val="20"/>
                <w:color w:val="auto"/>
              </w:rPr>
            </w:pPr>
            <w:r>
              <w:rPr>
                <w:rFonts w:ascii="Times New Roman" w:cs="Times New Roman" w:eastAsia="Times New Roman" w:hAnsi="Times New Roman"/>
                <w:sz w:val="20"/>
                <w:szCs w:val="20"/>
                <w:color w:val="231F20"/>
              </w:rPr>
              <w:t>December 15, 2021</w:t>
            </w:r>
          </w:p>
        </w:tc>
        <w:tc>
          <w:tcPr>
            <w:tcW w:w="740" w:type="dxa"/>
            <w:vAlign w:val="bottom"/>
            <w:tcBorders>
              <w:bottom w:val="single" w:sz="8" w:color="CFEDF9"/>
            </w:tcBorders>
            <w:gridSpan w:val="2"/>
          </w:tcPr>
          <w:p>
            <w:pPr>
              <w:spacing w:after="0"/>
              <w:rPr>
                <w:sz w:val="19"/>
                <w:szCs w:val="19"/>
                <w:color w:val="auto"/>
              </w:rPr>
            </w:pPr>
          </w:p>
        </w:tc>
        <w:tc>
          <w:tcPr>
            <w:tcW w:w="1820" w:type="dxa"/>
            <w:vAlign w:val="bottom"/>
            <w:tcBorders>
              <w:bottom w:val="single" w:sz="8" w:color="CFEDF9"/>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January 14, 2022</w:t>
            </w:r>
          </w:p>
        </w:tc>
        <w:tc>
          <w:tcPr>
            <w:tcW w:w="6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0.41</w:t>
            </w:r>
          </w:p>
        </w:tc>
        <w:tc>
          <w:tcPr>
            <w:tcW w:w="10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00" w:type="dxa"/>
            <w:vAlign w:val="bottom"/>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231F20"/>
              </w:rPr>
              <w:t>Total Dividends Declared</w:t>
            </w:r>
          </w:p>
        </w:tc>
        <w:tc>
          <w:tcPr>
            <w:tcW w:w="17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212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68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600" w:type="dxa"/>
            <w:vAlign w:val="bottom"/>
            <w:tcBorders>
              <w:bottom w:val="single" w:sz="8" w:color="231F20"/>
            </w:tcBorders>
            <w:shd w:val="clear" w:color="auto" w:fill="CFEDF9"/>
          </w:tcPr>
          <w:p>
            <w:pPr>
              <w:jc w:val="right"/>
              <w:ind w:right="4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3.59</w:t>
            </w:r>
          </w:p>
        </w:tc>
        <w:tc>
          <w:tcPr>
            <w:tcW w:w="1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jc w:val="both"/>
        <w:ind w:right="180" w:firstLine="245"/>
        <w:spacing w:after="0" w:line="277" w:lineRule="auto"/>
        <w:rPr>
          <w:sz w:val="20"/>
          <w:szCs w:val="20"/>
          <w:color w:val="auto"/>
        </w:rPr>
      </w:pPr>
      <w:r>
        <w:rPr>
          <w:rFonts w:ascii="Times New Roman" w:cs="Times New Roman" w:eastAsia="Times New Roman" w:hAnsi="Times New Roman"/>
          <w:sz w:val="20"/>
          <w:szCs w:val="20"/>
          <w:color w:val="231F20"/>
        </w:rPr>
        <w:t>The dividends declared during the years ended December 31, 2023, 2022 and 2021 were derived from net investment income and long-term capital gains, determined on a tax basis.</w:t>
      </w:r>
    </w:p>
    <w:p>
      <w:pPr>
        <w:sectPr>
          <w:pgSz w:w="12240" w:h="15840" w:orient="portrait"/>
          <w:cols w:equalWidth="0" w:num="1">
            <w:col w:w="10800"/>
          </w:cols>
          <w:pgMar w:left="720" w:top="93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F-42</w:t>
      </w:r>
    </w:p>
    <w:p>
      <w:pPr>
        <w:sectPr>
          <w:pgSz w:w="12240" w:h="15840" w:orient="portrait"/>
          <w:cols w:equalWidth="0" w:num="1">
            <w:col w:w="10800"/>
          </w:cols>
          <w:pgMar w:left="720" w:top="930" w:right="720" w:bottom="186"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231F20"/>
        </w:rPr>
        <w:t>12. Income Taxes</w:t>
      </w:r>
    </w:p>
    <w:p>
      <w:pPr>
        <w:spacing w:after="0" w:line="124" w:lineRule="exact"/>
        <w:rPr>
          <w:sz w:val="20"/>
          <w:szCs w:val="20"/>
          <w:color w:val="auto"/>
        </w:rPr>
      </w:pPr>
    </w:p>
    <w:p>
      <w:pPr>
        <w:ind w:right="320" w:firstLine="245"/>
        <w:spacing w:after="0" w:line="277" w:lineRule="auto"/>
        <w:rPr>
          <w:sz w:val="20"/>
          <w:szCs w:val="20"/>
          <w:color w:val="auto"/>
        </w:rPr>
      </w:pPr>
      <w:r>
        <w:rPr>
          <w:rFonts w:ascii="Times New Roman" w:cs="Times New Roman" w:eastAsia="Times New Roman" w:hAnsi="Times New Roman"/>
          <w:sz w:val="20"/>
          <w:szCs w:val="20"/>
          <w:color w:val="231F20"/>
        </w:rPr>
        <w:t>The tax character of shareholder distributions attributable to the fiscal years ended December 31, 2023, 2022 and 2021 were as follows:</w:t>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74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rPr>
              <w:t>Twelve Months Ended</w:t>
            </w:r>
          </w:p>
        </w:tc>
        <w:tc>
          <w:tcPr>
            <w:tcW w:w="220" w:type="dxa"/>
            <w:vAlign w:val="bottom"/>
          </w:tcPr>
          <w:p>
            <w:pPr>
              <w:spacing w:after="0"/>
              <w:rPr>
                <w:sz w:val="16"/>
                <w:szCs w:val="16"/>
                <w:color w:val="auto"/>
              </w:rPr>
            </w:pPr>
          </w:p>
        </w:tc>
        <w:tc>
          <w:tcPr>
            <w:tcW w:w="172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231F20"/>
              </w:rPr>
              <w:t>Twelve Months Ended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231F20"/>
              </w:rPr>
              <w:t>Twelve Months Ended</w:t>
            </w:r>
          </w:p>
        </w:tc>
        <w:tc>
          <w:tcPr>
            <w:tcW w:w="120" w:type="dxa"/>
            <w:vAlign w:val="bottom"/>
          </w:tcPr>
          <w:p>
            <w:pPr>
              <w:spacing w:after="0"/>
              <w:rPr>
                <w:sz w:val="16"/>
                <w:szCs w:val="16"/>
                <w:color w:val="auto"/>
              </w:rPr>
            </w:pPr>
          </w:p>
        </w:tc>
      </w:tr>
      <w:tr>
        <w:trPr>
          <w:trHeight w:val="203"/>
        </w:trPr>
        <w:tc>
          <w:tcPr>
            <w:tcW w:w="3780" w:type="dxa"/>
            <w:vAlign w:val="bottom"/>
            <w:tcBorders>
              <w:bottom w:val="single" w:sz="8" w:color="CFEDF9"/>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58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220" w:type="dxa"/>
            <w:vAlign w:val="bottom"/>
            <w:tcBorders>
              <w:bottom w:val="single" w:sz="8" w:color="CFEDF9"/>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580" w:type="dxa"/>
            <w:vAlign w:val="bottom"/>
            <w:tcBorders>
              <w:bottom w:val="single" w:sz="8" w:color="231F20"/>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220" w:type="dxa"/>
            <w:vAlign w:val="bottom"/>
            <w:tcBorders>
              <w:bottom w:val="single" w:sz="8" w:color="CFEDF9"/>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860" w:type="dxa"/>
            <w:vAlign w:val="bottom"/>
            <w:tcBorders>
              <w:bottom w:val="single" w:sz="8" w:color="231F20"/>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231F20"/>
              </w:rPr>
              <w:t>December 31, 2021</w:t>
            </w:r>
          </w:p>
        </w:tc>
        <w:tc>
          <w:tcPr>
            <w:tcW w:w="120" w:type="dxa"/>
            <w:vAlign w:val="bottom"/>
            <w:tcBorders>
              <w:bottom w:val="single" w:sz="8" w:color="CFEDF9"/>
            </w:tcBorders>
          </w:tcPr>
          <w:p>
            <w:pPr>
              <w:spacing w:after="0"/>
              <w:rPr>
                <w:sz w:val="17"/>
                <w:szCs w:val="17"/>
                <w:color w:val="auto"/>
              </w:rPr>
            </w:pPr>
          </w:p>
        </w:tc>
      </w:tr>
      <w:tr>
        <w:trPr>
          <w:trHeight w:val="220"/>
        </w:trPr>
        <w:tc>
          <w:tcPr>
            <w:tcW w:w="378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19"/>
                <w:szCs w:val="19"/>
                <w:color w:val="231F20"/>
              </w:rPr>
              <w:t xml:space="preserve">Ordinary Income </w:t>
            </w:r>
            <w:r>
              <w:rPr>
                <w:rFonts w:ascii="Times New Roman" w:cs="Times New Roman" w:eastAsia="Times New Roman" w:hAnsi="Times New Roman"/>
                <w:sz w:val="25"/>
                <w:szCs w:val="25"/>
                <w:color w:val="231F20"/>
                <w:vertAlign w:val="superscript"/>
              </w:rPr>
              <w:t>(1)</w:t>
            </w:r>
          </w:p>
        </w:tc>
        <w:tc>
          <w:tcPr>
            <w:tcW w:w="1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151,336</w:t>
            </w:r>
          </w:p>
        </w:tc>
        <w:tc>
          <w:tcPr>
            <w:tcW w:w="220" w:type="dxa"/>
            <w:vAlign w:val="bottom"/>
            <w:shd w:val="clear" w:color="auto" w:fill="CFEDF9"/>
          </w:tcPr>
          <w:p>
            <w:pPr>
              <w:spacing w:after="0"/>
              <w:rPr>
                <w:sz w:val="19"/>
                <w:szCs w:val="19"/>
                <w:color w:val="auto"/>
              </w:rPr>
            </w:pPr>
          </w:p>
        </w:tc>
        <w:tc>
          <w:tcPr>
            <w:tcW w:w="14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124,760</w:t>
            </w:r>
          </w:p>
        </w:tc>
        <w:tc>
          <w:tcPr>
            <w:tcW w:w="220" w:type="dxa"/>
            <w:vAlign w:val="bottom"/>
            <w:shd w:val="clear" w:color="auto" w:fill="CFEDF9"/>
          </w:tcPr>
          <w:p>
            <w:pPr>
              <w:spacing w:after="0"/>
              <w:rPr>
                <w:sz w:val="19"/>
                <w:szCs w:val="19"/>
                <w:color w:val="auto"/>
              </w:rPr>
            </w:pPr>
          </w:p>
        </w:tc>
        <w:tc>
          <w:tcPr>
            <w:tcW w:w="1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86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225,522</w:t>
            </w:r>
          </w:p>
        </w:tc>
        <w:tc>
          <w:tcPr>
            <w:tcW w:w="120" w:type="dxa"/>
            <w:vAlign w:val="bottom"/>
            <w:shd w:val="clear" w:color="auto" w:fill="CFEDF9"/>
          </w:tcPr>
          <w:p>
            <w:pPr>
              <w:spacing w:after="0"/>
              <w:rPr>
                <w:sz w:val="19"/>
                <w:szCs w:val="19"/>
                <w:color w:val="auto"/>
              </w:rPr>
            </w:pPr>
          </w:p>
        </w:tc>
      </w:tr>
      <w:tr>
        <w:trPr>
          <w:trHeight w:val="230"/>
        </w:trPr>
        <w:tc>
          <w:tcPr>
            <w:tcW w:w="378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Long Term Capital Gains</w:t>
            </w:r>
          </w:p>
        </w:tc>
        <w:tc>
          <w:tcPr>
            <w:tcW w:w="160" w:type="dxa"/>
            <w:vAlign w:val="bottom"/>
            <w:tcBorders>
              <w:bottom w:val="single" w:sz="8" w:color="231F20"/>
            </w:tcBorders>
          </w:tcPr>
          <w:p>
            <w:pPr>
              <w:spacing w:after="0"/>
              <w:rPr>
                <w:sz w:val="19"/>
                <w:szCs w:val="19"/>
                <w:color w:val="auto"/>
              </w:rPr>
            </w:pPr>
          </w:p>
        </w:tc>
        <w:tc>
          <w:tcPr>
            <w:tcW w:w="1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28,630</w:t>
            </w:r>
          </w:p>
        </w:tc>
        <w:tc>
          <w:tcPr>
            <w:tcW w:w="220" w:type="dxa"/>
            <w:vAlign w:val="bottom"/>
            <w:tcBorders>
              <w:bottom w:val="single" w:sz="8" w:color="CFEDF9"/>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19,562</w:t>
            </w:r>
          </w:p>
        </w:tc>
        <w:tc>
          <w:tcPr>
            <w:tcW w:w="220" w:type="dxa"/>
            <w:vAlign w:val="bottom"/>
            <w:tcBorders>
              <w:bottom w:val="single" w:sz="8" w:color="CFEDF9"/>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35,968</w:t>
            </w:r>
          </w:p>
        </w:tc>
        <w:tc>
          <w:tcPr>
            <w:tcW w:w="120" w:type="dxa"/>
            <w:vAlign w:val="bottom"/>
            <w:tcBorders>
              <w:bottom w:val="single" w:sz="8" w:color="CFEDF9"/>
            </w:tcBorders>
          </w:tcPr>
          <w:p>
            <w:pPr>
              <w:spacing w:after="0"/>
              <w:rPr>
                <w:sz w:val="19"/>
                <w:szCs w:val="19"/>
                <w:color w:val="auto"/>
              </w:rPr>
            </w:pPr>
          </w:p>
        </w:tc>
      </w:tr>
      <w:tr>
        <w:trPr>
          <w:trHeight w:val="220"/>
        </w:trPr>
        <w:tc>
          <w:tcPr>
            <w:tcW w:w="378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179,966</w:t>
            </w:r>
          </w:p>
        </w:tc>
        <w:tc>
          <w:tcPr>
            <w:tcW w:w="220" w:type="dxa"/>
            <w:vAlign w:val="bottom"/>
            <w:shd w:val="clear" w:color="auto" w:fill="CFEDF9"/>
          </w:tcPr>
          <w:p>
            <w:pPr>
              <w:spacing w:after="0"/>
              <w:rPr>
                <w:sz w:val="19"/>
                <w:szCs w:val="19"/>
                <w:color w:val="auto"/>
              </w:rPr>
            </w:pPr>
          </w:p>
        </w:tc>
        <w:tc>
          <w:tcPr>
            <w:tcW w:w="14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144,322</w:t>
            </w:r>
          </w:p>
        </w:tc>
        <w:tc>
          <w:tcPr>
            <w:tcW w:w="220" w:type="dxa"/>
            <w:vAlign w:val="bottom"/>
            <w:shd w:val="clear" w:color="auto" w:fill="CFEDF9"/>
          </w:tcPr>
          <w:p>
            <w:pPr>
              <w:spacing w:after="0"/>
              <w:rPr>
                <w:sz w:val="19"/>
                <w:szCs w:val="19"/>
                <w:color w:val="auto"/>
              </w:rPr>
            </w:pPr>
          </w:p>
        </w:tc>
        <w:tc>
          <w:tcPr>
            <w:tcW w:w="1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86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261,490</w:t>
            </w:r>
          </w:p>
        </w:tc>
        <w:tc>
          <w:tcPr>
            <w:tcW w:w="120" w:type="dxa"/>
            <w:vAlign w:val="bottom"/>
            <w:shd w:val="clear" w:color="auto" w:fill="CFEDF9"/>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7" w:lineRule="exact"/>
        <w:rPr>
          <w:sz w:val="20"/>
          <w:szCs w:val="20"/>
          <w:color w:val="auto"/>
        </w:rPr>
      </w:pPr>
    </w:p>
    <w:p>
      <w:pPr>
        <w:ind w:left="500" w:right="60" w:hanging="500"/>
        <w:spacing w:after="0" w:line="267" w:lineRule="auto"/>
        <w:tabs>
          <w:tab w:leader="none" w:pos="500" w:val="left"/>
        </w:tabs>
        <w:numPr>
          <w:ilvl w:val="0"/>
          <w:numId w:val="10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For the years ended December 31, 2023, 2022 and 2021, 87.01%, 87.86%, and 84.46% of ordinary income qualified as interest related dividend which is exempt from U.S. withholding tax applicable to non-U.S. shareholders.</w:t>
      </w:r>
    </w:p>
    <w:p>
      <w:pPr>
        <w:spacing w:after="0" w:line="2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tax basis components of distributable earnings for the years ended December 31, 2023, 2022 and 2021 were as follows:</w:t>
      </w:r>
    </w:p>
    <w:p>
      <w:pPr>
        <w:spacing w:after="0" w:line="259"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80" w:type="dxa"/>
            <w:vAlign w:val="bottom"/>
          </w:tcPr>
          <w:p>
            <w:pPr>
              <w:spacing w:after="0"/>
              <w:rPr>
                <w:sz w:val="17"/>
                <w:szCs w:val="17"/>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December 31, 2021</w:t>
            </w:r>
          </w:p>
        </w:tc>
      </w:tr>
      <w:tr>
        <w:trPr>
          <w:trHeight w:val="220"/>
        </w:trPr>
        <w:tc>
          <w:tcPr>
            <w:tcW w:w="416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Undistributed net investment income - tax basis</w:t>
            </w:r>
          </w:p>
        </w:tc>
        <w:tc>
          <w:tcPr>
            <w:tcW w:w="1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6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85,002</w:t>
            </w:r>
          </w:p>
        </w:tc>
        <w:tc>
          <w:tcPr>
            <w:tcW w:w="26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36,436</w:t>
            </w:r>
          </w:p>
        </w:tc>
        <w:tc>
          <w:tcPr>
            <w:tcW w:w="24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tcBorders>
              <w:top w:val="single" w:sz="8" w:color="231F20"/>
            </w:tcBorders>
            <w:shd w:val="clear" w:color="auto" w:fill="CFEDF9"/>
          </w:tcPr>
          <w:p>
            <w:pPr>
              <w:jc w:val="center"/>
              <w:ind w:left="983"/>
              <w:spacing w:after="0" w:line="220" w:lineRule="exact"/>
              <w:rPr>
                <w:sz w:val="20"/>
                <w:szCs w:val="20"/>
                <w:color w:val="auto"/>
              </w:rPr>
            </w:pPr>
            <w:r>
              <w:rPr>
                <w:rFonts w:ascii="Times New Roman" w:cs="Times New Roman" w:eastAsia="Times New Roman" w:hAnsi="Times New Roman"/>
                <w:sz w:val="20"/>
                <w:szCs w:val="20"/>
                <w:color w:val="231F20"/>
                <w:w w:val="98"/>
              </w:rPr>
              <w:t>17,209</w:t>
            </w:r>
          </w:p>
        </w:tc>
        <w:tc>
          <w:tcPr>
            <w:tcW w:w="120" w:type="dxa"/>
            <w:vAlign w:val="bottom"/>
            <w:tcBorders>
              <w:top w:val="single" w:sz="8" w:color="CFEDF9"/>
            </w:tcBorders>
            <w:shd w:val="clear" w:color="auto" w:fill="CFEDF9"/>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Undistributed net realized gains - tax basis</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26,377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983"/>
              <w:spacing w:after="0"/>
              <w:rPr>
                <w:sz w:val="20"/>
                <w:szCs w:val="20"/>
                <w:color w:val="auto"/>
              </w:rPr>
            </w:pPr>
            <w:r>
              <w:rPr>
                <w:rFonts w:ascii="Times New Roman" w:cs="Times New Roman" w:eastAsia="Times New Roman" w:hAnsi="Times New Roman"/>
                <w:sz w:val="20"/>
                <w:szCs w:val="20"/>
                <w:color w:val="231F20"/>
                <w:w w:val="98"/>
              </w:rPr>
              <w:t>14,818</w:t>
            </w:r>
          </w:p>
        </w:tc>
        <w:tc>
          <w:tcPr>
            <w:tcW w:w="120" w:type="dxa"/>
            <w:vAlign w:val="bottom"/>
          </w:tcPr>
          <w:p>
            <w:pPr>
              <w:spacing w:after="0"/>
              <w:rPr>
                <w:sz w:val="20"/>
                <w:szCs w:val="20"/>
                <w:color w:val="auto"/>
              </w:rPr>
            </w:pPr>
          </w:p>
        </w:tc>
      </w:tr>
      <w:tr>
        <w:trPr>
          <w:trHeight w:val="230"/>
        </w:trPr>
        <w:tc>
          <w:tcPr>
            <w:tcW w:w="41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unrealized gains on investments</w:t>
            </w:r>
          </w:p>
        </w:tc>
        <w:tc>
          <w:tcPr>
            <w:tcW w:w="100" w:type="dxa"/>
            <w:vAlign w:val="bottom"/>
            <w:shd w:val="clear" w:color="auto" w:fill="CFEDF9"/>
          </w:tcPr>
          <w:p>
            <w:pPr>
              <w:spacing w:after="0"/>
              <w:rPr>
                <w:sz w:val="19"/>
                <w:szCs w:val="19"/>
                <w:color w:val="auto"/>
              </w:rPr>
            </w:pP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23,675</w:t>
            </w:r>
          </w:p>
        </w:tc>
        <w:tc>
          <w:tcPr>
            <w:tcW w:w="26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6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3,823</w:t>
            </w:r>
          </w:p>
        </w:tc>
        <w:tc>
          <w:tcPr>
            <w:tcW w:w="24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1620" w:type="dxa"/>
            <w:vAlign w:val="bottom"/>
            <w:shd w:val="clear" w:color="auto" w:fill="CFEDF9"/>
          </w:tcPr>
          <w:p>
            <w:pPr>
              <w:jc w:val="center"/>
              <w:ind w:left="983"/>
              <w:spacing w:after="0"/>
              <w:rPr>
                <w:sz w:val="20"/>
                <w:szCs w:val="20"/>
                <w:color w:val="auto"/>
              </w:rPr>
            </w:pPr>
            <w:r>
              <w:rPr>
                <w:rFonts w:ascii="Times New Roman" w:cs="Times New Roman" w:eastAsia="Times New Roman" w:hAnsi="Times New Roman"/>
                <w:sz w:val="20"/>
                <w:szCs w:val="20"/>
                <w:color w:val="231F20"/>
                <w:w w:val="98"/>
              </w:rPr>
              <w:t>77,220</w:t>
            </w:r>
          </w:p>
        </w:tc>
        <w:tc>
          <w:tcPr>
            <w:tcW w:w="120" w:type="dxa"/>
            <w:vAlign w:val="bottom"/>
            <w:shd w:val="clear" w:color="auto" w:fill="CFEDF9"/>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Other temporary differences</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(10,180)</w:t>
            </w:r>
          </w:p>
        </w:tc>
        <w:tc>
          <w:tcPr>
            <w:tcW w:w="180" w:type="dxa"/>
            <w:vAlign w:val="bottom"/>
          </w:tcPr>
          <w:p>
            <w:pPr>
              <w:spacing w:after="0"/>
              <w:rPr>
                <w:sz w:val="19"/>
                <w:szCs w:val="19"/>
                <w:color w:val="auto"/>
              </w:rPr>
            </w:pPr>
          </w:p>
        </w:tc>
        <w:tc>
          <w:tcPr>
            <w:tcW w:w="1740" w:type="dxa"/>
            <w:vAlign w:val="bottom"/>
            <w:gridSpan w:val="2"/>
          </w:tcPr>
          <w:p>
            <w:pPr>
              <w:jc w:val="center"/>
              <w:ind w:left="883"/>
              <w:spacing w:after="0"/>
              <w:rPr>
                <w:sz w:val="20"/>
                <w:szCs w:val="20"/>
                <w:color w:val="auto"/>
              </w:rPr>
            </w:pPr>
            <w:r>
              <w:rPr>
                <w:rFonts w:ascii="Times New Roman" w:cs="Times New Roman" w:eastAsia="Times New Roman" w:hAnsi="Times New Roman"/>
                <w:sz w:val="20"/>
                <w:szCs w:val="20"/>
                <w:color w:val="231F20"/>
                <w:w w:val="99"/>
              </w:rPr>
              <w:t>(19,144)</w:t>
            </w:r>
          </w:p>
        </w:tc>
      </w:tr>
      <w:tr>
        <w:trPr>
          <w:trHeight w:val="220"/>
        </w:trPr>
        <w:tc>
          <w:tcPr>
            <w:tcW w:w="4160" w:type="dxa"/>
            <w:vAlign w:val="bottom"/>
            <w:tcBorders>
              <w:top w:val="single" w:sz="8" w:color="CFEDF9"/>
            </w:tcBorders>
            <w:shd w:val="clear" w:color="auto" w:fill="CFEDF9"/>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231F20"/>
              </w:rPr>
              <w:t>Total distributable earnings - book basis</w:t>
            </w:r>
          </w:p>
        </w:tc>
        <w:tc>
          <w:tcPr>
            <w:tcW w:w="10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68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100,776</w:t>
            </w:r>
          </w:p>
        </w:tc>
        <w:tc>
          <w:tcPr>
            <w:tcW w:w="26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56,456</w:t>
            </w:r>
          </w:p>
        </w:tc>
        <w:tc>
          <w:tcPr>
            <w:tcW w:w="24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20" w:type="dxa"/>
            <w:vAlign w:val="bottom"/>
            <w:tcBorders>
              <w:top w:val="single" w:sz="8" w:color="231F20"/>
              <w:bottom w:val="single" w:sz="8" w:color="231F20"/>
            </w:tcBorders>
            <w:shd w:val="clear" w:color="auto" w:fill="CFEDF9"/>
          </w:tcPr>
          <w:p>
            <w:pPr>
              <w:jc w:val="center"/>
              <w:ind w:left="983"/>
              <w:spacing w:after="0" w:line="220" w:lineRule="exact"/>
              <w:rPr>
                <w:sz w:val="20"/>
                <w:szCs w:val="20"/>
                <w:color w:val="auto"/>
              </w:rPr>
            </w:pPr>
            <w:r>
              <w:rPr>
                <w:rFonts w:ascii="Times New Roman" w:cs="Times New Roman" w:eastAsia="Times New Roman" w:hAnsi="Times New Roman"/>
                <w:sz w:val="20"/>
                <w:szCs w:val="20"/>
                <w:color w:val="231F20"/>
                <w:w w:val="98"/>
              </w:rPr>
              <w:t>90,103</w:t>
            </w:r>
          </w:p>
        </w:tc>
        <w:tc>
          <w:tcPr>
            <w:tcW w:w="120" w:type="dxa"/>
            <w:vAlign w:val="bottom"/>
            <w:tcBorders>
              <w:top w:val="single" w:sz="8" w:color="CFEDF9"/>
            </w:tcBorders>
            <w:shd w:val="clear" w:color="auto" w:fill="CFEDF9"/>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6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6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6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60" w:firstLine="245"/>
        <w:spacing w:after="0" w:line="267" w:lineRule="auto"/>
        <w:rPr>
          <w:sz w:val="20"/>
          <w:szCs w:val="20"/>
          <w:color w:val="auto"/>
        </w:rPr>
      </w:pPr>
      <w:r>
        <w:rPr>
          <w:rFonts w:ascii="Times New Roman" w:cs="Times New Roman" w:eastAsia="Times New Roman" w:hAnsi="Times New Roman"/>
          <w:sz w:val="20"/>
          <w:szCs w:val="20"/>
          <w:color w:val="231F20"/>
        </w:rPr>
        <w:t>The following reconciles increase in net assets resulting from operations for the fiscal years ended December 31, 2023, 2022 and 2021, to taxable income at December 31, 2023, 2022 and 2021:</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Twelve Months Ended</w:t>
            </w:r>
          </w:p>
        </w:tc>
        <w:tc>
          <w:tcPr>
            <w:tcW w:w="120" w:type="dxa"/>
            <w:vAlign w:val="bottom"/>
          </w:tcPr>
          <w:p>
            <w:pPr>
              <w:spacing w:after="0"/>
              <w:rPr>
                <w:sz w:val="16"/>
                <w:szCs w:val="16"/>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w w:val="98"/>
              </w:rPr>
              <w:t>Twelve Months Ended</w:t>
            </w:r>
          </w:p>
        </w:tc>
        <w:tc>
          <w:tcPr>
            <w:tcW w:w="120" w:type="dxa"/>
            <w:vAlign w:val="bottom"/>
          </w:tcPr>
          <w:p>
            <w:pPr>
              <w:spacing w:after="0"/>
              <w:rPr>
                <w:sz w:val="16"/>
                <w:szCs w:val="16"/>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Twelve Months Ended</w:t>
            </w:r>
          </w:p>
        </w:tc>
      </w:tr>
      <w:tr>
        <w:trPr>
          <w:trHeight w:val="203"/>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20" w:type="dxa"/>
            <w:vAlign w:val="bottom"/>
          </w:tcPr>
          <w:p>
            <w:pPr>
              <w:spacing w:after="0"/>
              <w:rPr>
                <w:sz w:val="17"/>
                <w:szCs w:val="17"/>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20" w:type="dxa"/>
            <w:vAlign w:val="bottom"/>
          </w:tcPr>
          <w:p>
            <w:pPr>
              <w:spacing w:after="0"/>
              <w:rPr>
                <w:sz w:val="17"/>
                <w:szCs w:val="17"/>
                <w:color w:val="auto"/>
              </w:rPr>
            </w:pPr>
          </w:p>
        </w:tc>
        <w:tc>
          <w:tcPr>
            <w:tcW w:w="1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December 31, 2021</w:t>
            </w:r>
          </w:p>
        </w:tc>
      </w:tr>
      <w:tr>
        <w:trPr>
          <w:trHeight w:val="200"/>
        </w:trPr>
        <w:tc>
          <w:tcPr>
            <w:tcW w:w="3840" w:type="dxa"/>
            <w:vAlign w:val="bottom"/>
            <w:tcBorders>
              <w:top w:val="single" w:sz="8" w:color="CFEDF9"/>
            </w:tcBorders>
            <w:shd w:val="clear" w:color="auto" w:fill="CFEDF9"/>
          </w:tcPr>
          <w:p>
            <w:pPr>
              <w:spacing w:after="0" w:line="201" w:lineRule="exact"/>
              <w:rPr>
                <w:sz w:val="20"/>
                <w:szCs w:val="20"/>
                <w:color w:val="auto"/>
              </w:rPr>
            </w:pPr>
            <w:r>
              <w:rPr>
                <w:rFonts w:ascii="Times New Roman" w:cs="Times New Roman" w:eastAsia="Times New Roman" w:hAnsi="Times New Roman"/>
                <w:sz w:val="20"/>
                <w:szCs w:val="20"/>
                <w:color w:val="231F20"/>
              </w:rPr>
              <w:t>Increase in net assets resulting from</w:t>
            </w:r>
          </w:p>
        </w:tc>
        <w:tc>
          <w:tcPr>
            <w:tcW w:w="100" w:type="dxa"/>
            <w:vAlign w:val="bottom"/>
            <w:tcBorders>
              <w:top w:val="single" w:sz="8" w:color="231F20"/>
            </w:tcBorders>
            <w:shd w:val="clear" w:color="auto" w:fill="CFEDF9"/>
          </w:tcPr>
          <w:p>
            <w:pPr>
              <w:spacing w:after="0"/>
              <w:rPr>
                <w:sz w:val="17"/>
                <w:szCs w:val="17"/>
                <w:color w:val="auto"/>
              </w:rPr>
            </w:pPr>
          </w:p>
        </w:tc>
        <w:tc>
          <w:tcPr>
            <w:tcW w:w="1680" w:type="dxa"/>
            <w:vAlign w:val="bottom"/>
            <w:tcBorders>
              <w:top w:val="single" w:sz="8" w:color="231F20"/>
            </w:tcBorders>
            <w:shd w:val="clear" w:color="auto" w:fill="CFEDF9"/>
          </w:tcPr>
          <w:p>
            <w:pPr>
              <w:spacing w:after="0"/>
              <w:rPr>
                <w:sz w:val="17"/>
                <w:szCs w:val="17"/>
                <w:color w:val="auto"/>
              </w:rPr>
            </w:pPr>
          </w:p>
        </w:tc>
        <w:tc>
          <w:tcPr>
            <w:tcW w:w="260" w:type="dxa"/>
            <w:vAlign w:val="bottom"/>
            <w:tcBorders>
              <w:top w:val="single" w:sz="8" w:color="CFEDF9"/>
            </w:tcBorders>
            <w:shd w:val="clear" w:color="auto" w:fill="CFEDF9"/>
          </w:tcPr>
          <w:p>
            <w:pPr>
              <w:spacing w:after="0"/>
              <w:rPr>
                <w:sz w:val="17"/>
                <w:szCs w:val="17"/>
                <w:color w:val="auto"/>
              </w:rPr>
            </w:pPr>
          </w:p>
        </w:tc>
        <w:tc>
          <w:tcPr>
            <w:tcW w:w="120" w:type="dxa"/>
            <w:vAlign w:val="bottom"/>
            <w:tcBorders>
              <w:top w:val="single" w:sz="8" w:color="231F20"/>
            </w:tcBorders>
            <w:shd w:val="clear" w:color="auto" w:fill="CFEDF9"/>
          </w:tcPr>
          <w:p>
            <w:pPr>
              <w:spacing w:after="0"/>
              <w:rPr>
                <w:sz w:val="17"/>
                <w:szCs w:val="17"/>
                <w:color w:val="auto"/>
              </w:rPr>
            </w:pPr>
          </w:p>
        </w:tc>
        <w:tc>
          <w:tcPr>
            <w:tcW w:w="1680" w:type="dxa"/>
            <w:vAlign w:val="bottom"/>
            <w:tcBorders>
              <w:top w:val="single" w:sz="8" w:color="231F20"/>
            </w:tcBorders>
            <w:shd w:val="clear" w:color="auto" w:fill="CFEDF9"/>
          </w:tcPr>
          <w:p>
            <w:pPr>
              <w:spacing w:after="0"/>
              <w:rPr>
                <w:sz w:val="17"/>
                <w:szCs w:val="17"/>
                <w:color w:val="auto"/>
              </w:rPr>
            </w:pPr>
          </w:p>
        </w:tc>
        <w:tc>
          <w:tcPr>
            <w:tcW w:w="240" w:type="dxa"/>
            <w:vAlign w:val="bottom"/>
            <w:tcBorders>
              <w:top w:val="single" w:sz="8" w:color="CFEDF9"/>
            </w:tcBorders>
            <w:shd w:val="clear" w:color="auto" w:fill="CFEDF9"/>
          </w:tcPr>
          <w:p>
            <w:pPr>
              <w:spacing w:after="0"/>
              <w:rPr>
                <w:sz w:val="17"/>
                <w:szCs w:val="17"/>
                <w:color w:val="auto"/>
              </w:rPr>
            </w:pPr>
          </w:p>
        </w:tc>
        <w:tc>
          <w:tcPr>
            <w:tcW w:w="120" w:type="dxa"/>
            <w:vAlign w:val="bottom"/>
            <w:tcBorders>
              <w:top w:val="single" w:sz="8" w:color="231F20"/>
            </w:tcBorders>
            <w:shd w:val="clear" w:color="auto" w:fill="CFEDF9"/>
          </w:tcPr>
          <w:p>
            <w:pPr>
              <w:spacing w:after="0"/>
              <w:rPr>
                <w:sz w:val="17"/>
                <w:szCs w:val="17"/>
                <w:color w:val="auto"/>
              </w:rPr>
            </w:pPr>
          </w:p>
        </w:tc>
        <w:tc>
          <w:tcPr>
            <w:tcW w:w="168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r>
      <w:tr>
        <w:trPr>
          <w:trHeight w:val="249"/>
        </w:trPr>
        <w:tc>
          <w:tcPr>
            <w:tcW w:w="384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color w:val="231F20"/>
              </w:rPr>
              <w:t>operations</w:t>
            </w:r>
          </w:p>
        </w:tc>
        <w:tc>
          <w:tcPr>
            <w:tcW w:w="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222,023</w:t>
            </w:r>
          </w:p>
        </w:tc>
        <w:tc>
          <w:tcPr>
            <w:tcW w:w="260" w:type="dxa"/>
            <w:vAlign w:val="bottom"/>
            <w:shd w:val="clear" w:color="auto" w:fill="CFEDF9"/>
          </w:tcPr>
          <w:p>
            <w:pPr>
              <w:spacing w:after="0"/>
              <w:rPr>
                <w:sz w:val="21"/>
                <w:szCs w:val="21"/>
                <w:color w:val="auto"/>
              </w:rPr>
            </w:pPr>
          </w:p>
        </w:tc>
        <w:tc>
          <w:tcPr>
            <w:tcW w:w="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108,053</w:t>
            </w:r>
          </w:p>
        </w:tc>
        <w:tc>
          <w:tcPr>
            <w:tcW w:w="240" w:type="dxa"/>
            <w:vAlign w:val="bottom"/>
            <w:shd w:val="clear" w:color="auto" w:fill="CFEDF9"/>
          </w:tcPr>
          <w:p>
            <w:pPr>
              <w:spacing w:after="0"/>
              <w:rPr>
                <w:sz w:val="21"/>
                <w:szCs w:val="21"/>
                <w:color w:val="auto"/>
              </w:rPr>
            </w:pPr>
          </w:p>
        </w:tc>
        <w:tc>
          <w:tcPr>
            <w:tcW w:w="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211,780</w:t>
            </w:r>
          </w:p>
        </w:tc>
        <w:tc>
          <w:tcPr>
            <w:tcW w:w="120" w:type="dxa"/>
            <w:vAlign w:val="bottom"/>
            <w:shd w:val="clear" w:color="auto" w:fill="CFEDF9"/>
          </w:tcPr>
          <w:p>
            <w:pPr>
              <w:spacing w:after="0"/>
              <w:rPr>
                <w:sz w:val="21"/>
                <w:szCs w:val="2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231F20"/>
              </w:rPr>
              <w:t>Adjustments:</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8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unrealized (gains) losses on investments</w:t>
            </w:r>
          </w:p>
        </w:tc>
        <w:tc>
          <w:tcPr>
            <w:tcW w:w="100" w:type="dxa"/>
            <w:vAlign w:val="bottom"/>
            <w:shd w:val="clear" w:color="auto" w:fill="CFEDF9"/>
          </w:tcPr>
          <w:p>
            <w:pPr>
              <w:spacing w:after="0"/>
              <w:rPr>
                <w:sz w:val="19"/>
                <w:szCs w:val="19"/>
                <w:color w:val="auto"/>
              </w:rPr>
            </w:pP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(13,191)</w:t>
            </w: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74,969</w:t>
            </w:r>
          </w:p>
        </w:tc>
        <w:tc>
          <w:tcPr>
            <w:tcW w:w="24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80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(40,546)</w:t>
            </w:r>
          </w:p>
        </w:tc>
      </w:tr>
      <w:tr>
        <w:trPr>
          <w:trHeight w:val="230"/>
        </w:trPr>
        <w:tc>
          <w:tcPr>
            <w:tcW w:w="3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income for tax purposes, not book</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4,957</w:t>
            </w:r>
          </w:p>
        </w:tc>
        <w:tc>
          <w:tcPr>
            <w:tcW w:w="120" w:type="dxa"/>
            <w:vAlign w:val="bottom"/>
          </w:tcPr>
          <w:p>
            <w:pPr>
              <w:spacing w:after="0"/>
              <w:rPr>
                <w:sz w:val="19"/>
                <w:szCs w:val="19"/>
                <w:color w:val="auto"/>
              </w:rPr>
            </w:pPr>
          </w:p>
        </w:tc>
      </w:tr>
      <w:tr>
        <w:trPr>
          <w:trHeight w:val="230"/>
        </w:trPr>
        <w:tc>
          <w:tcPr>
            <w:tcW w:w="384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Deferred organization costs</w:t>
            </w:r>
          </w:p>
        </w:tc>
        <w:tc>
          <w:tcPr>
            <w:tcW w:w="100" w:type="dxa"/>
            <w:vAlign w:val="bottom"/>
            <w:shd w:val="clear" w:color="auto" w:fill="CFEDF9"/>
          </w:tcPr>
          <w:p>
            <w:pPr>
              <w:spacing w:after="0"/>
              <w:rPr>
                <w:sz w:val="19"/>
                <w:szCs w:val="19"/>
                <w:color w:val="auto"/>
              </w:rPr>
            </w:pP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920" w:type="dxa"/>
            <w:vAlign w:val="bottom"/>
            <w:gridSpan w:val="2"/>
            <w:shd w:val="clear" w:color="auto" w:fill="CFEDF9"/>
          </w:tcPr>
          <w:p>
            <w:pPr>
              <w:jc w:val="right"/>
              <w:ind w:right="180"/>
              <w:spacing w:after="0"/>
              <w:rPr>
                <w:sz w:val="20"/>
                <w:szCs w:val="20"/>
                <w:color w:val="auto"/>
              </w:rPr>
            </w:pPr>
            <w:r>
              <w:rPr>
                <w:rFonts w:ascii="Times New Roman" w:cs="Times New Roman" w:eastAsia="Times New Roman" w:hAnsi="Times New Roman"/>
                <w:sz w:val="20"/>
                <w:szCs w:val="20"/>
                <w:color w:val="231F20"/>
              </w:rPr>
              <w:t>(100)</w:t>
            </w:r>
          </w:p>
        </w:tc>
        <w:tc>
          <w:tcPr>
            <w:tcW w:w="120" w:type="dxa"/>
            <w:vAlign w:val="bottom"/>
            <w:shd w:val="clear" w:color="auto" w:fill="CFEDF9"/>
          </w:tcPr>
          <w:p>
            <w:pPr>
              <w:spacing w:after="0"/>
              <w:rPr>
                <w:sz w:val="19"/>
                <w:szCs w:val="19"/>
                <w:color w:val="auto"/>
              </w:rPr>
            </w:pPr>
          </w:p>
        </w:tc>
        <w:tc>
          <w:tcPr>
            <w:tcW w:w="180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(100)</w:t>
            </w:r>
          </w:p>
        </w:tc>
      </w:tr>
      <w:tr>
        <w:trPr>
          <w:trHeight w:val="230"/>
        </w:trPr>
        <w:tc>
          <w:tcPr>
            <w:tcW w:w="3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expenses not currently deductible</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w:t>
            </w:r>
          </w:p>
        </w:tc>
        <w:tc>
          <w:tcPr>
            <w:tcW w:w="120" w:type="dxa"/>
            <w:vAlign w:val="bottom"/>
          </w:tcPr>
          <w:p>
            <w:pPr>
              <w:spacing w:after="0"/>
              <w:rPr>
                <w:sz w:val="19"/>
                <w:szCs w:val="19"/>
                <w:color w:val="auto"/>
              </w:rPr>
            </w:pPr>
          </w:p>
        </w:tc>
      </w:tr>
      <w:tr>
        <w:trPr>
          <w:trHeight w:val="230"/>
        </w:trPr>
        <w:tc>
          <w:tcPr>
            <w:tcW w:w="384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Other book-tax differences</w:t>
            </w:r>
          </w:p>
        </w:tc>
        <w:tc>
          <w:tcPr>
            <w:tcW w:w="100" w:type="dxa"/>
            <w:vAlign w:val="bottom"/>
            <w:shd w:val="clear" w:color="auto" w:fill="CFEDF9"/>
          </w:tcPr>
          <w:p>
            <w:pPr>
              <w:spacing w:after="0"/>
              <w:rPr>
                <w:sz w:val="19"/>
                <w:szCs w:val="19"/>
                <w:color w:val="auto"/>
              </w:rPr>
            </w:pPr>
          </w:p>
        </w:tc>
        <w:tc>
          <w:tcPr>
            <w:tcW w:w="1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(4,959)</w:t>
            </w:r>
          </w:p>
        </w:tc>
        <w:tc>
          <w:tcPr>
            <w:tcW w:w="26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920" w:type="dxa"/>
            <w:vAlign w:val="bottom"/>
            <w:gridSpan w:val="2"/>
            <w:shd w:val="clear" w:color="auto" w:fill="CFEDF9"/>
          </w:tcPr>
          <w:p>
            <w:pPr>
              <w:jc w:val="right"/>
              <w:ind w:right="180"/>
              <w:spacing w:after="0"/>
              <w:rPr>
                <w:sz w:val="20"/>
                <w:szCs w:val="20"/>
                <w:color w:val="auto"/>
              </w:rPr>
            </w:pPr>
            <w:r>
              <w:rPr>
                <w:rFonts w:ascii="Times New Roman" w:cs="Times New Roman" w:eastAsia="Times New Roman" w:hAnsi="Times New Roman"/>
                <w:sz w:val="20"/>
                <w:szCs w:val="20"/>
                <w:color w:val="231F20"/>
              </w:rPr>
              <w:t>(11,123)</w:t>
            </w:r>
          </w:p>
        </w:tc>
        <w:tc>
          <w:tcPr>
            <w:tcW w:w="120" w:type="dxa"/>
            <w:vAlign w:val="bottom"/>
            <w:shd w:val="clear" w:color="auto" w:fill="CFEDF9"/>
          </w:tcPr>
          <w:p>
            <w:pPr>
              <w:spacing w:after="0"/>
              <w:rPr>
                <w:sz w:val="19"/>
                <w:szCs w:val="19"/>
                <w:color w:val="auto"/>
              </w:rPr>
            </w:pPr>
          </w:p>
        </w:tc>
        <w:tc>
          <w:tcPr>
            <w:tcW w:w="1800" w:type="dxa"/>
            <w:vAlign w:val="bottom"/>
            <w:gridSpan w:val="2"/>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(3,771)</w:t>
            </w:r>
          </w:p>
        </w:tc>
      </w:tr>
      <w:tr>
        <w:trPr>
          <w:trHeight w:val="220"/>
        </w:trPr>
        <w:tc>
          <w:tcPr>
            <w:tcW w:w="38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231F20"/>
              </w:rPr>
              <w:t>Taxable Income</w:t>
            </w: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208,716</w:t>
            </w:r>
          </w:p>
        </w:tc>
        <w:tc>
          <w:tcPr>
            <w:tcW w:w="26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175,108</w:t>
            </w:r>
          </w:p>
        </w:tc>
        <w:tc>
          <w:tcPr>
            <w:tcW w:w="24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172,711</w:t>
            </w:r>
          </w:p>
        </w:tc>
        <w:tc>
          <w:tcPr>
            <w:tcW w:w="12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6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00" w:firstLine="245"/>
        <w:spacing w:after="0" w:line="258" w:lineRule="auto"/>
        <w:rPr>
          <w:sz w:val="20"/>
          <w:szCs w:val="20"/>
          <w:color w:val="auto"/>
        </w:rPr>
      </w:pPr>
      <w:r>
        <w:rPr>
          <w:rFonts w:ascii="Times New Roman" w:cs="Times New Roman" w:eastAsia="Times New Roman" w:hAnsi="Times New Roman"/>
          <w:sz w:val="20"/>
          <w:szCs w:val="20"/>
          <w:color w:val="231F20"/>
        </w:rPr>
        <w:t>Note: Taxable income is an estimate and is not fully determined until the Company’s tax return is filed. The Company's tax year end is currently March 31, however the Company intends to change its tax year end to December 31 during calendar year 2024.</w:t>
      </w:r>
    </w:p>
    <w:p>
      <w:pPr>
        <w:spacing w:after="0" w:line="169" w:lineRule="exact"/>
        <w:rPr>
          <w:sz w:val="20"/>
          <w:szCs w:val="20"/>
          <w:color w:val="auto"/>
        </w:rPr>
      </w:pPr>
    </w:p>
    <w:p>
      <w:pPr>
        <w:ind w:firstLine="245"/>
        <w:spacing w:after="0" w:line="239" w:lineRule="auto"/>
        <w:rPr>
          <w:sz w:val="20"/>
          <w:szCs w:val="20"/>
          <w:color w:val="auto"/>
        </w:rPr>
      </w:pPr>
      <w:r>
        <w:rPr>
          <w:rFonts w:ascii="Times New Roman" w:cs="Times New Roman" w:eastAsia="Times New Roman" w:hAnsi="Times New Roman"/>
          <w:sz w:val="20"/>
          <w:szCs w:val="20"/>
          <w:color w:val="231F20"/>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8" w:lineRule="exact"/>
        <w:rPr>
          <w:sz w:val="20"/>
          <w:szCs w:val="20"/>
          <w:color w:val="auto"/>
        </w:rPr>
      </w:pPr>
    </w:p>
    <w:p>
      <w:pPr>
        <w:ind w:right="120" w:firstLine="245"/>
        <w:spacing w:after="0" w:line="232" w:lineRule="auto"/>
        <w:rPr>
          <w:sz w:val="20"/>
          <w:szCs w:val="20"/>
          <w:color w:val="auto"/>
        </w:rPr>
      </w:pPr>
      <w:r>
        <w:rPr>
          <w:rFonts w:ascii="Times New Roman" w:cs="Times New Roman" w:eastAsia="Times New Roman" w:hAnsi="Times New Roman"/>
          <w:sz w:val="20"/>
          <w:szCs w:val="20"/>
          <w:color w:val="231F20"/>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87" w:lineRule="exact"/>
        <w:rPr>
          <w:sz w:val="20"/>
          <w:szCs w:val="20"/>
          <w:color w:val="auto"/>
        </w:rPr>
      </w:pPr>
    </w:p>
    <w:p>
      <w:pPr>
        <w:ind w:right="700" w:firstLine="245"/>
        <w:spacing w:after="0" w:line="258" w:lineRule="auto"/>
        <w:rPr>
          <w:sz w:val="20"/>
          <w:szCs w:val="20"/>
          <w:color w:val="auto"/>
        </w:rPr>
      </w:pPr>
      <w:r>
        <w:rPr>
          <w:rFonts w:ascii="Times New Roman" w:cs="Times New Roman" w:eastAsia="Times New Roman" w:hAnsi="Times New Roman"/>
          <w:sz w:val="20"/>
          <w:szCs w:val="20"/>
          <w:color w:val="231F20"/>
        </w:rPr>
        <w:t>During the period April 1, 2023 through December 31, 2023, the Company increased distributable earnings and decreased additional paid in capital by $1.9 million which was primarily attributable to U.S. federal excise taxes.</w:t>
      </w:r>
    </w:p>
    <w:p>
      <w:pPr>
        <w:spacing w:after="0" w:line="169" w:lineRule="exact"/>
        <w:rPr>
          <w:sz w:val="20"/>
          <w:szCs w:val="20"/>
          <w:color w:val="auto"/>
        </w:rPr>
      </w:pPr>
    </w:p>
    <w:p>
      <w:pPr>
        <w:ind w:right="700" w:firstLine="245"/>
        <w:spacing w:after="0" w:line="258" w:lineRule="auto"/>
        <w:rPr>
          <w:sz w:val="20"/>
          <w:szCs w:val="20"/>
          <w:color w:val="auto"/>
        </w:rPr>
      </w:pPr>
      <w:r>
        <w:rPr>
          <w:rFonts w:ascii="Times New Roman" w:cs="Times New Roman" w:eastAsia="Times New Roman" w:hAnsi="Times New Roman"/>
          <w:sz w:val="20"/>
          <w:szCs w:val="20"/>
          <w:color w:val="231F20"/>
        </w:rPr>
        <w:t>During the period April 1, 2022 through December 31, 2022, the Company increased distributable earnings and decreased additional paid in capital by $2.3 million which was primarily attributable to U.S. federal excise taxes.</w:t>
      </w:r>
    </w:p>
    <w:p>
      <w:pPr>
        <w:spacing w:after="0" w:line="169" w:lineRule="exact"/>
        <w:rPr>
          <w:sz w:val="20"/>
          <w:szCs w:val="20"/>
          <w:color w:val="auto"/>
        </w:rPr>
      </w:pPr>
    </w:p>
    <w:p>
      <w:pPr>
        <w:ind w:right="700" w:firstLine="245"/>
        <w:spacing w:after="0" w:line="258" w:lineRule="auto"/>
        <w:rPr>
          <w:sz w:val="20"/>
          <w:szCs w:val="20"/>
          <w:color w:val="auto"/>
        </w:rPr>
      </w:pPr>
      <w:r>
        <w:rPr>
          <w:rFonts w:ascii="Times New Roman" w:cs="Times New Roman" w:eastAsia="Times New Roman" w:hAnsi="Times New Roman"/>
          <w:sz w:val="20"/>
          <w:szCs w:val="20"/>
          <w:color w:val="231F20"/>
        </w:rPr>
        <w:t>During the period April 1, 2021 through December 31, 2021, the Company increased distributable earnings and decreased additional paid in capital by $0.1 million which was primarily attributable to U.S. federal excise taxes.</w:t>
      </w:r>
    </w:p>
    <w:p>
      <w:pPr>
        <w:sectPr>
          <w:pgSz w:w="12240" w:h="15840" w:orient="portrait"/>
          <w:cols w:equalWidth="0" w:num="1">
            <w:col w:w="10720"/>
          </w:cols>
          <w:pgMar w:left="720" w:top="926" w:right="800" w:bottom="186"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231F20"/>
        </w:rPr>
        <w:t>F-43</w:t>
      </w:r>
    </w:p>
    <w:p>
      <w:pPr>
        <w:sectPr>
          <w:pgSz w:w="12240" w:h="15840" w:orient="portrait"/>
          <w:cols w:equalWidth="0" w:num="1">
            <w:col w:w="10720"/>
          </w:cols>
          <w:pgMar w:left="720" w:top="926" w:right="800" w:bottom="186" w:gutter="0" w:footer="0" w:header="0"/>
          <w:type w:val="continuous"/>
        </w:sectPr>
      </w:pPr>
    </w:p>
    <w:bookmarkStart w:id="128" w:name="page129"/>
    <w:bookmarkEnd w:id="128"/>
    <w:p>
      <w:pPr>
        <w:ind w:right="80" w:firstLine="245"/>
        <w:spacing w:after="0" w:line="229" w:lineRule="auto"/>
        <w:rPr>
          <w:sz w:val="20"/>
          <w:szCs w:val="20"/>
          <w:color w:val="auto"/>
        </w:rPr>
      </w:pPr>
      <w:r>
        <w:rPr>
          <w:rFonts w:ascii="Times New Roman" w:cs="Times New Roman" w:eastAsia="Times New Roman" w:hAnsi="Times New Roman"/>
          <w:sz w:val="20"/>
          <w:szCs w:val="20"/>
          <w:color w:val="231F20"/>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83" w:lineRule="exact"/>
        <w:rPr>
          <w:sz w:val="20"/>
          <w:szCs w:val="20"/>
          <w:color w:val="auto"/>
        </w:rPr>
      </w:pPr>
    </w:p>
    <w:p>
      <w:pPr>
        <w:jc w:val="both"/>
        <w:ind w:right="120" w:firstLine="245"/>
        <w:spacing w:after="0" w:line="229" w:lineRule="auto"/>
        <w:rPr>
          <w:sz w:val="20"/>
          <w:szCs w:val="20"/>
          <w:color w:val="auto"/>
        </w:rPr>
      </w:pPr>
      <w:r>
        <w:rPr>
          <w:rFonts w:ascii="Times New Roman" w:cs="Times New Roman" w:eastAsia="Times New Roman" w:hAnsi="Times New Roman"/>
          <w:sz w:val="20"/>
          <w:szCs w:val="20"/>
          <w:color w:val="231F20"/>
        </w:rPr>
        <w:t>As of December 31, 2023, the Company had a deferred tax liability of $2.8 million pertaining to unrealized gains, related to seven of its investments. Given the unrealized gains generated by this entity, the deferred tax liability has been offset by a deferred tax asset of $0.9 million pertaining to operating losses. The Company recorded a current tax expense of $0.1 million and a deferred tax benefit of $0.6 million for the year ended December 31, 2023.</w:t>
      </w:r>
    </w:p>
    <w:p>
      <w:pPr>
        <w:spacing w:after="0" w:line="183" w:lineRule="exact"/>
        <w:rPr>
          <w:sz w:val="20"/>
          <w:szCs w:val="20"/>
          <w:color w:val="auto"/>
        </w:rPr>
      </w:pPr>
    </w:p>
    <w:p>
      <w:pPr>
        <w:jc w:val="both"/>
        <w:ind w:right="60" w:firstLine="245"/>
        <w:spacing w:after="0" w:line="235" w:lineRule="auto"/>
        <w:rPr>
          <w:sz w:val="20"/>
          <w:szCs w:val="20"/>
          <w:color w:val="auto"/>
        </w:rPr>
      </w:pPr>
      <w:r>
        <w:rPr>
          <w:rFonts w:ascii="Times New Roman" w:cs="Times New Roman" w:eastAsia="Times New Roman" w:hAnsi="Times New Roman"/>
          <w:sz w:val="20"/>
          <w:szCs w:val="20"/>
          <w:color w:val="231F20"/>
        </w:rPr>
        <w:t>As of December 31, 2022, the Company had a deferred tax liability of $3.3 million pertaining to unrealized gains, related to five of its investments. Given the unrealized gains generated by this entity, the deferred tax liability has been offset by a deferred tax asset of $0.8 million pertaining to operating losses.</w:t>
      </w:r>
    </w:p>
    <w:p>
      <w:pPr>
        <w:spacing w:after="0" w:line="180" w:lineRule="exact"/>
        <w:rPr>
          <w:sz w:val="20"/>
          <w:szCs w:val="20"/>
          <w:color w:val="auto"/>
        </w:rPr>
      </w:pPr>
    </w:p>
    <w:p>
      <w:pPr>
        <w:ind w:right="140" w:firstLine="245"/>
        <w:spacing w:after="0" w:line="229" w:lineRule="auto"/>
        <w:rPr>
          <w:sz w:val="20"/>
          <w:szCs w:val="20"/>
          <w:color w:val="auto"/>
        </w:rPr>
      </w:pPr>
      <w:r>
        <w:rPr>
          <w:rFonts w:ascii="Times New Roman" w:cs="Times New Roman" w:eastAsia="Times New Roman" w:hAnsi="Times New Roman"/>
          <w:sz w:val="20"/>
          <w:szCs w:val="20"/>
          <w:color w:val="231F20"/>
        </w:rPr>
        <w:t>As of December 31, 2021, the Company had a deferred tax liability of $2.8 million pertaining to unrealized gains, related to six of its investments. Given the unrealized gains generated by the entity, the deferred tax liability has been offset by a deferred tax asset of $0.9 million pertaining to operating losses. The Company carried back a portion of its operating losses to the previous tax years generating a $0.3 million tax refund.</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tax cost of the Company’s investments as of December 31, 2023 was $3,256,630, resulting in estimated gross unrealized gains</w:t>
      </w:r>
    </w:p>
    <w:p>
      <w:pPr>
        <w:spacing w:after="0" w:line="217" w:lineRule="auto"/>
        <w:rPr>
          <w:sz w:val="20"/>
          <w:szCs w:val="20"/>
          <w:color w:val="auto"/>
        </w:rPr>
      </w:pPr>
      <w:r>
        <w:rPr>
          <w:rFonts w:ascii="Times New Roman" w:cs="Times New Roman" w:eastAsia="Times New Roman" w:hAnsi="Times New Roman"/>
          <w:sz w:val="20"/>
          <w:szCs w:val="20"/>
          <w:color w:val="231F20"/>
        </w:rPr>
        <w:t>and losses of $159,281 and $135,606, respectively. The tax cost of the Company’s investments as of December 31, 2022 was</w:t>
      </w:r>
    </w:p>
    <w:p>
      <w:pPr>
        <w:spacing w:after="0" w:line="214" w:lineRule="auto"/>
        <w:rPr>
          <w:sz w:val="20"/>
          <w:szCs w:val="20"/>
          <w:color w:val="auto"/>
        </w:rPr>
      </w:pPr>
      <w:r>
        <w:rPr>
          <w:rFonts w:ascii="Times New Roman" w:cs="Times New Roman" w:eastAsia="Times New Roman" w:hAnsi="Times New Roman"/>
          <w:sz w:val="20"/>
          <w:szCs w:val="20"/>
          <w:color w:val="231F20"/>
        </w:rPr>
        <w:t>$2,787,005, resulting in estimated gross unrealized gains and losses of $109,609 and $105,786, respectively. The tax cost of the</w:t>
      </w:r>
    </w:p>
    <w:p>
      <w:pPr>
        <w:spacing w:after="0" w:line="214" w:lineRule="auto"/>
        <w:rPr>
          <w:sz w:val="20"/>
          <w:szCs w:val="20"/>
          <w:color w:val="auto"/>
        </w:rPr>
      </w:pPr>
      <w:r>
        <w:rPr>
          <w:rFonts w:ascii="Times New Roman" w:cs="Times New Roman" w:eastAsia="Times New Roman" w:hAnsi="Times New Roman"/>
          <w:sz w:val="20"/>
          <w:szCs w:val="20"/>
          <w:color w:val="231F20"/>
        </w:rPr>
        <w:t>Company’s investments as of December 31, 2021 was $2,445,863, resulting in estimated gross unrealized gains and losses of</w:t>
      </w:r>
    </w:p>
    <w:p>
      <w:pPr>
        <w:spacing w:after="0"/>
        <w:rPr>
          <w:sz w:val="20"/>
          <w:szCs w:val="20"/>
          <w:color w:val="auto"/>
        </w:rPr>
      </w:pPr>
      <w:r>
        <w:rPr>
          <w:rFonts w:ascii="Times New Roman" w:cs="Times New Roman" w:eastAsia="Times New Roman" w:hAnsi="Times New Roman"/>
          <w:sz w:val="20"/>
          <w:szCs w:val="20"/>
          <w:color w:val="231F20"/>
        </w:rPr>
        <w:t>$156,819 and $79,599, respectively.</w:t>
      </w:r>
    </w:p>
    <w:p>
      <w:pPr>
        <w:spacing w:after="0" w:line="187" w:lineRule="exact"/>
        <w:rPr>
          <w:sz w:val="20"/>
          <w:szCs w:val="20"/>
          <w:color w:val="auto"/>
        </w:rPr>
      </w:pPr>
    </w:p>
    <w:p>
      <w:pPr>
        <w:ind w:right="160" w:firstLine="245"/>
        <w:spacing w:after="0" w:line="229" w:lineRule="auto"/>
        <w:rPr>
          <w:sz w:val="20"/>
          <w:szCs w:val="20"/>
          <w:color w:val="auto"/>
        </w:rPr>
      </w:pPr>
      <w:r>
        <w:rPr>
          <w:rFonts w:ascii="Times New Roman" w:cs="Times New Roman" w:eastAsia="Times New Roman" w:hAnsi="Times New Roman"/>
          <w:sz w:val="20"/>
          <w:szCs w:val="20"/>
          <w:color w:val="231F20"/>
        </w:rPr>
        <w:t>To the extent that the Company determines that its estimated current year annual taxable income will exceed its estimated current year dividends from such taxable income, the Company accrues excise tax on estimated excess taxable income. For the year ended December 31, 2023, 2022 and 2021, a net expense of $2.3 million, $2.2 million and $0.7 million, respectively, was recorded for U.S. federal excise tax.</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13. Financial Highlights</w:t>
      </w:r>
    </w:p>
    <w:p>
      <w:pPr>
        <w:spacing w:after="0" w:line="124" w:lineRule="exact"/>
        <w:rPr>
          <w:sz w:val="20"/>
          <w:szCs w:val="20"/>
          <w:color w:val="auto"/>
        </w:rPr>
      </w:pPr>
    </w:p>
    <w:p>
      <w:pPr>
        <w:ind w:right="100" w:firstLine="245"/>
        <w:spacing w:after="0" w:line="258" w:lineRule="auto"/>
        <w:rPr>
          <w:sz w:val="20"/>
          <w:szCs w:val="20"/>
          <w:color w:val="auto"/>
        </w:rPr>
      </w:pPr>
      <w:r>
        <w:rPr>
          <w:rFonts w:ascii="Times New Roman" w:cs="Times New Roman" w:eastAsia="Times New Roman" w:hAnsi="Times New Roman"/>
          <w:sz w:val="20"/>
          <w:szCs w:val="20"/>
          <w:color w:val="231F20"/>
        </w:rPr>
        <w:t>The following per share data and ratios have been derived from information provided in the consolidated financial statements. The following are the financial highlights for one share of common stock outstanding during the years ended December 31, 2023, 2022, 2021, 2020, 2019, 2018, 2017, 2016, 2015, and 2014: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Borders>
              <w:bottom w:val="single" w:sz="8" w:color="231F20"/>
            </w:tcBorders>
          </w:tcPr>
          <w:p>
            <w:pPr>
              <w:spacing w:after="0"/>
              <w:rPr>
                <w:sz w:val="14"/>
                <w:szCs w:val="14"/>
                <w:color w:val="auto"/>
              </w:rPr>
            </w:pPr>
          </w:p>
        </w:tc>
        <w:tc>
          <w:tcPr>
            <w:tcW w:w="60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60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60" w:type="dxa"/>
            <w:vAlign w:val="bottom"/>
            <w:tcBorders>
              <w:bottom w:val="single" w:sz="8" w:color="231F20"/>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6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40" w:type="dxa"/>
            <w:vAlign w:val="bottom"/>
            <w:tcBorders>
              <w:bottom w:val="single" w:sz="8" w:color="231F20"/>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60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4294967277" w:type="dxa"/>
            <w:vAlign w:val="bottom"/>
            <w:tcBorders>
              <w:bottom w:val="single" w:sz="8" w:color="231F20"/>
            </w:tcBorders>
          </w:tcPr>
          <w:p>
            <w:pPr>
              <w:spacing w:after="0"/>
              <w:rPr>
                <w:sz w:val="14"/>
                <w:szCs w:val="14"/>
                <w:color w:val="auto"/>
              </w:rPr>
            </w:pPr>
          </w:p>
        </w:tc>
        <w:tc>
          <w:tcPr>
            <w:tcW w:w="1960" w:type="dxa"/>
            <w:vAlign w:val="bottom"/>
            <w:tcBorders>
              <w:bottom w:val="single" w:sz="8" w:color="231F20"/>
            </w:tcBorders>
            <w:gridSpan w:val="11"/>
          </w:tcPr>
          <w:p>
            <w:pPr>
              <w:jc w:val="right"/>
              <w:spacing w:after="0"/>
              <w:rPr>
                <w:sz w:val="20"/>
                <w:szCs w:val="20"/>
                <w:color w:val="auto"/>
              </w:rPr>
            </w:pPr>
            <w:r>
              <w:rPr>
                <w:rFonts w:ascii="Times New Roman" w:cs="Times New Roman" w:eastAsia="Times New Roman" w:hAnsi="Times New Roman"/>
                <w:sz w:val="13"/>
                <w:szCs w:val="13"/>
                <w:b w:val="1"/>
                <w:bCs w:val="1"/>
                <w:color w:val="231F20"/>
                <w:w w:val="99"/>
              </w:rPr>
              <w:t>For the Years Ended December 31,</w:t>
            </w:r>
          </w:p>
        </w:tc>
        <w:tc>
          <w:tcPr>
            <w:tcW w:w="80" w:type="dxa"/>
            <w:vAlign w:val="bottom"/>
            <w:tcBorders>
              <w:bottom w:val="single" w:sz="8" w:color="231F20"/>
            </w:tcBorders>
          </w:tcPr>
          <w:p>
            <w:pPr>
              <w:spacing w:after="0"/>
              <w:rPr>
                <w:sz w:val="14"/>
                <w:szCs w:val="14"/>
                <w:color w:val="auto"/>
              </w:rPr>
            </w:pPr>
          </w:p>
        </w:tc>
        <w:tc>
          <w:tcPr>
            <w:tcW w:w="58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4294967277" w:type="dxa"/>
            <w:vAlign w:val="bottom"/>
            <w:tcBorders>
              <w:bottom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60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4294967277" w:type="dxa"/>
            <w:vAlign w:val="bottom"/>
            <w:tcBorders>
              <w:bottom w:val="single" w:sz="8" w:color="231F20"/>
            </w:tcBorders>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60" w:type="dxa"/>
            <w:vAlign w:val="bottom"/>
            <w:tcBorders>
              <w:bottom w:val="single" w:sz="8" w:color="231F20"/>
            </w:tcBorders>
          </w:tcPr>
          <w:p>
            <w:pPr>
              <w:spacing w:after="0"/>
              <w:rPr>
                <w:sz w:val="14"/>
                <w:szCs w:val="14"/>
                <w:color w:val="auto"/>
              </w:rPr>
            </w:pPr>
          </w:p>
        </w:tc>
        <w:tc>
          <w:tcPr>
            <w:tcW w:w="62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4294967277" w:type="dxa"/>
            <w:vAlign w:val="bottom"/>
            <w:tcBorders>
              <w:bottom w:val="single" w:sz="8" w:color="231F20"/>
            </w:tcBorders>
          </w:tcPr>
          <w:p>
            <w:pPr>
              <w:spacing w:after="0"/>
              <w:rPr>
                <w:sz w:val="14"/>
                <w:szCs w:val="14"/>
                <w:color w:val="auto"/>
              </w:rPr>
            </w:pPr>
          </w:p>
        </w:tc>
        <w:tc>
          <w:tcPr>
            <w:tcW w:w="180" w:type="dxa"/>
            <w:vAlign w:val="bottom"/>
            <w:tcBorders>
              <w:bottom w:val="single" w:sz="8" w:color="231F20"/>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58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4294967277" w:type="dxa"/>
            <w:vAlign w:val="bottom"/>
            <w:tcBorders>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Borders>
              <w:bottom w:val="single" w:sz="8" w:color="CFEDF9"/>
            </w:tcBorders>
            <w:gridSpan w:val="6"/>
          </w:tcPr>
          <w:p>
            <w:pPr>
              <w:spacing w:after="0"/>
              <w:rPr>
                <w:sz w:val="12"/>
                <w:szCs w:val="12"/>
                <w:color w:val="auto"/>
              </w:rPr>
            </w:pPr>
          </w:p>
        </w:tc>
        <w:tc>
          <w:tcPr>
            <w:tcW w:w="660" w:type="dxa"/>
            <w:vAlign w:val="bottom"/>
            <w:tcBorders>
              <w:bottom w:val="single" w:sz="8" w:color="231F20"/>
            </w:tcBorders>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140" w:type="dxa"/>
            <w:vAlign w:val="bottom"/>
            <w:tcBorders>
              <w:bottom w:val="single" w:sz="8" w:color="CFEDF9"/>
            </w:tcBorders>
          </w:tcPr>
          <w:p>
            <w:pPr>
              <w:spacing w:after="0"/>
              <w:rPr>
                <w:sz w:val="12"/>
                <w:szCs w:val="12"/>
                <w:color w:val="auto"/>
              </w:rPr>
            </w:pPr>
          </w:p>
        </w:tc>
        <w:tc>
          <w:tcPr>
            <w:tcW w:w="740" w:type="dxa"/>
            <w:vAlign w:val="bottom"/>
            <w:tcBorders>
              <w:bottom w:val="single" w:sz="8" w:color="231F20"/>
            </w:tcBorders>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231F20"/>
              </w:rPr>
              <w:t>2022</w:t>
            </w:r>
          </w:p>
        </w:tc>
        <w:tc>
          <w:tcPr>
            <w:tcW w:w="60" w:type="dxa"/>
            <w:vAlign w:val="bottom"/>
            <w:tcBorders>
              <w:bottom w:val="single" w:sz="8" w:color="CFEDF9"/>
            </w:tcBorders>
          </w:tcPr>
          <w:p>
            <w:pPr>
              <w:spacing w:after="0"/>
              <w:rPr>
                <w:sz w:val="12"/>
                <w:szCs w:val="12"/>
                <w:color w:val="auto"/>
              </w:rPr>
            </w:pPr>
          </w:p>
        </w:tc>
        <w:tc>
          <w:tcPr>
            <w:tcW w:w="840" w:type="dxa"/>
            <w:vAlign w:val="bottom"/>
            <w:tcBorders>
              <w:bottom w:val="single" w:sz="8" w:color="231F20"/>
            </w:tcBorders>
            <w:gridSpan w:val="6"/>
          </w:tcPr>
          <w:p>
            <w:pPr>
              <w:jc w:val="right"/>
              <w:ind w:right="840"/>
              <w:spacing w:after="0"/>
              <w:rPr>
                <w:sz w:val="20"/>
                <w:szCs w:val="20"/>
                <w:color w:val="auto"/>
              </w:rPr>
            </w:pPr>
            <w:r>
              <w:rPr>
                <w:rFonts w:ascii="Times New Roman" w:cs="Times New Roman" w:eastAsia="Times New Roman" w:hAnsi="Times New Roman"/>
                <w:sz w:val="13"/>
                <w:szCs w:val="13"/>
                <w:b w:val="1"/>
                <w:bCs w:val="1"/>
                <w:color w:val="231F20"/>
              </w:rPr>
              <w:t>2021</w:t>
            </w:r>
          </w:p>
        </w:tc>
        <w:tc>
          <w:tcPr>
            <w:tcW w:w="120" w:type="dxa"/>
            <w:vAlign w:val="bottom"/>
            <w:tcBorders>
              <w:bottom w:val="single" w:sz="8" w:color="CFEDF9"/>
            </w:tcBorders>
            <w:gridSpan w:val="2"/>
          </w:tcPr>
          <w:p>
            <w:pPr>
              <w:spacing w:after="0"/>
              <w:rPr>
                <w:sz w:val="12"/>
                <w:szCs w:val="12"/>
                <w:color w:val="auto"/>
              </w:rPr>
            </w:pPr>
          </w:p>
        </w:tc>
        <w:tc>
          <w:tcPr>
            <w:tcW w:w="700" w:type="dxa"/>
            <w:vAlign w:val="bottom"/>
            <w:tcBorders>
              <w:bottom w:val="single" w:sz="8" w:color="231F20"/>
            </w:tcBorders>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231F20"/>
              </w:rPr>
              <w:t>2020</w:t>
            </w:r>
          </w:p>
        </w:tc>
        <w:tc>
          <w:tcPr>
            <w:tcW w:w="180" w:type="dxa"/>
            <w:vAlign w:val="bottom"/>
            <w:tcBorders>
              <w:bottom w:val="single" w:sz="8" w:color="CFEDF9"/>
            </w:tcBorders>
          </w:tcPr>
          <w:p>
            <w:pPr>
              <w:spacing w:after="0"/>
              <w:rPr>
                <w:sz w:val="12"/>
                <w:szCs w:val="12"/>
                <w:color w:val="auto"/>
              </w:rPr>
            </w:pPr>
          </w:p>
        </w:tc>
        <w:tc>
          <w:tcPr>
            <w:tcW w:w="700" w:type="dxa"/>
            <w:vAlign w:val="bottom"/>
            <w:tcBorders>
              <w:bottom w:val="single" w:sz="8" w:color="231F20"/>
            </w:tcBorders>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231F20"/>
              </w:rPr>
              <w:t>2019</w:t>
            </w:r>
          </w:p>
        </w:tc>
        <w:tc>
          <w:tcPr>
            <w:tcW w:w="200" w:type="dxa"/>
            <w:vAlign w:val="bottom"/>
            <w:tcBorders>
              <w:bottom w:val="single" w:sz="8" w:color="CFEDF9"/>
            </w:tcBorders>
          </w:tcPr>
          <w:p>
            <w:pPr>
              <w:spacing w:after="0"/>
              <w:rPr>
                <w:sz w:val="12"/>
                <w:szCs w:val="12"/>
                <w:color w:val="auto"/>
              </w:rPr>
            </w:pPr>
          </w:p>
        </w:tc>
        <w:tc>
          <w:tcPr>
            <w:tcW w:w="700" w:type="dxa"/>
            <w:vAlign w:val="bottom"/>
            <w:tcBorders>
              <w:bottom w:val="single" w:sz="8" w:color="231F20"/>
            </w:tcBorders>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231F20"/>
              </w:rPr>
              <w:t>2018</w:t>
            </w:r>
          </w:p>
        </w:tc>
        <w:tc>
          <w:tcPr>
            <w:tcW w:w="180" w:type="dxa"/>
            <w:vAlign w:val="bottom"/>
            <w:tcBorders>
              <w:bottom w:val="single" w:sz="8" w:color="CFEDF9"/>
            </w:tcBorders>
          </w:tcPr>
          <w:p>
            <w:pPr>
              <w:spacing w:after="0"/>
              <w:rPr>
                <w:sz w:val="12"/>
                <w:szCs w:val="12"/>
                <w:color w:val="auto"/>
              </w:rPr>
            </w:pPr>
          </w:p>
        </w:tc>
        <w:tc>
          <w:tcPr>
            <w:tcW w:w="660" w:type="dxa"/>
            <w:vAlign w:val="bottom"/>
            <w:tcBorders>
              <w:bottom w:val="single" w:sz="8" w:color="231F20"/>
            </w:tcBorders>
            <w:gridSpan w:val="4"/>
          </w:tcPr>
          <w:p>
            <w:pPr>
              <w:jc w:val="right"/>
              <w:ind w:right="660"/>
              <w:spacing w:after="0"/>
              <w:rPr>
                <w:sz w:val="20"/>
                <w:szCs w:val="20"/>
                <w:color w:val="auto"/>
              </w:rPr>
            </w:pPr>
            <w:r>
              <w:rPr>
                <w:rFonts w:ascii="Times New Roman" w:cs="Times New Roman" w:eastAsia="Times New Roman" w:hAnsi="Times New Roman"/>
                <w:sz w:val="13"/>
                <w:szCs w:val="13"/>
                <w:b w:val="1"/>
                <w:bCs w:val="1"/>
                <w:color w:val="231F20"/>
              </w:rPr>
              <w:t>2017</w:t>
            </w:r>
          </w:p>
        </w:tc>
        <w:tc>
          <w:tcPr>
            <w:tcW w:w="280" w:type="dxa"/>
            <w:vAlign w:val="bottom"/>
            <w:tcBorders>
              <w:bottom w:val="single" w:sz="8" w:color="CFEDF9"/>
            </w:tcBorders>
          </w:tcPr>
          <w:p>
            <w:pPr>
              <w:spacing w:after="0"/>
              <w:rPr>
                <w:sz w:val="12"/>
                <w:szCs w:val="12"/>
                <w:color w:val="auto"/>
              </w:rPr>
            </w:pPr>
          </w:p>
        </w:tc>
        <w:tc>
          <w:tcPr>
            <w:tcW w:w="680" w:type="dxa"/>
            <w:vAlign w:val="bottom"/>
            <w:tcBorders>
              <w:bottom w:val="single" w:sz="8" w:color="231F20"/>
            </w:tcBorders>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231F20"/>
              </w:rPr>
              <w:t>2016</w:t>
            </w:r>
          </w:p>
        </w:tc>
        <w:tc>
          <w:tcPr>
            <w:tcW w:w="220" w:type="dxa"/>
            <w:vAlign w:val="bottom"/>
            <w:tcBorders>
              <w:bottom w:val="single" w:sz="8" w:color="CFEDF9"/>
            </w:tcBorders>
          </w:tcPr>
          <w:p>
            <w:pPr>
              <w:spacing w:after="0"/>
              <w:rPr>
                <w:sz w:val="12"/>
                <w:szCs w:val="12"/>
                <w:color w:val="auto"/>
              </w:rPr>
            </w:pPr>
          </w:p>
        </w:tc>
        <w:tc>
          <w:tcPr>
            <w:tcW w:w="680" w:type="dxa"/>
            <w:vAlign w:val="bottom"/>
            <w:tcBorders>
              <w:bottom w:val="single" w:sz="8" w:color="231F20"/>
            </w:tcBorders>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231F20"/>
              </w:rPr>
              <w:t>2015</w:t>
            </w:r>
          </w:p>
        </w:tc>
        <w:tc>
          <w:tcPr>
            <w:tcW w:w="180" w:type="dxa"/>
            <w:vAlign w:val="bottom"/>
            <w:tcBorders>
              <w:bottom w:val="single" w:sz="8" w:color="CFEDF9"/>
            </w:tcBorders>
          </w:tcPr>
          <w:p>
            <w:pPr>
              <w:spacing w:after="0"/>
              <w:rPr>
                <w:sz w:val="12"/>
                <w:szCs w:val="12"/>
                <w:color w:val="auto"/>
              </w:rPr>
            </w:pPr>
          </w:p>
        </w:tc>
        <w:tc>
          <w:tcPr>
            <w:tcW w:w="660" w:type="dxa"/>
            <w:vAlign w:val="bottom"/>
            <w:tcBorders>
              <w:bottom w:val="single" w:sz="8" w:color="231F20"/>
            </w:tcBorders>
            <w:gridSpan w:val="4"/>
          </w:tcPr>
          <w:p>
            <w:pPr>
              <w:jc w:val="right"/>
              <w:ind w:right="660"/>
              <w:spacing w:after="0"/>
              <w:rPr>
                <w:sz w:val="20"/>
                <w:szCs w:val="20"/>
                <w:color w:val="auto"/>
              </w:rPr>
            </w:pPr>
            <w:r>
              <w:rPr>
                <w:rFonts w:ascii="Times New Roman" w:cs="Times New Roman" w:eastAsia="Times New Roman" w:hAnsi="Times New Roman"/>
                <w:sz w:val="13"/>
                <w:szCs w:val="13"/>
                <w:b w:val="1"/>
                <w:bCs w:val="1"/>
                <w:color w:val="231F20"/>
              </w:rPr>
              <w:t>2014</w:t>
            </w:r>
          </w:p>
        </w:tc>
        <w:tc>
          <w:tcPr>
            <w:tcW w:w="120" w:type="dxa"/>
            <w:vAlign w:val="bottom"/>
            <w:tcBorders>
              <w:bottom w:val="single" w:sz="8" w:color="CFEDF9"/>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tcBorders>
              <w:right w:val="single" w:sz="8" w:color="CFEDF9"/>
            </w:tcBorders>
            <w:gridSpan w:val="19"/>
            <w:shd w:val="clear" w:color="auto" w:fill="CFEDF9"/>
          </w:tcPr>
          <w:p>
            <w:pPr>
              <w:spacing w:after="0" w:line="139" w:lineRule="exact"/>
              <w:rPr>
                <w:sz w:val="20"/>
                <w:szCs w:val="20"/>
                <w:color w:val="auto"/>
              </w:rPr>
            </w:pPr>
            <w:r>
              <w:rPr>
                <w:rFonts w:ascii="Times New Roman" w:cs="Times New Roman" w:eastAsia="Times New Roman" w:hAnsi="Times New Roman"/>
                <w:sz w:val="13"/>
                <w:szCs w:val="13"/>
                <w:b w:val="1"/>
                <w:bCs w:val="1"/>
                <w:color w:val="231F20"/>
              </w:rPr>
              <w:t xml:space="preserve">Per Share Data </w:t>
            </w:r>
            <w:r>
              <w:rPr>
                <w:rFonts w:ascii="Times New Roman" w:cs="Times New Roman" w:eastAsia="Times New Roman" w:hAnsi="Times New Roman"/>
                <w:sz w:val="8"/>
                <w:szCs w:val="8"/>
                <w:b w:val="1"/>
                <w:bCs w:val="1"/>
                <w:color w:val="231F20"/>
              </w:rPr>
              <w:t>(7)(8)</w:t>
            </w:r>
          </w:p>
        </w:tc>
        <w:tc>
          <w:tcPr>
            <w:tcW w:w="5360" w:type="dxa"/>
            <w:vAlign w:val="bottom"/>
            <w:tcBorders>
              <w:right w:val="single" w:sz="8" w:color="CFEDF9"/>
            </w:tcBorders>
            <w:gridSpan w:val="32"/>
            <w:shd w:val="clear" w:color="auto" w:fill="CFEDF9"/>
          </w:tcPr>
          <w:p>
            <w:pPr>
              <w:spacing w:after="0"/>
              <w:rPr>
                <w:sz w:val="12"/>
                <w:szCs w:val="12"/>
                <w:color w:val="auto"/>
              </w:rPr>
            </w:pPr>
          </w:p>
        </w:tc>
        <w:tc>
          <w:tcPr>
            <w:tcW w:w="1640" w:type="dxa"/>
            <w:vAlign w:val="bottom"/>
            <w:gridSpan w:val="10"/>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6"/>
          </w:tcPr>
          <w:p>
            <w:pPr>
              <w:spacing w:after="0"/>
              <w:rPr>
                <w:sz w:val="20"/>
                <w:szCs w:val="20"/>
                <w:color w:val="auto"/>
              </w:rPr>
            </w:pPr>
            <w:r>
              <w:rPr>
                <w:rFonts w:ascii="Times New Roman" w:cs="Times New Roman" w:eastAsia="Times New Roman" w:hAnsi="Times New Roman"/>
                <w:sz w:val="13"/>
                <w:szCs w:val="13"/>
                <w:color w:val="231F20"/>
              </w:rPr>
              <w:t>Net asset value, beginning of period</w:t>
            </w:r>
          </w:p>
        </w:tc>
        <w:tc>
          <w:tcPr>
            <w:tcW w:w="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16.48</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16.84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17.16</w:t>
            </w:r>
          </w:p>
        </w:tc>
        <w:tc>
          <w:tcPr>
            <w:tcW w:w="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16.83</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231F20"/>
                <w:w w:val="91"/>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16.25</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16.09</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15.95</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15.15</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15.53</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15.52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Borders>
              <w:right w:val="single" w:sz="8" w:color="CFEDF9"/>
            </w:tcBorders>
            <w:gridSpan w:val="19"/>
            <w:shd w:val="clear" w:color="auto" w:fill="CFEDF9"/>
          </w:tcPr>
          <w:p>
            <w:pPr>
              <w:spacing w:after="0"/>
              <w:rPr>
                <w:sz w:val="12"/>
                <w:szCs w:val="12"/>
                <w:color w:val="auto"/>
              </w:rPr>
            </w:pPr>
          </w:p>
        </w:tc>
        <w:tc>
          <w:tcPr>
            <w:tcW w:w="5360" w:type="dxa"/>
            <w:vAlign w:val="bottom"/>
            <w:tcBorders>
              <w:right w:val="single" w:sz="8" w:color="CFEDF9"/>
            </w:tcBorders>
            <w:gridSpan w:val="32"/>
            <w:shd w:val="clear" w:color="auto" w:fill="CFEDF9"/>
          </w:tcPr>
          <w:p>
            <w:pPr>
              <w:spacing w:after="0"/>
              <w:rPr>
                <w:sz w:val="12"/>
                <w:szCs w:val="12"/>
                <w:color w:val="auto"/>
              </w:rPr>
            </w:pPr>
          </w:p>
        </w:tc>
        <w:tc>
          <w:tcPr>
            <w:tcW w:w="1640" w:type="dxa"/>
            <w:vAlign w:val="bottom"/>
            <w:gridSpan w:val="10"/>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6"/>
          </w:tcPr>
          <w:p>
            <w:pPr>
              <w:spacing w:after="0"/>
              <w:rPr>
                <w:sz w:val="20"/>
                <w:szCs w:val="20"/>
                <w:color w:val="auto"/>
              </w:rPr>
            </w:pPr>
            <w:r>
              <w:rPr>
                <w:rFonts w:ascii="Times New Roman" w:cs="Times New Roman" w:eastAsia="Times New Roman" w:hAnsi="Times New Roman"/>
                <w:sz w:val="13"/>
                <w:szCs w:val="13"/>
                <w:color w:val="231F20"/>
              </w:rPr>
              <w:t xml:space="preserve">Net investment income </w:t>
            </w:r>
            <w:r>
              <w:rPr>
                <w:rFonts w:ascii="Times New Roman" w:cs="Times New Roman" w:eastAsia="Times New Roman" w:hAnsi="Times New Roman"/>
                <w:sz w:val="8"/>
                <w:szCs w:val="8"/>
                <w:color w:val="231F20"/>
              </w:rPr>
              <w:t>(1)</w:t>
            </w:r>
          </w:p>
        </w:tc>
        <w:tc>
          <w:tcPr>
            <w:tcW w:w="0" w:type="dxa"/>
            <w:vAlign w:val="bottom"/>
          </w:tcPr>
          <w:p>
            <w:pPr>
              <w:spacing w:after="0"/>
              <w:rPr>
                <w:sz w:val="12"/>
                <w:szCs w:val="12"/>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2.31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2.13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1.97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2.19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2.25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2.00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1.83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2.07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00" w:type="dxa"/>
            <w:vAlign w:val="bottom"/>
            <w:tcBorders>
              <w:right w:val="single" w:sz="8" w:color="CFEDF9"/>
            </w:tcBorders>
            <w:gridSpan w:val="19"/>
            <w:shd w:val="clear" w:color="auto" w:fill="CFEDF9"/>
          </w:tcPr>
          <w:p>
            <w:pPr>
              <w:spacing w:after="0" w:line="137" w:lineRule="exact"/>
              <w:rPr>
                <w:sz w:val="20"/>
                <w:szCs w:val="20"/>
                <w:color w:val="auto"/>
              </w:rPr>
            </w:pPr>
            <w:r>
              <w:rPr>
                <w:rFonts w:ascii="Times New Roman" w:cs="Times New Roman" w:eastAsia="Times New Roman" w:hAnsi="Times New Roman"/>
                <w:sz w:val="13"/>
                <w:szCs w:val="13"/>
                <w:color w:val="231F20"/>
              </w:rPr>
              <w:t>Net realized and unrealized gains</w:t>
            </w:r>
          </w:p>
        </w:tc>
        <w:tc>
          <w:tcPr>
            <w:tcW w:w="5360" w:type="dxa"/>
            <w:vAlign w:val="bottom"/>
            <w:tcBorders>
              <w:right w:val="single" w:sz="8" w:color="CFEDF9"/>
            </w:tcBorders>
            <w:gridSpan w:val="32"/>
            <w:shd w:val="clear" w:color="auto" w:fill="CFEDF9"/>
          </w:tcPr>
          <w:p>
            <w:pPr>
              <w:spacing w:after="0"/>
              <w:rPr>
                <w:sz w:val="11"/>
                <w:szCs w:val="11"/>
                <w:color w:val="auto"/>
              </w:rPr>
            </w:pPr>
          </w:p>
        </w:tc>
        <w:tc>
          <w:tcPr>
            <w:tcW w:w="1640" w:type="dxa"/>
            <w:vAlign w:val="bottom"/>
            <w:gridSpan w:val="10"/>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6"/>
            <w:shd w:val="clear" w:color="auto" w:fill="CFEDF9"/>
          </w:tcPr>
          <w:p>
            <w:pPr>
              <w:ind w:left="40"/>
              <w:spacing w:after="0"/>
              <w:rPr>
                <w:sz w:val="20"/>
                <w:szCs w:val="20"/>
                <w:color w:val="auto"/>
              </w:rPr>
            </w:pPr>
            <w:r>
              <w:rPr>
                <w:rFonts w:ascii="Times New Roman" w:cs="Times New Roman" w:eastAsia="Times New Roman" w:hAnsi="Times New Roman"/>
                <w:sz w:val="13"/>
                <w:szCs w:val="13"/>
                <w:color w:val="231F20"/>
              </w:rPr>
              <w:t xml:space="preserve">(losses) </w:t>
            </w:r>
            <w:r>
              <w:rPr>
                <w:rFonts w:ascii="Times New Roman" w:cs="Times New Roman" w:eastAsia="Times New Roman" w:hAnsi="Times New Roman"/>
                <w:sz w:val="8"/>
                <w:szCs w:val="8"/>
                <w:color w:val="231F20"/>
              </w:rPr>
              <w:t>(1)</w:t>
            </w:r>
          </w:p>
        </w:tc>
        <w:tc>
          <w:tcPr>
            <w:tcW w:w="0" w:type="dxa"/>
            <w:vAlign w:val="bottom"/>
            <w:shd w:val="clear" w:color="auto" w:fill="CFEDF9"/>
          </w:tcPr>
          <w:p>
            <w:pPr>
              <w:spacing w:after="0"/>
              <w:rPr>
                <w:sz w:val="14"/>
                <w:szCs w:val="14"/>
                <w:color w:val="auto"/>
              </w:rPr>
            </w:pP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0.30</w:t>
            </w:r>
          </w:p>
        </w:tc>
        <w:tc>
          <w:tcPr>
            <w:tcW w:w="1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720" w:type="dxa"/>
            <w:vAlign w:val="bottom"/>
            <w:gridSpan w:val="5"/>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(0.75)</w:t>
            </w:r>
          </w:p>
        </w:tc>
        <w:tc>
          <w:tcPr>
            <w:tcW w:w="100" w:type="dxa"/>
            <w:vAlign w:val="bottom"/>
            <w:tcBorders>
              <w:right w:val="single" w:sz="8" w:color="CFEDF9"/>
            </w:tcBorders>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68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0.96</w:t>
            </w:r>
          </w:p>
        </w:tc>
        <w:tc>
          <w:tcPr>
            <w:tcW w:w="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0.46</w:t>
            </w:r>
          </w:p>
        </w:tc>
        <w:tc>
          <w:tcPr>
            <w:tcW w:w="1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0.40</w:t>
            </w:r>
          </w:p>
        </w:tc>
        <w:tc>
          <w:tcPr>
            <w:tcW w:w="20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800" w:type="dxa"/>
            <w:vAlign w:val="bottom"/>
            <w:gridSpan w:val="4"/>
            <w:shd w:val="clear" w:color="auto" w:fill="CFEDF9"/>
          </w:tcPr>
          <w:p>
            <w:pPr>
              <w:jc w:val="right"/>
              <w:ind w:right="140"/>
              <w:spacing w:after="0"/>
              <w:rPr>
                <w:sz w:val="20"/>
                <w:szCs w:val="20"/>
                <w:color w:val="auto"/>
              </w:rPr>
            </w:pPr>
            <w:r>
              <w:rPr>
                <w:rFonts w:ascii="Times New Roman" w:cs="Times New Roman" w:eastAsia="Times New Roman" w:hAnsi="Times New Roman"/>
                <w:sz w:val="13"/>
                <w:szCs w:val="13"/>
                <w:color w:val="231F20"/>
              </w:rPr>
              <w:t>(0.39)</w:t>
            </w:r>
          </w:p>
        </w:tc>
        <w:tc>
          <w:tcPr>
            <w:tcW w:w="80" w:type="dxa"/>
            <w:vAlign w:val="bottom"/>
            <w:shd w:val="clear" w:color="auto" w:fill="CFEDF9"/>
          </w:tcPr>
          <w:p>
            <w:pPr>
              <w:spacing w:after="0"/>
              <w:rPr>
                <w:sz w:val="14"/>
                <w:szCs w:val="14"/>
                <w:color w:val="auto"/>
              </w:rPr>
            </w:pPr>
          </w:p>
        </w:tc>
        <w:tc>
          <w:tcPr>
            <w:tcW w:w="860" w:type="dxa"/>
            <w:vAlign w:val="bottom"/>
            <w:gridSpan w:val="4"/>
            <w:shd w:val="clear" w:color="auto" w:fill="CFEDF9"/>
          </w:tcPr>
          <w:p>
            <w:pPr>
              <w:jc w:val="right"/>
              <w:ind w:right="240"/>
              <w:spacing w:after="0"/>
              <w:rPr>
                <w:sz w:val="20"/>
                <w:szCs w:val="20"/>
                <w:color w:val="auto"/>
              </w:rPr>
            </w:pPr>
            <w:r>
              <w:rPr>
                <w:rFonts w:ascii="Times New Roman" w:cs="Times New Roman" w:eastAsia="Times New Roman" w:hAnsi="Times New Roman"/>
                <w:sz w:val="13"/>
                <w:szCs w:val="13"/>
                <w:color w:val="231F20"/>
              </w:rPr>
              <w:t>(0.14)</w:t>
            </w:r>
          </w:p>
        </w:tc>
        <w:tc>
          <w:tcPr>
            <w:tcW w:w="80" w:type="dxa"/>
            <w:vAlign w:val="bottom"/>
            <w:shd w:val="clear" w:color="auto" w:fill="CFEDF9"/>
          </w:tcPr>
          <w:p>
            <w:pPr>
              <w:spacing w:after="0"/>
              <w:rPr>
                <w:sz w:val="14"/>
                <w:szCs w:val="14"/>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0.51</w:t>
            </w:r>
          </w:p>
        </w:tc>
        <w:tc>
          <w:tcPr>
            <w:tcW w:w="220" w:type="dxa"/>
            <w:vAlign w:val="bottom"/>
            <w:tcBorders>
              <w:right w:val="single" w:sz="8" w:color="CFEDF9"/>
            </w:tcBorders>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800" w:type="dxa"/>
            <w:vAlign w:val="bottom"/>
            <w:gridSpan w:val="4"/>
            <w:shd w:val="clear" w:color="auto" w:fill="CFEDF9"/>
          </w:tcPr>
          <w:p>
            <w:pPr>
              <w:jc w:val="right"/>
              <w:ind w:right="140"/>
              <w:spacing w:after="0"/>
              <w:rPr>
                <w:sz w:val="20"/>
                <w:szCs w:val="20"/>
                <w:color w:val="auto"/>
              </w:rPr>
            </w:pPr>
            <w:r>
              <w:rPr>
                <w:rFonts w:ascii="Times New Roman" w:cs="Times New Roman" w:eastAsia="Times New Roman" w:hAnsi="Times New Roman"/>
                <w:sz w:val="13"/>
                <w:szCs w:val="13"/>
                <w:color w:val="231F20"/>
              </w:rPr>
              <w:t>(0.58)</w:t>
            </w:r>
          </w:p>
        </w:tc>
        <w:tc>
          <w:tcPr>
            <w:tcW w:w="80" w:type="dxa"/>
            <w:vAlign w:val="bottom"/>
            <w:shd w:val="clear" w:color="auto" w:fill="CFEDF9"/>
          </w:tcPr>
          <w:p>
            <w:pPr>
              <w:spacing w:after="0"/>
              <w:rPr>
                <w:sz w:val="14"/>
                <w:szCs w:val="14"/>
                <w:color w:val="auto"/>
              </w:rPr>
            </w:pPr>
          </w:p>
        </w:tc>
        <w:tc>
          <w:tcPr>
            <w:tcW w:w="70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(0.33)</w:t>
            </w:r>
          </w:p>
        </w:tc>
        <w:tc>
          <w:tcPr>
            <w:tcW w:w="0" w:type="dxa"/>
            <w:vAlign w:val="bottom"/>
          </w:tcPr>
          <w:p>
            <w:pPr>
              <w:spacing w:after="0"/>
              <w:rPr>
                <w:sz w:val="1"/>
                <w:szCs w:val="1"/>
                <w:color w:val="auto"/>
              </w:rPr>
            </w:pPr>
          </w:p>
        </w:tc>
      </w:tr>
      <w:tr>
        <w:trPr>
          <w:trHeight w:val="139"/>
        </w:trPr>
        <w:tc>
          <w:tcPr>
            <w:tcW w:w="208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color w:val="231F20"/>
              </w:rPr>
              <w:t>Total from operations</w:t>
            </w:r>
          </w:p>
        </w:tc>
        <w:tc>
          <w:tcPr>
            <w:tcW w:w="20" w:type="dxa"/>
            <w:vAlign w:val="bottom"/>
            <w:tcBorders>
              <w:top w:val="single" w:sz="8" w:color="231F20"/>
            </w:tcBorders>
          </w:tcPr>
          <w:p>
            <w:pPr>
              <w:spacing w:after="0"/>
              <w:rPr>
                <w:sz w:val="12"/>
                <w:szCs w:val="12"/>
                <w:color w:val="auto"/>
              </w:rPr>
            </w:pPr>
          </w:p>
        </w:tc>
        <w:tc>
          <w:tcPr>
            <w:tcW w:w="0" w:type="dxa"/>
            <w:vAlign w:val="bottom"/>
            <w:tcBorders>
              <w:top w:val="single" w:sz="8" w:color="231F20"/>
            </w:tcBorders>
          </w:tcPr>
          <w:p>
            <w:pPr>
              <w:spacing w:after="0"/>
              <w:rPr>
                <w:sz w:val="12"/>
                <w:szCs w:val="12"/>
                <w:color w:val="auto"/>
              </w:rPr>
            </w:pPr>
          </w:p>
        </w:tc>
        <w:tc>
          <w:tcPr>
            <w:tcW w:w="640" w:type="dxa"/>
            <w:vAlign w:val="bottom"/>
            <w:tcBorders>
              <w:top w:val="single" w:sz="8" w:color="231F20"/>
            </w:tcBorders>
            <w:gridSpan w:val="3"/>
          </w:tcPr>
          <w:p>
            <w:pPr>
              <w:jc w:val="right"/>
              <w:ind w:right="40"/>
              <w:spacing w:after="0" w:line="139" w:lineRule="exact"/>
              <w:rPr>
                <w:sz w:val="20"/>
                <w:szCs w:val="20"/>
                <w:color w:val="auto"/>
              </w:rPr>
            </w:pPr>
            <w:r>
              <w:rPr>
                <w:rFonts w:ascii="Times New Roman" w:cs="Times New Roman" w:eastAsia="Times New Roman" w:hAnsi="Times New Roman"/>
                <w:sz w:val="13"/>
                <w:szCs w:val="13"/>
                <w:color w:val="231F20"/>
              </w:rPr>
              <w:t>2.61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640" w:type="dxa"/>
            <w:vAlign w:val="bottom"/>
            <w:tcBorders>
              <w:top w:val="single" w:sz="8" w:color="231F20"/>
            </w:tcBorders>
            <w:gridSpan w:val="3"/>
          </w:tcPr>
          <w:p>
            <w:pPr>
              <w:jc w:val="right"/>
              <w:ind w:right="40"/>
              <w:spacing w:after="0" w:line="139" w:lineRule="exact"/>
              <w:rPr>
                <w:sz w:val="20"/>
                <w:szCs w:val="20"/>
                <w:color w:val="auto"/>
              </w:rPr>
            </w:pPr>
            <w:r>
              <w:rPr>
                <w:rFonts w:ascii="Times New Roman" w:cs="Times New Roman" w:eastAsia="Times New Roman" w:hAnsi="Times New Roman"/>
                <w:sz w:val="13"/>
                <w:szCs w:val="13"/>
                <w:color w:val="231F20"/>
              </w:rPr>
              <w:t>1.38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660" w:type="dxa"/>
            <w:vAlign w:val="bottom"/>
            <w:tcBorders>
              <w:top w:val="single" w:sz="8" w:color="231F20"/>
            </w:tcBorders>
            <w:gridSpan w:val="3"/>
          </w:tcPr>
          <w:p>
            <w:pPr>
              <w:jc w:val="right"/>
              <w:ind w:right="40"/>
              <w:spacing w:after="0" w:line="139" w:lineRule="exact"/>
              <w:rPr>
                <w:sz w:val="20"/>
                <w:szCs w:val="20"/>
                <w:color w:val="auto"/>
              </w:rPr>
            </w:pPr>
            <w:r>
              <w:rPr>
                <w:rFonts w:ascii="Times New Roman" w:cs="Times New Roman" w:eastAsia="Times New Roman" w:hAnsi="Times New Roman"/>
                <w:sz w:val="13"/>
                <w:szCs w:val="13"/>
                <w:color w:val="231F20"/>
              </w:rPr>
              <w:t>2.93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231F20"/>
            </w:tcBorders>
          </w:tcPr>
          <w:p>
            <w:pPr>
              <w:spacing w:after="0"/>
              <w:rPr>
                <w:sz w:val="12"/>
                <w:szCs w:val="12"/>
                <w:color w:val="auto"/>
              </w:rPr>
            </w:pPr>
          </w:p>
        </w:tc>
        <w:tc>
          <w:tcPr>
            <w:tcW w:w="600" w:type="dxa"/>
            <w:vAlign w:val="bottom"/>
            <w:tcBorders>
              <w:top w:val="single" w:sz="8" w:color="231F20"/>
            </w:tcBorders>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231F20"/>
              </w:rPr>
              <w:t>2.65</w:t>
            </w:r>
          </w:p>
        </w:tc>
        <w:tc>
          <w:tcPr>
            <w:tcW w:w="180" w:type="dxa"/>
            <w:vAlign w:val="bottom"/>
          </w:tcPr>
          <w:p>
            <w:pPr>
              <w:spacing w:after="0"/>
              <w:rPr>
                <w:sz w:val="12"/>
                <w:szCs w:val="12"/>
                <w:color w:val="auto"/>
              </w:rPr>
            </w:pPr>
          </w:p>
        </w:tc>
        <w:tc>
          <w:tcPr>
            <w:tcW w:w="100" w:type="dxa"/>
            <w:vAlign w:val="bottom"/>
            <w:tcBorders>
              <w:top w:val="single" w:sz="8" w:color="231F20"/>
            </w:tcBorders>
          </w:tcPr>
          <w:p>
            <w:pPr>
              <w:spacing w:after="0"/>
              <w:rPr>
                <w:sz w:val="12"/>
                <w:szCs w:val="12"/>
                <w:color w:val="auto"/>
              </w:rPr>
            </w:pPr>
          </w:p>
        </w:tc>
        <w:tc>
          <w:tcPr>
            <w:tcW w:w="600" w:type="dxa"/>
            <w:vAlign w:val="bottom"/>
            <w:tcBorders>
              <w:top w:val="single" w:sz="8" w:color="231F20"/>
            </w:tcBorders>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231F20"/>
              </w:rPr>
              <w:t>2.34</w:t>
            </w:r>
          </w:p>
        </w:tc>
        <w:tc>
          <w:tcPr>
            <w:tcW w:w="20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620" w:type="dxa"/>
            <w:vAlign w:val="bottom"/>
            <w:tcBorders>
              <w:top w:val="single" w:sz="8" w:color="231F20"/>
            </w:tcBorders>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231F20"/>
              </w:rPr>
              <w:t>1.86</w:t>
            </w:r>
          </w:p>
        </w:tc>
        <w:tc>
          <w:tcPr>
            <w:tcW w:w="18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80" w:type="dxa"/>
            <w:vAlign w:val="bottom"/>
            <w:tcBorders>
              <w:top w:val="single" w:sz="8" w:color="231F20"/>
            </w:tcBorders>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231F20"/>
              </w:rPr>
              <w:t>1.86</w:t>
            </w:r>
          </w:p>
        </w:tc>
        <w:tc>
          <w:tcPr>
            <w:tcW w:w="28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600" w:type="dxa"/>
            <w:vAlign w:val="bottom"/>
            <w:tcBorders>
              <w:top w:val="single" w:sz="8" w:color="231F20"/>
            </w:tcBorders>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231F20"/>
              </w:rPr>
              <w:t>2.34</w:t>
            </w:r>
          </w:p>
        </w:tc>
        <w:tc>
          <w:tcPr>
            <w:tcW w:w="220" w:type="dxa"/>
            <w:vAlign w:val="bottom"/>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620" w:type="dxa"/>
            <w:vAlign w:val="bottom"/>
            <w:tcBorders>
              <w:top w:val="single" w:sz="8" w:color="231F20"/>
            </w:tcBorders>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231F20"/>
              </w:rPr>
              <w:t>1.18</w:t>
            </w:r>
          </w:p>
        </w:tc>
        <w:tc>
          <w:tcPr>
            <w:tcW w:w="180" w:type="dxa"/>
            <w:vAlign w:val="bottom"/>
          </w:tcPr>
          <w:p>
            <w:pPr>
              <w:spacing w:after="0"/>
              <w:rPr>
                <w:sz w:val="12"/>
                <w:szCs w:val="12"/>
                <w:color w:val="auto"/>
              </w:rPr>
            </w:pPr>
          </w:p>
        </w:tc>
        <w:tc>
          <w:tcPr>
            <w:tcW w:w="80" w:type="dxa"/>
            <w:vAlign w:val="bottom"/>
            <w:tcBorders>
              <w:top w:val="single" w:sz="8" w:color="231F20"/>
            </w:tcBorders>
          </w:tcPr>
          <w:p>
            <w:pPr>
              <w:spacing w:after="0"/>
              <w:rPr>
                <w:sz w:val="12"/>
                <w:szCs w:val="12"/>
                <w:color w:val="auto"/>
              </w:rPr>
            </w:pPr>
          </w:p>
        </w:tc>
        <w:tc>
          <w:tcPr>
            <w:tcW w:w="580" w:type="dxa"/>
            <w:vAlign w:val="bottom"/>
            <w:tcBorders>
              <w:top w:val="single" w:sz="8" w:color="231F20"/>
            </w:tcBorders>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231F20"/>
              </w:rPr>
              <w:t>1.74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00" w:type="dxa"/>
            <w:vAlign w:val="bottom"/>
            <w:tcBorders>
              <w:right w:val="single" w:sz="8" w:color="CFEDF9"/>
            </w:tcBorders>
            <w:gridSpan w:val="19"/>
            <w:shd w:val="clear" w:color="auto" w:fill="CFEDF9"/>
          </w:tcPr>
          <w:p>
            <w:pPr>
              <w:spacing w:after="0" w:line="137" w:lineRule="exact"/>
              <w:rPr>
                <w:sz w:val="20"/>
                <w:szCs w:val="20"/>
                <w:color w:val="auto"/>
              </w:rPr>
            </w:pPr>
            <w:r>
              <w:rPr>
                <w:rFonts w:ascii="Times New Roman" w:cs="Times New Roman" w:eastAsia="Times New Roman" w:hAnsi="Times New Roman"/>
                <w:sz w:val="13"/>
                <w:szCs w:val="13"/>
                <w:color w:val="231F20"/>
              </w:rPr>
              <w:t>Issuance of common stock, net of</w:t>
            </w:r>
          </w:p>
        </w:tc>
        <w:tc>
          <w:tcPr>
            <w:tcW w:w="5360" w:type="dxa"/>
            <w:vAlign w:val="bottom"/>
            <w:tcBorders>
              <w:right w:val="single" w:sz="8" w:color="CFEDF9"/>
            </w:tcBorders>
            <w:gridSpan w:val="32"/>
            <w:shd w:val="clear" w:color="auto" w:fill="CFEDF9"/>
          </w:tcPr>
          <w:p>
            <w:pPr>
              <w:spacing w:after="0"/>
              <w:rPr>
                <w:sz w:val="11"/>
                <w:szCs w:val="11"/>
                <w:color w:val="auto"/>
              </w:rPr>
            </w:pPr>
          </w:p>
        </w:tc>
        <w:tc>
          <w:tcPr>
            <w:tcW w:w="1640" w:type="dxa"/>
            <w:vAlign w:val="bottom"/>
            <w:gridSpan w:val="10"/>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3"/>
                <w:szCs w:val="13"/>
                <w:color w:val="231F20"/>
              </w:rPr>
              <w:t xml:space="preserve">offering costs </w:t>
            </w:r>
            <w:r>
              <w:rPr>
                <w:rFonts w:ascii="Times New Roman" w:cs="Times New Roman" w:eastAsia="Times New Roman" w:hAnsi="Times New Roman"/>
                <w:sz w:val="8"/>
                <w:szCs w:val="8"/>
                <w:color w:val="231F20"/>
              </w:rPr>
              <w:t>(2)</w:t>
            </w:r>
          </w:p>
        </w:tc>
        <w:tc>
          <w:tcPr>
            <w:tcW w:w="0" w:type="dxa"/>
            <w:vAlign w:val="bottom"/>
            <w:shd w:val="clear" w:color="auto" w:fill="CFEDF9"/>
          </w:tcPr>
          <w:p>
            <w:pPr>
              <w:spacing w:after="0"/>
              <w:rPr>
                <w:sz w:val="14"/>
                <w:szCs w:val="14"/>
                <w:color w:val="auto"/>
              </w:rPr>
            </w:pP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0.05</w:t>
            </w:r>
          </w:p>
        </w:tc>
        <w:tc>
          <w:tcPr>
            <w:tcW w:w="1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0.04</w:t>
            </w:r>
          </w:p>
        </w:tc>
        <w:tc>
          <w:tcPr>
            <w:tcW w:w="60" w:type="dxa"/>
            <w:vAlign w:val="bottom"/>
            <w:shd w:val="clear" w:color="auto" w:fill="CFEDF9"/>
          </w:tcPr>
          <w:p>
            <w:pPr>
              <w:spacing w:after="0"/>
              <w:rPr>
                <w:sz w:val="14"/>
                <w:szCs w:val="14"/>
                <w:color w:val="auto"/>
              </w:rPr>
            </w:pPr>
          </w:p>
        </w:tc>
        <w:tc>
          <w:tcPr>
            <w:tcW w:w="100" w:type="dxa"/>
            <w:vAlign w:val="bottom"/>
            <w:tcBorders>
              <w:right w:val="single" w:sz="8" w:color="CFEDF9"/>
            </w:tcBorders>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68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0.31</w:t>
            </w:r>
          </w:p>
        </w:tc>
        <w:tc>
          <w:tcPr>
            <w:tcW w:w="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0.01</w:t>
            </w:r>
          </w:p>
        </w:tc>
        <w:tc>
          <w:tcPr>
            <w:tcW w:w="1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0.04</w:t>
            </w:r>
          </w:p>
        </w:tc>
        <w:tc>
          <w:tcPr>
            <w:tcW w:w="20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62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0.08</w:t>
            </w:r>
          </w:p>
        </w:tc>
        <w:tc>
          <w:tcPr>
            <w:tcW w:w="1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5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0.03</w:t>
            </w:r>
          </w:p>
        </w:tc>
        <w:tc>
          <w:tcPr>
            <w:tcW w:w="2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0.03</w:t>
            </w:r>
          </w:p>
        </w:tc>
        <w:tc>
          <w:tcPr>
            <w:tcW w:w="220" w:type="dxa"/>
            <w:vAlign w:val="bottom"/>
            <w:tcBorders>
              <w:right w:val="single" w:sz="8" w:color="CFEDF9"/>
            </w:tcBorders>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800" w:type="dxa"/>
            <w:vAlign w:val="bottom"/>
            <w:gridSpan w:val="4"/>
            <w:shd w:val="clear" w:color="auto" w:fill="CFEDF9"/>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FEDF9"/>
          </w:tcPr>
          <w:p>
            <w:pPr>
              <w:spacing w:after="0"/>
              <w:rPr>
                <w:sz w:val="14"/>
                <w:szCs w:val="14"/>
                <w:color w:val="auto"/>
              </w:rPr>
            </w:pPr>
          </w:p>
        </w:tc>
        <w:tc>
          <w:tcPr>
            <w:tcW w:w="70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(0.20)</w:t>
            </w:r>
          </w:p>
        </w:tc>
        <w:tc>
          <w:tcPr>
            <w:tcW w:w="0" w:type="dxa"/>
            <w:vAlign w:val="bottom"/>
          </w:tcPr>
          <w:p>
            <w:pPr>
              <w:spacing w:after="0"/>
              <w:rPr>
                <w:sz w:val="1"/>
                <w:szCs w:val="1"/>
                <w:color w:val="auto"/>
              </w:rPr>
            </w:pPr>
          </w:p>
        </w:tc>
      </w:tr>
      <w:tr>
        <w:trPr>
          <w:trHeight w:val="137"/>
        </w:trPr>
        <w:tc>
          <w:tcPr>
            <w:tcW w:w="10800" w:type="dxa"/>
            <w:vAlign w:val="bottom"/>
            <w:gridSpan w:val="61"/>
          </w:tcPr>
          <w:p>
            <w:pPr>
              <w:spacing w:after="0" w:line="137" w:lineRule="exact"/>
              <w:rPr>
                <w:sz w:val="20"/>
                <w:szCs w:val="20"/>
                <w:color w:val="auto"/>
              </w:rPr>
            </w:pPr>
            <w:r>
              <w:rPr>
                <w:rFonts w:ascii="Times New Roman" w:cs="Times New Roman" w:eastAsia="Times New Roman" w:hAnsi="Times New Roman"/>
                <w:sz w:val="13"/>
                <w:szCs w:val="13"/>
                <w:color w:val="231F20"/>
              </w:rPr>
              <w:t>Settlement of 2022 Convertible</w:t>
            </w:r>
          </w:p>
        </w:tc>
        <w:tc>
          <w:tcPr>
            <w:tcW w:w="0" w:type="dxa"/>
            <w:vAlign w:val="bottom"/>
          </w:tcPr>
          <w:p>
            <w:pPr>
              <w:spacing w:after="0"/>
              <w:rPr>
                <w:sz w:val="1"/>
                <w:szCs w:val="1"/>
                <w:color w:val="auto"/>
              </w:rPr>
            </w:pPr>
          </w:p>
        </w:tc>
      </w:tr>
      <w:tr>
        <w:trPr>
          <w:trHeight w:val="162"/>
        </w:trPr>
        <w:tc>
          <w:tcPr>
            <w:tcW w:w="2100" w:type="dxa"/>
            <w:vAlign w:val="bottom"/>
            <w:gridSpan w:val="6"/>
          </w:tcPr>
          <w:p>
            <w:pPr>
              <w:spacing w:after="0"/>
              <w:rPr>
                <w:sz w:val="20"/>
                <w:szCs w:val="20"/>
                <w:color w:val="auto"/>
              </w:rPr>
            </w:pPr>
            <w:r>
              <w:rPr>
                <w:rFonts w:ascii="Times New Roman" w:cs="Times New Roman" w:eastAsia="Times New Roman" w:hAnsi="Times New Roman"/>
                <w:sz w:val="13"/>
                <w:szCs w:val="13"/>
                <w:color w:val="231F20"/>
              </w:rPr>
              <w:t xml:space="preserve">Notes </w:t>
            </w:r>
            <w:r>
              <w:rPr>
                <w:rFonts w:ascii="Times New Roman" w:cs="Times New Roman" w:eastAsia="Times New Roman" w:hAnsi="Times New Roman"/>
                <w:sz w:val="8"/>
                <w:szCs w:val="8"/>
                <w:color w:val="231F20"/>
              </w:rPr>
              <w:t>(2)</w:t>
            </w:r>
          </w:p>
        </w:tc>
        <w:tc>
          <w:tcPr>
            <w:tcW w:w="0" w:type="dxa"/>
            <w:vAlign w:val="bottom"/>
          </w:tcPr>
          <w:p>
            <w:pPr>
              <w:spacing w:after="0"/>
              <w:rPr>
                <w:sz w:val="14"/>
                <w:szCs w:val="14"/>
                <w:color w:val="auto"/>
              </w:rPr>
            </w:pPr>
          </w:p>
        </w:tc>
        <w:tc>
          <w:tcPr>
            <w:tcW w:w="80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4"/>
                <w:szCs w:val="14"/>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0.08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0.03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right"/>
              <w:ind w:right="115"/>
              <w:spacing w:after="0"/>
              <w:rPr>
                <w:sz w:val="20"/>
                <w:szCs w:val="20"/>
                <w:color w:val="auto"/>
              </w:rPr>
            </w:pPr>
            <w:r>
              <w:rPr>
                <w:rFonts w:ascii="Times New Roman" w:cs="Times New Roman" w:eastAsia="Times New Roman" w:hAnsi="Times New Roman"/>
                <w:sz w:val="13"/>
                <w:szCs w:val="13"/>
                <w:color w:val="231F20"/>
              </w:rPr>
              <w:t>—</w:t>
            </w:r>
          </w:p>
        </w:tc>
        <w:tc>
          <w:tcPr>
            <w:tcW w:w="100" w:type="dxa"/>
            <w:vAlign w:val="bottom"/>
          </w:tcPr>
          <w:p>
            <w:pPr>
              <w:spacing w:after="0"/>
              <w:rPr>
                <w:sz w:val="14"/>
                <w:szCs w:val="14"/>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4"/>
                <w:szCs w:val="14"/>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4"/>
                <w:szCs w:val="1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4"/>
                <w:szCs w:val="14"/>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4"/>
                <w:szCs w:val="14"/>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4"/>
                <w:szCs w:val="14"/>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0" w:type="dxa"/>
            <w:vAlign w:val="bottom"/>
          </w:tcPr>
          <w:p>
            <w:pPr>
              <w:spacing w:after="0"/>
              <w:rPr>
                <w:sz w:val="1"/>
                <w:szCs w:val="1"/>
                <w:color w:val="auto"/>
              </w:rPr>
            </w:pPr>
          </w:p>
        </w:tc>
      </w:tr>
      <w:tr>
        <w:trPr>
          <w:trHeight w:val="149"/>
        </w:trPr>
        <w:tc>
          <w:tcPr>
            <w:tcW w:w="210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3"/>
                <w:szCs w:val="13"/>
                <w:color w:val="231F20"/>
              </w:rPr>
              <w:t xml:space="preserve">Repurchase of common stock </w:t>
            </w:r>
            <w:r>
              <w:rPr>
                <w:rFonts w:ascii="Times New Roman" w:cs="Times New Roman" w:eastAsia="Times New Roman" w:hAnsi="Times New Roman"/>
                <w:sz w:val="8"/>
                <w:szCs w:val="8"/>
                <w:color w:val="231F20"/>
              </w:rPr>
              <w:t>(2)</w:t>
            </w:r>
          </w:p>
        </w:tc>
        <w:tc>
          <w:tcPr>
            <w:tcW w:w="0" w:type="dxa"/>
            <w:vAlign w:val="bottom"/>
            <w:shd w:val="clear" w:color="auto" w:fill="CFEDF9"/>
          </w:tcPr>
          <w:p>
            <w:pPr>
              <w:spacing w:after="0"/>
              <w:rPr>
                <w:sz w:val="12"/>
                <w:szCs w:val="12"/>
                <w:color w:val="auto"/>
              </w:rPr>
            </w:pPr>
          </w:p>
        </w:tc>
        <w:tc>
          <w:tcPr>
            <w:tcW w:w="800" w:type="dxa"/>
            <w:vAlign w:val="bottom"/>
            <w:gridSpan w:val="5"/>
            <w:shd w:val="clear" w:color="auto" w:fill="CFEDF9"/>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FEDF9"/>
          </w:tcPr>
          <w:p>
            <w:pPr>
              <w:spacing w:after="0"/>
              <w:rPr>
                <w:sz w:val="12"/>
                <w:szCs w:val="12"/>
                <w:color w:val="auto"/>
              </w:rPr>
            </w:pPr>
          </w:p>
        </w:tc>
        <w:tc>
          <w:tcPr>
            <w:tcW w:w="720" w:type="dxa"/>
            <w:vAlign w:val="bottom"/>
            <w:gridSpan w:val="5"/>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(0.02)</w:t>
            </w:r>
          </w:p>
        </w:tc>
        <w:tc>
          <w:tcPr>
            <w:tcW w:w="100" w:type="dxa"/>
            <w:vAlign w:val="bottom"/>
            <w:tcBorders>
              <w:right w:val="single" w:sz="8" w:color="CFEDF9"/>
            </w:tcBorders>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720" w:type="dxa"/>
            <w:vAlign w:val="bottom"/>
            <w:gridSpan w:val="5"/>
            <w:shd w:val="clear" w:color="auto" w:fill="CFEDF9"/>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0.01</w:t>
            </w:r>
          </w:p>
        </w:tc>
        <w:tc>
          <w:tcPr>
            <w:tcW w:w="1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800" w:type="dxa"/>
            <w:vAlign w:val="bottom"/>
            <w:gridSpan w:val="4"/>
            <w:shd w:val="clear" w:color="auto" w:fill="CFEDF9"/>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FEDF9"/>
          </w:tcPr>
          <w:p>
            <w:pPr>
              <w:spacing w:after="0"/>
              <w:rPr>
                <w:sz w:val="12"/>
                <w:szCs w:val="12"/>
                <w:color w:val="auto"/>
              </w:rPr>
            </w:pPr>
          </w:p>
        </w:tc>
        <w:tc>
          <w:tcPr>
            <w:tcW w:w="800" w:type="dxa"/>
            <w:vAlign w:val="bottom"/>
            <w:gridSpan w:val="4"/>
            <w:shd w:val="clear" w:color="auto" w:fill="CFEDF9"/>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FEDF9"/>
          </w:tcPr>
          <w:p>
            <w:pPr>
              <w:spacing w:after="0"/>
              <w:rPr>
                <w:sz w:val="12"/>
                <w:szCs w:val="12"/>
                <w:color w:val="auto"/>
              </w:rPr>
            </w:pPr>
          </w:p>
        </w:tc>
        <w:tc>
          <w:tcPr>
            <w:tcW w:w="860" w:type="dxa"/>
            <w:vAlign w:val="bottom"/>
            <w:gridSpan w:val="4"/>
            <w:shd w:val="clear" w:color="auto" w:fill="CFEDF9"/>
          </w:tcPr>
          <w:p>
            <w:pPr>
              <w:jc w:val="right"/>
              <w:ind w:right="2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FEDF9"/>
          </w:tcPr>
          <w:p>
            <w:pPr>
              <w:spacing w:after="0"/>
              <w:rPr>
                <w:sz w:val="12"/>
                <w:szCs w:val="12"/>
                <w:color w:val="auto"/>
              </w:rPr>
            </w:pPr>
          </w:p>
        </w:tc>
        <w:tc>
          <w:tcPr>
            <w:tcW w:w="820" w:type="dxa"/>
            <w:vAlign w:val="bottom"/>
            <w:tcBorders>
              <w:right w:val="single" w:sz="8" w:color="CFEDF9"/>
            </w:tcBorders>
            <w:gridSpan w:val="4"/>
            <w:shd w:val="clear" w:color="auto" w:fill="CFEDF9"/>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FEDF9"/>
          </w:tcPr>
          <w:p>
            <w:pPr>
              <w:spacing w:after="0"/>
              <w:rPr>
                <w:sz w:val="12"/>
                <w:szCs w:val="12"/>
                <w:color w:val="auto"/>
              </w:rPr>
            </w:pPr>
          </w:p>
        </w:tc>
        <w:tc>
          <w:tcPr>
            <w:tcW w:w="800" w:type="dxa"/>
            <w:vAlign w:val="bottom"/>
            <w:gridSpan w:val="4"/>
            <w:shd w:val="clear" w:color="auto" w:fill="CFEDF9"/>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FEDF9"/>
          </w:tcPr>
          <w:p>
            <w:pPr>
              <w:spacing w:after="0"/>
              <w:rPr>
                <w:sz w:val="12"/>
                <w:szCs w:val="12"/>
                <w:color w:val="auto"/>
              </w:rPr>
            </w:pPr>
          </w:p>
        </w:tc>
        <w:tc>
          <w:tcPr>
            <w:tcW w:w="700" w:type="dxa"/>
            <w:vAlign w:val="bottom"/>
            <w:gridSpan w:val="4"/>
            <w:shd w:val="clear" w:color="auto" w:fill="CFEDF9"/>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0" w:type="dxa"/>
            <w:vAlign w:val="bottom"/>
          </w:tcPr>
          <w:p>
            <w:pPr>
              <w:spacing w:after="0"/>
              <w:rPr>
                <w:sz w:val="1"/>
                <w:szCs w:val="1"/>
                <w:color w:val="auto"/>
              </w:rPr>
            </w:pPr>
          </w:p>
        </w:tc>
      </w:tr>
      <w:tr>
        <w:trPr>
          <w:trHeight w:val="149"/>
        </w:trPr>
        <w:tc>
          <w:tcPr>
            <w:tcW w:w="2100" w:type="dxa"/>
            <w:vAlign w:val="bottom"/>
            <w:gridSpan w:val="6"/>
          </w:tcPr>
          <w:p>
            <w:pPr>
              <w:spacing w:after="0"/>
              <w:rPr>
                <w:sz w:val="20"/>
                <w:szCs w:val="20"/>
                <w:color w:val="auto"/>
              </w:rPr>
            </w:pPr>
            <w:r>
              <w:rPr>
                <w:rFonts w:ascii="Times New Roman" w:cs="Times New Roman" w:eastAsia="Times New Roman" w:hAnsi="Times New Roman"/>
                <w:sz w:val="13"/>
                <w:szCs w:val="13"/>
                <w:color w:val="231F20"/>
              </w:rPr>
              <w:t xml:space="preserve">Repurchase of debt </w:t>
            </w:r>
            <w:r>
              <w:rPr>
                <w:rFonts w:ascii="Times New Roman" w:cs="Times New Roman" w:eastAsia="Times New Roman" w:hAnsi="Times New Roman"/>
                <w:sz w:val="8"/>
                <w:szCs w:val="8"/>
                <w:color w:val="231F20"/>
              </w:rPr>
              <w:t>(2)</w:t>
            </w:r>
          </w:p>
        </w:tc>
        <w:tc>
          <w:tcPr>
            <w:tcW w:w="0" w:type="dxa"/>
            <w:vAlign w:val="bottom"/>
          </w:tcPr>
          <w:p>
            <w:pPr>
              <w:spacing w:after="0"/>
              <w:rPr>
                <w:sz w:val="12"/>
                <w:szCs w:val="12"/>
                <w:color w:val="auto"/>
              </w:rPr>
            </w:pPr>
          </w:p>
        </w:tc>
        <w:tc>
          <w:tcPr>
            <w:tcW w:w="80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2"/>
                <w:szCs w:val="12"/>
                <w:color w:val="auto"/>
              </w:rPr>
            </w:pPr>
          </w:p>
        </w:tc>
        <w:tc>
          <w:tcPr>
            <w:tcW w:w="820" w:type="dxa"/>
            <w:vAlign w:val="bottom"/>
            <w:gridSpan w:val="6"/>
          </w:tcPr>
          <w:p>
            <w:pPr>
              <w:jc w:val="right"/>
              <w:ind w:right="155"/>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2"/>
                <w:szCs w:val="12"/>
                <w:color w:val="auto"/>
              </w:rPr>
            </w:pPr>
          </w:p>
        </w:tc>
        <w:tc>
          <w:tcPr>
            <w:tcW w:w="72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75"/>
              <w:spacing w:after="0"/>
              <w:rPr>
                <w:sz w:val="20"/>
                <w:szCs w:val="20"/>
                <w:color w:val="auto"/>
              </w:rPr>
            </w:pPr>
            <w:r>
              <w:rPr>
                <w:rFonts w:ascii="Times New Roman" w:cs="Times New Roman" w:eastAsia="Times New Roman" w:hAnsi="Times New Roman"/>
                <w:sz w:val="13"/>
                <w:szCs w:val="13"/>
                <w:color w:val="231F20"/>
              </w:rPr>
              <w:t>(0.01)</w:t>
            </w:r>
          </w:p>
        </w:tc>
        <w:tc>
          <w:tcPr>
            <w:tcW w:w="100" w:type="dxa"/>
            <w:vAlign w:val="bottom"/>
          </w:tcPr>
          <w:p>
            <w:pPr>
              <w:spacing w:after="0"/>
              <w:rPr>
                <w:sz w:val="12"/>
                <w:szCs w:val="12"/>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2"/>
                <w:szCs w:val="12"/>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2"/>
                <w:szCs w:val="12"/>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2"/>
                <w:szCs w:val="12"/>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60" w:type="dxa"/>
            <w:vAlign w:val="bottom"/>
          </w:tcPr>
          <w:p>
            <w:pPr>
              <w:spacing w:after="0"/>
              <w:rPr>
                <w:sz w:val="12"/>
                <w:szCs w:val="12"/>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2"/>
                <w:szCs w:val="12"/>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231F20"/>
              </w:rPr>
              <w:t>—</w:t>
            </w:r>
          </w:p>
        </w:tc>
        <w:tc>
          <w:tcPr>
            <w:tcW w:w="0" w:type="dxa"/>
            <w:vAlign w:val="bottom"/>
          </w:tcPr>
          <w:p>
            <w:pPr>
              <w:spacing w:after="0"/>
              <w:rPr>
                <w:sz w:val="1"/>
                <w:szCs w:val="1"/>
                <w:color w:val="auto"/>
              </w:rPr>
            </w:pPr>
          </w:p>
        </w:tc>
      </w:tr>
      <w:tr>
        <w:trPr>
          <w:trHeight w:val="137"/>
        </w:trPr>
        <w:tc>
          <w:tcPr>
            <w:tcW w:w="3800" w:type="dxa"/>
            <w:vAlign w:val="bottom"/>
            <w:tcBorders>
              <w:right w:val="single" w:sz="8" w:color="CFEDF9"/>
            </w:tcBorders>
            <w:gridSpan w:val="19"/>
            <w:shd w:val="clear" w:color="auto" w:fill="CFEDF9"/>
          </w:tcPr>
          <w:p>
            <w:pPr>
              <w:spacing w:after="0" w:line="137" w:lineRule="exact"/>
              <w:rPr>
                <w:sz w:val="20"/>
                <w:szCs w:val="20"/>
                <w:color w:val="auto"/>
              </w:rPr>
            </w:pPr>
            <w:r>
              <w:rPr>
                <w:rFonts w:ascii="Times New Roman" w:cs="Times New Roman" w:eastAsia="Times New Roman" w:hAnsi="Times New Roman"/>
                <w:sz w:val="13"/>
                <w:szCs w:val="13"/>
                <w:color w:val="231F20"/>
              </w:rPr>
              <w:t>Dividends declared from net</w:t>
            </w:r>
          </w:p>
        </w:tc>
        <w:tc>
          <w:tcPr>
            <w:tcW w:w="5360" w:type="dxa"/>
            <w:vAlign w:val="bottom"/>
            <w:tcBorders>
              <w:right w:val="single" w:sz="8" w:color="CFEDF9"/>
            </w:tcBorders>
            <w:gridSpan w:val="32"/>
            <w:shd w:val="clear" w:color="auto" w:fill="CFEDF9"/>
          </w:tcPr>
          <w:p>
            <w:pPr>
              <w:spacing w:after="0"/>
              <w:rPr>
                <w:sz w:val="11"/>
                <w:szCs w:val="11"/>
                <w:color w:val="auto"/>
              </w:rPr>
            </w:pPr>
          </w:p>
        </w:tc>
        <w:tc>
          <w:tcPr>
            <w:tcW w:w="1640" w:type="dxa"/>
            <w:vAlign w:val="bottom"/>
            <w:gridSpan w:val="10"/>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3"/>
                <w:szCs w:val="13"/>
                <w:color w:val="231F20"/>
              </w:rPr>
              <w:t xml:space="preserve">investment income </w:t>
            </w:r>
            <w:r>
              <w:rPr>
                <w:rFonts w:ascii="Times New Roman" w:cs="Times New Roman" w:eastAsia="Times New Roman" w:hAnsi="Times New Roman"/>
                <w:sz w:val="8"/>
                <w:szCs w:val="8"/>
                <w:color w:val="231F20"/>
              </w:rPr>
              <w:t>(2)</w:t>
            </w:r>
          </w:p>
        </w:tc>
        <w:tc>
          <w:tcPr>
            <w:tcW w:w="0" w:type="dxa"/>
            <w:vAlign w:val="bottom"/>
            <w:shd w:val="clear" w:color="auto" w:fill="CFEDF9"/>
          </w:tcPr>
          <w:p>
            <w:pPr>
              <w:spacing w:after="0"/>
              <w:rPr>
                <w:sz w:val="14"/>
                <w:szCs w:val="14"/>
                <w:color w:val="auto"/>
              </w:rPr>
            </w:pPr>
          </w:p>
        </w:tc>
        <w:tc>
          <w:tcPr>
            <w:tcW w:w="800" w:type="dxa"/>
            <w:vAlign w:val="bottom"/>
            <w:gridSpan w:val="5"/>
            <w:shd w:val="clear" w:color="auto" w:fill="CFEDF9"/>
          </w:tcPr>
          <w:p>
            <w:pPr>
              <w:jc w:val="right"/>
              <w:ind w:right="160"/>
              <w:spacing w:after="0"/>
              <w:rPr>
                <w:sz w:val="20"/>
                <w:szCs w:val="20"/>
                <w:color w:val="auto"/>
              </w:rPr>
            </w:pPr>
            <w:r>
              <w:rPr>
                <w:rFonts w:ascii="Times New Roman" w:cs="Times New Roman" w:eastAsia="Times New Roman" w:hAnsi="Times New Roman"/>
                <w:sz w:val="13"/>
                <w:szCs w:val="13"/>
                <w:color w:val="231F20"/>
              </w:rPr>
              <w:t>(2.10)</w:t>
            </w:r>
          </w:p>
        </w:tc>
        <w:tc>
          <w:tcPr>
            <w:tcW w:w="80" w:type="dxa"/>
            <w:vAlign w:val="bottom"/>
            <w:shd w:val="clear" w:color="auto" w:fill="CFEDF9"/>
          </w:tcPr>
          <w:p>
            <w:pPr>
              <w:spacing w:after="0"/>
              <w:rPr>
                <w:sz w:val="14"/>
                <w:szCs w:val="14"/>
                <w:color w:val="auto"/>
              </w:rPr>
            </w:pPr>
          </w:p>
        </w:tc>
        <w:tc>
          <w:tcPr>
            <w:tcW w:w="720" w:type="dxa"/>
            <w:vAlign w:val="bottom"/>
            <w:gridSpan w:val="5"/>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(1.59)</w:t>
            </w:r>
          </w:p>
        </w:tc>
        <w:tc>
          <w:tcPr>
            <w:tcW w:w="100" w:type="dxa"/>
            <w:vAlign w:val="bottom"/>
            <w:tcBorders>
              <w:right w:val="single" w:sz="8" w:color="CFEDF9"/>
            </w:tcBorders>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720" w:type="dxa"/>
            <w:vAlign w:val="bottom"/>
            <w:gridSpan w:val="5"/>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(2.80)</w:t>
            </w: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780" w:type="dxa"/>
            <w:vAlign w:val="bottom"/>
            <w:gridSpan w:val="4"/>
            <w:shd w:val="clear" w:color="auto" w:fill="CFEDF9"/>
          </w:tcPr>
          <w:p>
            <w:pPr>
              <w:jc w:val="right"/>
              <w:ind w:right="75"/>
              <w:spacing w:after="0"/>
              <w:rPr>
                <w:sz w:val="20"/>
                <w:szCs w:val="20"/>
                <w:color w:val="auto"/>
              </w:rPr>
            </w:pPr>
            <w:r>
              <w:rPr>
                <w:rFonts w:ascii="Times New Roman" w:cs="Times New Roman" w:eastAsia="Times New Roman" w:hAnsi="Times New Roman"/>
                <w:sz w:val="13"/>
                <w:szCs w:val="13"/>
                <w:color w:val="231F20"/>
              </w:rPr>
              <w:t>(2.07)</w:t>
            </w:r>
          </w:p>
        </w:tc>
        <w:tc>
          <w:tcPr>
            <w:tcW w:w="100" w:type="dxa"/>
            <w:vAlign w:val="bottom"/>
            <w:shd w:val="clear" w:color="auto" w:fill="CFEDF9"/>
          </w:tcPr>
          <w:p>
            <w:pPr>
              <w:spacing w:after="0"/>
              <w:rPr>
                <w:sz w:val="14"/>
                <w:szCs w:val="14"/>
                <w:color w:val="auto"/>
              </w:rPr>
            </w:pPr>
          </w:p>
        </w:tc>
        <w:tc>
          <w:tcPr>
            <w:tcW w:w="800" w:type="dxa"/>
            <w:vAlign w:val="bottom"/>
            <w:gridSpan w:val="4"/>
            <w:shd w:val="clear" w:color="auto" w:fill="CFEDF9"/>
          </w:tcPr>
          <w:p>
            <w:pPr>
              <w:jc w:val="right"/>
              <w:ind w:right="140"/>
              <w:spacing w:after="0"/>
              <w:rPr>
                <w:sz w:val="20"/>
                <w:szCs w:val="20"/>
                <w:color w:val="auto"/>
              </w:rPr>
            </w:pPr>
            <w:r>
              <w:rPr>
                <w:rFonts w:ascii="Times New Roman" w:cs="Times New Roman" w:eastAsia="Times New Roman" w:hAnsi="Times New Roman"/>
                <w:sz w:val="13"/>
                <w:szCs w:val="13"/>
                <w:color w:val="231F20"/>
              </w:rPr>
              <w:t>(1.81)</w:t>
            </w:r>
          </w:p>
        </w:tc>
        <w:tc>
          <w:tcPr>
            <w:tcW w:w="80" w:type="dxa"/>
            <w:vAlign w:val="bottom"/>
            <w:shd w:val="clear" w:color="auto" w:fill="CFEDF9"/>
          </w:tcPr>
          <w:p>
            <w:pPr>
              <w:spacing w:after="0"/>
              <w:rPr>
                <w:sz w:val="14"/>
                <w:szCs w:val="14"/>
                <w:color w:val="auto"/>
              </w:rPr>
            </w:pPr>
          </w:p>
        </w:tc>
        <w:tc>
          <w:tcPr>
            <w:tcW w:w="800" w:type="dxa"/>
            <w:vAlign w:val="bottom"/>
            <w:gridSpan w:val="4"/>
            <w:shd w:val="clear" w:color="auto" w:fill="CFEDF9"/>
          </w:tcPr>
          <w:p>
            <w:pPr>
              <w:jc w:val="right"/>
              <w:ind w:right="140"/>
              <w:spacing w:after="0"/>
              <w:rPr>
                <w:sz w:val="20"/>
                <w:szCs w:val="20"/>
                <w:color w:val="auto"/>
              </w:rPr>
            </w:pPr>
            <w:r>
              <w:rPr>
                <w:rFonts w:ascii="Times New Roman" w:cs="Times New Roman" w:eastAsia="Times New Roman" w:hAnsi="Times New Roman"/>
                <w:sz w:val="13"/>
                <w:szCs w:val="13"/>
                <w:color w:val="231F20"/>
              </w:rPr>
              <w:t>(1.77)</w:t>
            </w:r>
          </w:p>
        </w:tc>
        <w:tc>
          <w:tcPr>
            <w:tcW w:w="80" w:type="dxa"/>
            <w:vAlign w:val="bottom"/>
            <w:shd w:val="clear" w:color="auto" w:fill="CFEDF9"/>
          </w:tcPr>
          <w:p>
            <w:pPr>
              <w:spacing w:after="0"/>
              <w:rPr>
                <w:sz w:val="14"/>
                <w:szCs w:val="14"/>
                <w:color w:val="auto"/>
              </w:rPr>
            </w:pPr>
          </w:p>
        </w:tc>
        <w:tc>
          <w:tcPr>
            <w:tcW w:w="860" w:type="dxa"/>
            <w:vAlign w:val="bottom"/>
            <w:gridSpan w:val="4"/>
            <w:shd w:val="clear" w:color="auto" w:fill="CFEDF9"/>
          </w:tcPr>
          <w:p>
            <w:pPr>
              <w:jc w:val="right"/>
              <w:ind w:right="240"/>
              <w:spacing w:after="0"/>
              <w:rPr>
                <w:sz w:val="20"/>
                <w:szCs w:val="20"/>
                <w:color w:val="auto"/>
              </w:rPr>
            </w:pPr>
            <w:r>
              <w:rPr>
                <w:rFonts w:ascii="Times New Roman" w:cs="Times New Roman" w:eastAsia="Times New Roman" w:hAnsi="Times New Roman"/>
                <w:sz w:val="13"/>
                <w:szCs w:val="13"/>
                <w:color w:val="231F20"/>
              </w:rPr>
              <w:t>(1.53)</w:t>
            </w:r>
          </w:p>
        </w:tc>
        <w:tc>
          <w:tcPr>
            <w:tcW w:w="80" w:type="dxa"/>
            <w:vAlign w:val="bottom"/>
            <w:shd w:val="clear" w:color="auto" w:fill="CFEDF9"/>
          </w:tcPr>
          <w:p>
            <w:pPr>
              <w:spacing w:after="0"/>
              <w:rPr>
                <w:sz w:val="14"/>
                <w:szCs w:val="14"/>
                <w:color w:val="auto"/>
              </w:rPr>
            </w:pPr>
          </w:p>
        </w:tc>
        <w:tc>
          <w:tcPr>
            <w:tcW w:w="820" w:type="dxa"/>
            <w:vAlign w:val="bottom"/>
            <w:tcBorders>
              <w:right w:val="single" w:sz="8" w:color="CFEDF9"/>
            </w:tcBorders>
            <w:gridSpan w:val="4"/>
            <w:shd w:val="clear" w:color="auto" w:fill="CFEDF9"/>
          </w:tcPr>
          <w:p>
            <w:pPr>
              <w:jc w:val="right"/>
              <w:ind w:right="160"/>
              <w:spacing w:after="0"/>
              <w:rPr>
                <w:sz w:val="20"/>
                <w:szCs w:val="20"/>
                <w:color w:val="auto"/>
              </w:rPr>
            </w:pPr>
            <w:r>
              <w:rPr>
                <w:rFonts w:ascii="Times New Roman" w:cs="Times New Roman" w:eastAsia="Times New Roman" w:hAnsi="Times New Roman"/>
                <w:sz w:val="13"/>
                <w:szCs w:val="13"/>
                <w:color w:val="231F20"/>
              </w:rPr>
              <w:t>(1.39)</w:t>
            </w:r>
          </w:p>
        </w:tc>
        <w:tc>
          <w:tcPr>
            <w:tcW w:w="60" w:type="dxa"/>
            <w:vAlign w:val="bottom"/>
            <w:shd w:val="clear" w:color="auto" w:fill="CFEDF9"/>
          </w:tcPr>
          <w:p>
            <w:pPr>
              <w:spacing w:after="0"/>
              <w:rPr>
                <w:sz w:val="14"/>
                <w:szCs w:val="14"/>
                <w:color w:val="auto"/>
              </w:rPr>
            </w:pPr>
          </w:p>
        </w:tc>
        <w:tc>
          <w:tcPr>
            <w:tcW w:w="800" w:type="dxa"/>
            <w:vAlign w:val="bottom"/>
            <w:gridSpan w:val="4"/>
            <w:shd w:val="clear" w:color="auto" w:fill="CFEDF9"/>
          </w:tcPr>
          <w:p>
            <w:pPr>
              <w:jc w:val="right"/>
              <w:ind w:right="140"/>
              <w:spacing w:after="0"/>
              <w:rPr>
                <w:sz w:val="20"/>
                <w:szCs w:val="20"/>
                <w:color w:val="auto"/>
              </w:rPr>
            </w:pPr>
            <w:r>
              <w:rPr>
                <w:rFonts w:ascii="Times New Roman" w:cs="Times New Roman" w:eastAsia="Times New Roman" w:hAnsi="Times New Roman"/>
                <w:sz w:val="13"/>
                <w:szCs w:val="13"/>
                <w:color w:val="231F20"/>
              </w:rPr>
              <w:t>(1.15)</w:t>
            </w:r>
          </w:p>
        </w:tc>
        <w:tc>
          <w:tcPr>
            <w:tcW w:w="80" w:type="dxa"/>
            <w:vAlign w:val="bottom"/>
            <w:shd w:val="clear" w:color="auto" w:fill="CFEDF9"/>
          </w:tcPr>
          <w:p>
            <w:pPr>
              <w:spacing w:after="0"/>
              <w:rPr>
                <w:sz w:val="14"/>
                <w:szCs w:val="14"/>
                <w:color w:val="auto"/>
              </w:rPr>
            </w:pPr>
          </w:p>
        </w:tc>
        <w:tc>
          <w:tcPr>
            <w:tcW w:w="70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(1.51)</w:t>
            </w:r>
          </w:p>
        </w:tc>
        <w:tc>
          <w:tcPr>
            <w:tcW w:w="0" w:type="dxa"/>
            <w:vAlign w:val="bottom"/>
          </w:tcPr>
          <w:p>
            <w:pPr>
              <w:spacing w:after="0"/>
              <w:rPr>
                <w:sz w:val="1"/>
                <w:szCs w:val="1"/>
                <w:color w:val="auto"/>
              </w:rPr>
            </w:pPr>
          </w:p>
        </w:tc>
      </w:tr>
      <w:tr>
        <w:trPr>
          <w:trHeight w:val="137"/>
        </w:trPr>
        <w:tc>
          <w:tcPr>
            <w:tcW w:w="10800" w:type="dxa"/>
            <w:vAlign w:val="bottom"/>
            <w:gridSpan w:val="61"/>
          </w:tcPr>
          <w:p>
            <w:pPr>
              <w:spacing w:after="0" w:line="137" w:lineRule="exact"/>
              <w:rPr>
                <w:sz w:val="20"/>
                <w:szCs w:val="20"/>
                <w:color w:val="auto"/>
              </w:rPr>
            </w:pPr>
            <w:r>
              <w:rPr>
                <w:rFonts w:ascii="Times New Roman" w:cs="Times New Roman" w:eastAsia="Times New Roman" w:hAnsi="Times New Roman"/>
                <w:sz w:val="13"/>
                <w:szCs w:val="13"/>
                <w:color w:val="231F20"/>
              </w:rPr>
              <w:t>Dividends declared from realized</w:t>
            </w:r>
          </w:p>
        </w:tc>
        <w:tc>
          <w:tcPr>
            <w:tcW w:w="0" w:type="dxa"/>
            <w:vAlign w:val="bottom"/>
          </w:tcPr>
          <w:p>
            <w:pPr>
              <w:spacing w:after="0"/>
              <w:rPr>
                <w:sz w:val="1"/>
                <w:szCs w:val="1"/>
                <w:color w:val="auto"/>
              </w:rPr>
            </w:pPr>
          </w:p>
        </w:tc>
      </w:tr>
      <w:tr>
        <w:trPr>
          <w:trHeight w:val="162"/>
        </w:trPr>
        <w:tc>
          <w:tcPr>
            <w:tcW w:w="21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231F20"/>
              </w:rPr>
              <w:t xml:space="preserve">gains </w:t>
            </w:r>
            <w:r>
              <w:rPr>
                <w:rFonts w:ascii="Times New Roman" w:cs="Times New Roman" w:eastAsia="Times New Roman" w:hAnsi="Times New Roman"/>
                <w:sz w:val="8"/>
                <w:szCs w:val="8"/>
                <w:color w:val="231F20"/>
              </w:rPr>
              <w:t>(2)</w:t>
            </w:r>
          </w:p>
        </w:tc>
        <w:tc>
          <w:tcPr>
            <w:tcW w:w="0" w:type="dxa"/>
            <w:vAlign w:val="bottom"/>
          </w:tcPr>
          <w:p>
            <w:pPr>
              <w:spacing w:after="0"/>
              <w:rPr>
                <w:sz w:val="14"/>
                <w:szCs w:val="14"/>
                <w:color w:val="auto"/>
              </w:rPr>
            </w:pPr>
          </w:p>
        </w:tc>
        <w:tc>
          <w:tcPr>
            <w:tcW w:w="80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4"/>
                <w:szCs w:val="14"/>
                <w:color w:val="auto"/>
              </w:rPr>
            </w:pPr>
          </w:p>
        </w:tc>
        <w:tc>
          <w:tcPr>
            <w:tcW w:w="72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color w:val="231F20"/>
              </w:rPr>
              <w:t>(0.25)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color w:val="231F20"/>
              </w:rPr>
              <w:t>(0.79)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right"/>
              <w:ind w:right="75"/>
              <w:spacing w:after="0"/>
              <w:rPr>
                <w:sz w:val="20"/>
                <w:szCs w:val="20"/>
                <w:color w:val="auto"/>
              </w:rPr>
            </w:pPr>
            <w:r>
              <w:rPr>
                <w:rFonts w:ascii="Times New Roman" w:cs="Times New Roman" w:eastAsia="Times New Roman" w:hAnsi="Times New Roman"/>
                <w:sz w:val="13"/>
                <w:szCs w:val="13"/>
                <w:color w:val="231F20"/>
              </w:rPr>
              <w:t>(0.23)</w:t>
            </w:r>
          </w:p>
        </w:tc>
        <w:tc>
          <w:tcPr>
            <w:tcW w:w="100" w:type="dxa"/>
            <w:vAlign w:val="bottom"/>
          </w:tcPr>
          <w:p>
            <w:pPr>
              <w:spacing w:after="0"/>
              <w:rPr>
                <w:sz w:val="14"/>
                <w:szCs w:val="14"/>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4"/>
                <w:szCs w:val="14"/>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231F20"/>
              </w:rPr>
              <w:t>(0.01)</w:t>
            </w:r>
          </w:p>
        </w:tc>
        <w:tc>
          <w:tcPr>
            <w:tcW w:w="80" w:type="dxa"/>
            <w:vAlign w:val="bottom"/>
          </w:tcPr>
          <w:p>
            <w:pPr>
              <w:spacing w:after="0"/>
              <w:rPr>
                <w:sz w:val="14"/>
                <w:szCs w:val="14"/>
                <w:color w:val="auto"/>
              </w:rPr>
            </w:pPr>
          </w:p>
        </w:tc>
        <w:tc>
          <w:tcPr>
            <w:tcW w:w="86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231F20"/>
              </w:rPr>
              <w:t>(0.22)</w:t>
            </w:r>
          </w:p>
        </w:tc>
        <w:tc>
          <w:tcPr>
            <w:tcW w:w="80" w:type="dxa"/>
            <w:vAlign w:val="bottom"/>
          </w:tcPr>
          <w:p>
            <w:pPr>
              <w:spacing w:after="0"/>
              <w:rPr>
                <w:sz w:val="14"/>
                <w:szCs w:val="14"/>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231F20"/>
              </w:rPr>
              <w:t>(0.17)</w:t>
            </w:r>
          </w:p>
        </w:tc>
        <w:tc>
          <w:tcPr>
            <w:tcW w:w="60" w:type="dxa"/>
            <w:vAlign w:val="bottom"/>
          </w:tcPr>
          <w:p>
            <w:pPr>
              <w:spacing w:after="0"/>
              <w:rPr>
                <w:sz w:val="14"/>
                <w:szCs w:val="14"/>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231F20"/>
              </w:rPr>
              <w:t>(0.41)</w:t>
            </w:r>
          </w:p>
        </w:tc>
        <w:tc>
          <w:tcPr>
            <w:tcW w:w="80" w:type="dxa"/>
            <w:vAlign w:val="bottom"/>
          </w:tcPr>
          <w:p>
            <w:pPr>
              <w:spacing w:after="0"/>
              <w:rPr>
                <w:sz w:val="14"/>
                <w:szCs w:val="14"/>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(0.02)</w:t>
            </w:r>
          </w:p>
        </w:tc>
        <w:tc>
          <w:tcPr>
            <w:tcW w:w="0" w:type="dxa"/>
            <w:vAlign w:val="bottom"/>
          </w:tcPr>
          <w:p>
            <w:pPr>
              <w:spacing w:after="0"/>
              <w:rPr>
                <w:sz w:val="1"/>
                <w:szCs w:val="1"/>
                <w:color w:val="auto"/>
              </w:rPr>
            </w:pPr>
          </w:p>
        </w:tc>
      </w:tr>
      <w:tr>
        <w:trPr>
          <w:trHeight w:val="127"/>
        </w:trPr>
        <w:tc>
          <w:tcPr>
            <w:tcW w:w="2060" w:type="dxa"/>
            <w:vAlign w:val="bottom"/>
            <w:tcBorders>
              <w:top w:val="single" w:sz="8" w:color="CFEDF9"/>
            </w:tcBorders>
            <w:gridSpan w:val="4"/>
            <w:shd w:val="clear" w:color="auto" w:fill="CFEDF9"/>
          </w:tcPr>
          <w:p>
            <w:pPr>
              <w:spacing w:after="0" w:line="127" w:lineRule="exact"/>
              <w:rPr>
                <w:sz w:val="20"/>
                <w:szCs w:val="20"/>
                <w:color w:val="auto"/>
              </w:rPr>
            </w:pPr>
            <w:r>
              <w:rPr>
                <w:rFonts w:ascii="Times New Roman" w:cs="Times New Roman" w:eastAsia="Times New Roman" w:hAnsi="Times New Roman"/>
                <w:sz w:val="13"/>
                <w:szCs w:val="13"/>
                <w:color w:val="231F20"/>
              </w:rPr>
              <w:t>Total increase/(decrease) in net</w:t>
            </w:r>
          </w:p>
        </w:tc>
        <w:tc>
          <w:tcPr>
            <w:tcW w:w="680" w:type="dxa"/>
            <w:vAlign w:val="bottom"/>
            <w:tcBorders>
              <w:top w:val="single" w:sz="8" w:color="231F20"/>
            </w:tcBorders>
            <w:gridSpan w:val="6"/>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40" w:type="dxa"/>
            <w:vAlign w:val="bottom"/>
            <w:tcBorders>
              <w:top w:val="single" w:sz="8" w:color="CFEDF9"/>
            </w:tcBorders>
            <w:shd w:val="clear" w:color="auto" w:fill="CFEDF9"/>
          </w:tcPr>
          <w:p>
            <w:pPr>
              <w:spacing w:after="0"/>
              <w:rPr>
                <w:sz w:val="11"/>
                <w:szCs w:val="11"/>
                <w:color w:val="auto"/>
              </w:rPr>
            </w:pPr>
          </w:p>
        </w:tc>
        <w:tc>
          <w:tcPr>
            <w:tcW w:w="720" w:type="dxa"/>
            <w:vAlign w:val="bottom"/>
            <w:tcBorders>
              <w:top w:val="single" w:sz="8" w:color="231F20"/>
            </w:tcBorders>
            <w:gridSpan w:val="4"/>
            <w:shd w:val="clear" w:color="auto" w:fill="CFEDF9"/>
          </w:tcPr>
          <w:p>
            <w:pPr>
              <w:spacing w:after="0"/>
              <w:rPr>
                <w:sz w:val="11"/>
                <w:szCs w:val="11"/>
                <w:color w:val="auto"/>
              </w:rPr>
            </w:pPr>
          </w:p>
        </w:tc>
        <w:tc>
          <w:tcPr>
            <w:tcW w:w="20" w:type="dxa"/>
            <w:vAlign w:val="bottom"/>
            <w:shd w:val="clear" w:color="auto" w:fill="CFEDF9"/>
          </w:tcPr>
          <w:p>
            <w:pPr>
              <w:spacing w:after="0"/>
              <w:rPr>
                <w:sz w:val="11"/>
                <w:szCs w:val="11"/>
                <w:color w:val="auto"/>
              </w:rPr>
            </w:pPr>
          </w:p>
        </w:tc>
        <w:tc>
          <w:tcPr>
            <w:tcW w:w="160" w:type="dxa"/>
            <w:vAlign w:val="bottom"/>
            <w:tcBorders>
              <w:top w:val="single" w:sz="8" w:color="CFEDF9"/>
              <w:right w:val="single" w:sz="8" w:color="CFEDF9"/>
            </w:tcBorders>
            <w:gridSpan w:val="2"/>
            <w:shd w:val="clear" w:color="auto" w:fill="CFEDF9"/>
          </w:tcPr>
          <w:p>
            <w:pPr>
              <w:spacing w:after="0"/>
              <w:rPr>
                <w:sz w:val="11"/>
                <w:szCs w:val="11"/>
                <w:color w:val="auto"/>
              </w:rPr>
            </w:pPr>
          </w:p>
        </w:tc>
        <w:tc>
          <w:tcPr>
            <w:tcW w:w="720" w:type="dxa"/>
            <w:vAlign w:val="bottom"/>
            <w:tcBorders>
              <w:top w:val="single" w:sz="8" w:color="231F20"/>
            </w:tcBorders>
            <w:gridSpan w:val="4"/>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tcBorders>
              <w:top w:val="single" w:sz="8" w:color="CFEDF9"/>
            </w:tcBorders>
            <w:shd w:val="clear" w:color="auto" w:fill="CFEDF9"/>
          </w:tcPr>
          <w:p>
            <w:pPr>
              <w:spacing w:after="0"/>
              <w:rPr>
                <w:sz w:val="11"/>
                <w:szCs w:val="11"/>
                <w:color w:val="auto"/>
              </w:rPr>
            </w:pPr>
          </w:p>
        </w:tc>
        <w:tc>
          <w:tcPr>
            <w:tcW w:w="700" w:type="dxa"/>
            <w:vAlign w:val="bottom"/>
            <w:tcBorders>
              <w:top w:val="single" w:sz="8" w:color="231F20"/>
            </w:tcBorders>
            <w:gridSpan w:val="4"/>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700" w:type="dxa"/>
            <w:vAlign w:val="bottom"/>
            <w:tcBorders>
              <w:top w:val="single" w:sz="8" w:color="231F20"/>
            </w:tcBorders>
            <w:gridSpan w:val="4"/>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700" w:type="dxa"/>
            <w:vAlign w:val="bottom"/>
            <w:tcBorders>
              <w:top w:val="single" w:sz="8" w:color="231F20"/>
            </w:tcBorders>
            <w:gridSpan w:val="4"/>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660" w:type="dxa"/>
            <w:vAlign w:val="bottom"/>
            <w:tcBorders>
              <w:top w:val="single" w:sz="8" w:color="231F20"/>
            </w:tcBorders>
            <w:gridSpan w:val="4"/>
            <w:shd w:val="clear" w:color="auto" w:fill="CFEDF9"/>
          </w:tcPr>
          <w:p>
            <w:pPr>
              <w:spacing w:after="0"/>
              <w:rPr>
                <w:sz w:val="11"/>
                <w:szCs w:val="11"/>
                <w:color w:val="auto"/>
              </w:rPr>
            </w:pPr>
          </w:p>
        </w:tc>
        <w:tc>
          <w:tcPr>
            <w:tcW w:w="280" w:type="dxa"/>
            <w:vAlign w:val="bottom"/>
            <w:tcBorders>
              <w:top w:val="single" w:sz="8" w:color="CFEDF9"/>
            </w:tcBorders>
            <w:shd w:val="clear" w:color="auto" w:fill="CFEDF9"/>
          </w:tcPr>
          <w:p>
            <w:pPr>
              <w:spacing w:after="0"/>
              <w:rPr>
                <w:sz w:val="11"/>
                <w:szCs w:val="11"/>
                <w:color w:val="auto"/>
              </w:rPr>
            </w:pPr>
          </w:p>
        </w:tc>
        <w:tc>
          <w:tcPr>
            <w:tcW w:w="680" w:type="dxa"/>
            <w:vAlign w:val="bottom"/>
            <w:tcBorders>
              <w:top w:val="single" w:sz="8" w:color="231F20"/>
            </w:tcBorders>
            <w:gridSpan w:val="4"/>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680" w:type="dxa"/>
            <w:vAlign w:val="bottom"/>
            <w:tcBorders>
              <w:top w:val="single" w:sz="8" w:color="231F20"/>
            </w:tcBorders>
            <w:gridSpan w:val="4"/>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231F20"/>
            </w:tcBorders>
            <w:gridSpan w:val="4"/>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3"/>
                <w:szCs w:val="13"/>
                <w:color w:val="231F20"/>
              </w:rPr>
              <w:t>assets</w:t>
            </w:r>
          </w:p>
        </w:tc>
        <w:tc>
          <w:tcPr>
            <w:tcW w:w="0" w:type="dxa"/>
            <w:vAlign w:val="bottom"/>
            <w:shd w:val="clear" w:color="auto" w:fill="CFEDF9"/>
          </w:tcPr>
          <w:p>
            <w:pPr>
              <w:spacing w:after="0"/>
              <w:rPr>
                <w:sz w:val="14"/>
                <w:szCs w:val="14"/>
                <w:color w:val="auto"/>
              </w:rPr>
            </w:pP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0.56</w:t>
            </w:r>
          </w:p>
        </w:tc>
        <w:tc>
          <w:tcPr>
            <w:tcW w:w="1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(0.36)</w:t>
            </w:r>
          </w:p>
        </w:tc>
        <w:tc>
          <w:tcPr>
            <w:tcW w:w="60" w:type="dxa"/>
            <w:vAlign w:val="bottom"/>
            <w:shd w:val="clear" w:color="auto" w:fill="CFEDF9"/>
          </w:tcPr>
          <w:p>
            <w:pPr>
              <w:spacing w:after="0"/>
              <w:rPr>
                <w:sz w:val="14"/>
                <w:szCs w:val="14"/>
                <w:color w:val="auto"/>
              </w:rPr>
            </w:pPr>
          </w:p>
        </w:tc>
        <w:tc>
          <w:tcPr>
            <w:tcW w:w="100" w:type="dxa"/>
            <w:vAlign w:val="bottom"/>
            <w:tcBorders>
              <w:right w:val="single" w:sz="8" w:color="CFEDF9"/>
            </w:tcBorders>
            <w:shd w:val="clear" w:color="auto" w:fill="CFEDF9"/>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color w:val="231F20"/>
              </w:rPr>
              <w:t>(0.32)</w:t>
            </w: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0.33</w:t>
            </w:r>
          </w:p>
        </w:tc>
        <w:tc>
          <w:tcPr>
            <w:tcW w:w="1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0.58</w:t>
            </w:r>
          </w:p>
        </w:tc>
        <w:tc>
          <w:tcPr>
            <w:tcW w:w="20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62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0.16</w:t>
            </w:r>
          </w:p>
        </w:tc>
        <w:tc>
          <w:tcPr>
            <w:tcW w:w="1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5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0.14</w:t>
            </w:r>
          </w:p>
        </w:tc>
        <w:tc>
          <w:tcPr>
            <w:tcW w:w="28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0.81</w:t>
            </w:r>
          </w:p>
        </w:tc>
        <w:tc>
          <w:tcPr>
            <w:tcW w:w="220" w:type="dxa"/>
            <w:vAlign w:val="bottom"/>
            <w:tcBorders>
              <w:right w:val="single" w:sz="8" w:color="CFEDF9"/>
            </w:tcBorders>
            <w:shd w:val="clear" w:color="auto" w:fill="CFEDF9"/>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231F20"/>
              </w:rPr>
              <w:t>(0.38)</w:t>
            </w:r>
          </w:p>
        </w:tc>
        <w:tc>
          <w:tcPr>
            <w:tcW w:w="80" w:type="dxa"/>
            <w:vAlign w:val="bottom"/>
            <w:shd w:val="clear" w:color="auto" w:fill="CFEDF9"/>
          </w:tcPr>
          <w:p>
            <w:pPr>
              <w:spacing w:after="0"/>
              <w:rPr>
                <w:sz w:val="14"/>
                <w:szCs w:val="14"/>
                <w:color w:val="auto"/>
              </w:rPr>
            </w:pPr>
          </w:p>
        </w:tc>
        <w:tc>
          <w:tcPr>
            <w:tcW w:w="5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0.01</w:t>
            </w:r>
          </w:p>
        </w:tc>
        <w:tc>
          <w:tcPr>
            <w:tcW w:w="12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4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231F20"/>
              </w:rPr>
              <w:t>Net Asset Value, End of Period</w:t>
            </w:r>
          </w:p>
        </w:tc>
        <w:tc>
          <w:tcPr>
            <w:tcW w:w="60" w:type="dxa"/>
            <w:vAlign w:val="bottom"/>
            <w:tcBorders>
              <w:top w:val="single" w:sz="8" w:color="231F20"/>
            </w:tcBorders>
            <w:gridSpan w:val="3"/>
          </w:tcPr>
          <w:p>
            <w:pPr>
              <w:spacing w:after="0"/>
              <w:rPr>
                <w:sz w:val="12"/>
                <w:szCs w:val="12"/>
                <w:color w:val="auto"/>
              </w:rPr>
            </w:pPr>
          </w:p>
        </w:tc>
        <w:tc>
          <w:tcPr>
            <w:tcW w:w="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17.04</w:t>
            </w:r>
          </w:p>
        </w:tc>
        <w:tc>
          <w:tcPr>
            <w:tcW w:w="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16.48</w:t>
            </w: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64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16.84</w:t>
            </w: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17.16</w:t>
            </w:r>
          </w:p>
        </w:tc>
        <w:tc>
          <w:tcPr>
            <w:tcW w:w="4294967277"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w w:val="91"/>
              </w:rPr>
              <w:t>$</w:t>
            </w:r>
          </w:p>
        </w:tc>
        <w:tc>
          <w:tcPr>
            <w:tcW w:w="62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16.83</w:t>
            </w:r>
          </w:p>
        </w:tc>
        <w:tc>
          <w:tcPr>
            <w:tcW w:w="4294967277"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4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16.25</w:t>
            </w:r>
          </w:p>
        </w:tc>
        <w:tc>
          <w:tcPr>
            <w:tcW w:w="4294967277"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16.09</w:t>
            </w:r>
          </w:p>
        </w:tc>
        <w:tc>
          <w:tcPr>
            <w:tcW w:w="4294967277"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15.95</w:t>
            </w:r>
          </w:p>
        </w:tc>
        <w:tc>
          <w:tcPr>
            <w:tcW w:w="4294967277"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64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15.15</w:t>
            </w:r>
          </w:p>
        </w:tc>
        <w:tc>
          <w:tcPr>
            <w:tcW w:w="4294967277"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tcBorders>
              <w:top w:val="single" w:sz="8" w:color="231F20"/>
            </w:tcBorders>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231F20"/>
              </w:rPr>
              <w:t>15.53</w:t>
            </w:r>
          </w:p>
        </w:tc>
        <w:tc>
          <w:tcPr>
            <w:tcW w:w="4294967277"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20" w:type="dxa"/>
            <w:vAlign w:val="bottom"/>
            <w:tcBorders>
              <w:top w:val="single" w:sz="8" w:color="CFEDF9"/>
            </w:tcBorders>
            <w:gridSpan w:val="2"/>
            <w:shd w:val="clear" w:color="auto" w:fill="CFEDF9"/>
          </w:tcPr>
          <w:p>
            <w:pPr>
              <w:spacing w:after="0" w:line="127" w:lineRule="exact"/>
              <w:rPr>
                <w:sz w:val="20"/>
                <w:szCs w:val="20"/>
                <w:color w:val="auto"/>
              </w:rPr>
            </w:pPr>
            <w:r>
              <w:rPr>
                <w:rFonts w:ascii="Times New Roman" w:cs="Times New Roman" w:eastAsia="Times New Roman" w:hAnsi="Times New Roman"/>
                <w:sz w:val="13"/>
                <w:szCs w:val="13"/>
                <w:color w:val="231F20"/>
              </w:rPr>
              <w:t>Per share market value at end of</w:t>
            </w:r>
          </w:p>
        </w:tc>
        <w:tc>
          <w:tcPr>
            <w:tcW w:w="700" w:type="dxa"/>
            <w:vAlign w:val="bottom"/>
            <w:tcBorders>
              <w:top w:val="single" w:sz="8" w:color="231F20"/>
            </w:tcBorders>
            <w:gridSpan w:val="7"/>
            <w:shd w:val="clear" w:color="auto" w:fill="CFEDF9"/>
          </w:tcPr>
          <w:p>
            <w:pPr>
              <w:spacing w:after="0"/>
              <w:rPr>
                <w:sz w:val="11"/>
                <w:szCs w:val="11"/>
                <w:color w:val="auto"/>
              </w:rPr>
            </w:pPr>
          </w:p>
        </w:tc>
        <w:tc>
          <w:tcPr>
            <w:tcW w:w="40" w:type="dxa"/>
            <w:vAlign w:val="bottom"/>
            <w:gridSpan w:val="2"/>
            <w:shd w:val="clear" w:color="auto" w:fill="CFEDF9"/>
          </w:tcPr>
          <w:p>
            <w:pPr>
              <w:spacing w:after="0"/>
              <w:rPr>
                <w:sz w:val="11"/>
                <w:szCs w:val="11"/>
                <w:color w:val="auto"/>
              </w:rPr>
            </w:pPr>
          </w:p>
        </w:tc>
        <w:tc>
          <w:tcPr>
            <w:tcW w:w="140" w:type="dxa"/>
            <w:vAlign w:val="bottom"/>
            <w:tcBorders>
              <w:top w:val="single" w:sz="8" w:color="CFEDF9"/>
            </w:tcBorders>
            <w:shd w:val="clear" w:color="auto" w:fill="CFEDF9"/>
          </w:tcPr>
          <w:p>
            <w:pPr>
              <w:spacing w:after="0"/>
              <w:rPr>
                <w:sz w:val="11"/>
                <w:szCs w:val="11"/>
                <w:color w:val="auto"/>
              </w:rPr>
            </w:pPr>
          </w:p>
        </w:tc>
        <w:tc>
          <w:tcPr>
            <w:tcW w:w="700" w:type="dxa"/>
            <w:vAlign w:val="bottom"/>
            <w:tcBorders>
              <w:top w:val="single" w:sz="8" w:color="231F20"/>
            </w:tcBorders>
            <w:gridSpan w:val="3"/>
            <w:shd w:val="clear" w:color="auto" w:fill="CFEDF9"/>
          </w:tcPr>
          <w:p>
            <w:pPr>
              <w:spacing w:after="0"/>
              <w:rPr>
                <w:sz w:val="11"/>
                <w:szCs w:val="11"/>
                <w:color w:val="auto"/>
              </w:rPr>
            </w:pPr>
          </w:p>
        </w:tc>
        <w:tc>
          <w:tcPr>
            <w:tcW w:w="40" w:type="dxa"/>
            <w:vAlign w:val="bottom"/>
            <w:gridSpan w:val="2"/>
            <w:shd w:val="clear" w:color="auto" w:fill="CFEDF9"/>
          </w:tcPr>
          <w:p>
            <w:pPr>
              <w:spacing w:after="0"/>
              <w:rPr>
                <w:sz w:val="11"/>
                <w:szCs w:val="11"/>
                <w:color w:val="auto"/>
              </w:rPr>
            </w:pPr>
          </w:p>
        </w:tc>
        <w:tc>
          <w:tcPr>
            <w:tcW w:w="160" w:type="dxa"/>
            <w:vAlign w:val="bottom"/>
            <w:tcBorders>
              <w:top w:val="single" w:sz="8" w:color="CFEDF9"/>
              <w:right w:val="single" w:sz="8" w:color="CFEDF9"/>
            </w:tcBorders>
            <w:gridSpan w:val="2"/>
            <w:shd w:val="clear" w:color="auto" w:fill="CFEDF9"/>
          </w:tcPr>
          <w:p>
            <w:pPr>
              <w:spacing w:after="0"/>
              <w:rPr>
                <w:sz w:val="11"/>
                <w:szCs w:val="11"/>
                <w:color w:val="auto"/>
              </w:rPr>
            </w:pPr>
          </w:p>
        </w:tc>
        <w:tc>
          <w:tcPr>
            <w:tcW w:w="700" w:type="dxa"/>
            <w:vAlign w:val="bottom"/>
            <w:tcBorders>
              <w:top w:val="single" w:sz="8" w:color="231F20"/>
            </w:tcBorders>
            <w:gridSpan w:val="3"/>
            <w:shd w:val="clear" w:color="auto" w:fill="CFEDF9"/>
          </w:tcPr>
          <w:p>
            <w:pPr>
              <w:spacing w:after="0"/>
              <w:rPr>
                <w:sz w:val="11"/>
                <w:szCs w:val="11"/>
                <w:color w:val="auto"/>
              </w:rPr>
            </w:pPr>
          </w:p>
        </w:tc>
        <w:tc>
          <w:tcPr>
            <w:tcW w:w="40" w:type="dxa"/>
            <w:vAlign w:val="bottom"/>
            <w:gridSpan w:val="2"/>
            <w:shd w:val="clear" w:color="auto" w:fill="CFEDF9"/>
          </w:tcPr>
          <w:p>
            <w:pPr>
              <w:spacing w:after="0"/>
              <w:rPr>
                <w:sz w:val="11"/>
                <w:szCs w:val="11"/>
                <w:color w:val="auto"/>
              </w:rPr>
            </w:pPr>
          </w:p>
        </w:tc>
        <w:tc>
          <w:tcPr>
            <w:tcW w:w="120" w:type="dxa"/>
            <w:vAlign w:val="bottom"/>
            <w:tcBorders>
              <w:top w:val="single" w:sz="8" w:color="CFEDF9"/>
            </w:tcBorders>
            <w:gridSpan w:val="2"/>
            <w:shd w:val="clear" w:color="auto" w:fill="CFEDF9"/>
          </w:tcPr>
          <w:p>
            <w:pPr>
              <w:spacing w:after="0"/>
              <w:rPr>
                <w:sz w:val="11"/>
                <w:szCs w:val="11"/>
                <w:color w:val="auto"/>
              </w:rPr>
            </w:pPr>
          </w:p>
        </w:tc>
        <w:tc>
          <w:tcPr>
            <w:tcW w:w="720" w:type="dxa"/>
            <w:vAlign w:val="bottom"/>
            <w:tcBorders>
              <w:top w:val="single" w:sz="8" w:color="231F20"/>
            </w:tcBorders>
            <w:gridSpan w:val="3"/>
            <w:shd w:val="clear" w:color="auto" w:fill="CFEDF9"/>
          </w:tcPr>
          <w:p>
            <w:pPr>
              <w:spacing w:after="0"/>
              <w:rPr>
                <w:sz w:val="11"/>
                <w:szCs w:val="11"/>
                <w:color w:val="auto"/>
              </w:rPr>
            </w:pPr>
          </w:p>
        </w:tc>
        <w:tc>
          <w:tcPr>
            <w:tcW w:w="4294967277" w:type="dxa"/>
            <w:vAlign w:val="bottom"/>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720" w:type="dxa"/>
            <w:vAlign w:val="bottom"/>
            <w:tcBorders>
              <w:top w:val="single" w:sz="8" w:color="231F20"/>
            </w:tcBorders>
            <w:gridSpan w:val="3"/>
            <w:shd w:val="clear" w:color="auto" w:fill="CFEDF9"/>
          </w:tcPr>
          <w:p>
            <w:pPr>
              <w:spacing w:after="0"/>
              <w:rPr>
                <w:sz w:val="11"/>
                <w:szCs w:val="11"/>
                <w:color w:val="auto"/>
              </w:rPr>
            </w:pPr>
          </w:p>
        </w:tc>
        <w:tc>
          <w:tcPr>
            <w:tcW w:w="4294967277" w:type="dxa"/>
            <w:vAlign w:val="bottom"/>
            <w:shd w:val="clear" w:color="auto" w:fill="CFEDF9"/>
          </w:tcPr>
          <w:p>
            <w:pPr>
              <w:spacing w:after="0"/>
              <w:rPr>
                <w:sz w:val="11"/>
                <w:szCs w:val="11"/>
                <w:color w:val="auto"/>
              </w:rPr>
            </w:pPr>
          </w:p>
        </w:tc>
        <w:tc>
          <w:tcPr>
            <w:tcW w:w="200" w:type="dxa"/>
            <w:vAlign w:val="bottom"/>
            <w:tcBorders>
              <w:top w:val="single" w:sz="8" w:color="CFEDF9"/>
            </w:tcBorders>
            <w:shd w:val="clear" w:color="auto" w:fill="CFEDF9"/>
          </w:tcPr>
          <w:p>
            <w:pPr>
              <w:spacing w:after="0"/>
              <w:rPr>
                <w:sz w:val="11"/>
                <w:szCs w:val="11"/>
                <w:color w:val="auto"/>
              </w:rPr>
            </w:pPr>
          </w:p>
        </w:tc>
        <w:tc>
          <w:tcPr>
            <w:tcW w:w="720" w:type="dxa"/>
            <w:vAlign w:val="bottom"/>
            <w:tcBorders>
              <w:top w:val="single" w:sz="8" w:color="231F20"/>
            </w:tcBorders>
            <w:gridSpan w:val="3"/>
            <w:shd w:val="clear" w:color="auto" w:fill="CFEDF9"/>
          </w:tcPr>
          <w:p>
            <w:pPr>
              <w:spacing w:after="0"/>
              <w:rPr>
                <w:sz w:val="11"/>
                <w:szCs w:val="11"/>
                <w:color w:val="auto"/>
              </w:rPr>
            </w:pPr>
          </w:p>
        </w:tc>
        <w:tc>
          <w:tcPr>
            <w:tcW w:w="4294967277" w:type="dxa"/>
            <w:vAlign w:val="bottom"/>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680" w:type="dxa"/>
            <w:vAlign w:val="bottom"/>
            <w:tcBorders>
              <w:top w:val="single" w:sz="8" w:color="231F20"/>
            </w:tcBorders>
            <w:gridSpan w:val="3"/>
            <w:shd w:val="clear" w:color="auto" w:fill="CFEDF9"/>
          </w:tcPr>
          <w:p>
            <w:pPr>
              <w:spacing w:after="0"/>
              <w:rPr>
                <w:sz w:val="11"/>
                <w:szCs w:val="11"/>
                <w:color w:val="auto"/>
              </w:rPr>
            </w:pPr>
          </w:p>
        </w:tc>
        <w:tc>
          <w:tcPr>
            <w:tcW w:w="4294967277" w:type="dxa"/>
            <w:vAlign w:val="bottom"/>
            <w:shd w:val="clear" w:color="auto" w:fill="CFEDF9"/>
          </w:tcPr>
          <w:p>
            <w:pPr>
              <w:spacing w:after="0"/>
              <w:rPr>
                <w:sz w:val="11"/>
                <w:szCs w:val="11"/>
                <w:color w:val="auto"/>
              </w:rPr>
            </w:pPr>
          </w:p>
        </w:tc>
        <w:tc>
          <w:tcPr>
            <w:tcW w:w="280" w:type="dxa"/>
            <w:vAlign w:val="bottom"/>
            <w:tcBorders>
              <w:top w:val="single" w:sz="8" w:color="CFEDF9"/>
            </w:tcBorders>
            <w:shd w:val="clear" w:color="auto" w:fill="CFEDF9"/>
          </w:tcPr>
          <w:p>
            <w:pPr>
              <w:spacing w:after="0"/>
              <w:rPr>
                <w:sz w:val="11"/>
                <w:szCs w:val="11"/>
                <w:color w:val="auto"/>
              </w:rPr>
            </w:pPr>
          </w:p>
        </w:tc>
        <w:tc>
          <w:tcPr>
            <w:tcW w:w="700" w:type="dxa"/>
            <w:vAlign w:val="bottom"/>
            <w:tcBorders>
              <w:top w:val="single" w:sz="8" w:color="231F20"/>
            </w:tcBorders>
            <w:gridSpan w:val="3"/>
            <w:shd w:val="clear" w:color="auto" w:fill="CFEDF9"/>
          </w:tcPr>
          <w:p>
            <w:pPr>
              <w:spacing w:after="0"/>
              <w:rPr>
                <w:sz w:val="11"/>
                <w:szCs w:val="11"/>
                <w:color w:val="auto"/>
              </w:rPr>
            </w:pPr>
          </w:p>
        </w:tc>
        <w:tc>
          <w:tcPr>
            <w:tcW w:w="4294967277" w:type="dxa"/>
            <w:vAlign w:val="bottom"/>
            <w:shd w:val="clear" w:color="auto" w:fill="CFEDF9"/>
          </w:tcPr>
          <w:p>
            <w:pPr>
              <w:spacing w:after="0"/>
              <w:rPr>
                <w:sz w:val="11"/>
                <w:szCs w:val="11"/>
                <w:color w:val="auto"/>
              </w:rPr>
            </w:pPr>
          </w:p>
        </w:tc>
        <w:tc>
          <w:tcPr>
            <w:tcW w:w="220" w:type="dxa"/>
            <w:vAlign w:val="bottom"/>
            <w:tcBorders>
              <w:top w:val="single" w:sz="8" w:color="CFEDF9"/>
              <w:right w:val="single" w:sz="8" w:color="CFEDF9"/>
            </w:tcBorders>
            <w:shd w:val="clear" w:color="auto" w:fill="CFEDF9"/>
          </w:tcPr>
          <w:p>
            <w:pPr>
              <w:spacing w:after="0"/>
              <w:rPr>
                <w:sz w:val="11"/>
                <w:szCs w:val="11"/>
                <w:color w:val="auto"/>
              </w:rPr>
            </w:pPr>
          </w:p>
        </w:tc>
        <w:tc>
          <w:tcPr>
            <w:tcW w:w="700" w:type="dxa"/>
            <w:vAlign w:val="bottom"/>
            <w:tcBorders>
              <w:top w:val="single" w:sz="8" w:color="231F20"/>
            </w:tcBorders>
            <w:gridSpan w:val="3"/>
            <w:shd w:val="clear" w:color="auto" w:fill="CFEDF9"/>
          </w:tcPr>
          <w:p>
            <w:pPr>
              <w:spacing w:after="0"/>
              <w:rPr>
                <w:sz w:val="11"/>
                <w:szCs w:val="11"/>
                <w:color w:val="auto"/>
              </w:rPr>
            </w:pPr>
          </w:p>
        </w:tc>
        <w:tc>
          <w:tcPr>
            <w:tcW w:w="4294967277" w:type="dxa"/>
            <w:vAlign w:val="bottom"/>
            <w:shd w:val="clear" w:color="auto" w:fill="CFEDF9"/>
          </w:tcPr>
          <w:p>
            <w:pPr>
              <w:spacing w:after="0"/>
              <w:rPr>
                <w:sz w:val="11"/>
                <w:szCs w:val="11"/>
                <w:color w:val="auto"/>
              </w:rPr>
            </w:pPr>
          </w:p>
        </w:tc>
        <w:tc>
          <w:tcPr>
            <w:tcW w:w="180" w:type="dxa"/>
            <w:vAlign w:val="bottom"/>
            <w:tcBorders>
              <w:top w:val="single" w:sz="8" w:color="CFEDF9"/>
            </w:tcBorders>
            <w:shd w:val="clear" w:color="auto" w:fill="CFEDF9"/>
          </w:tcPr>
          <w:p>
            <w:pPr>
              <w:spacing w:after="0"/>
              <w:rPr>
                <w:sz w:val="11"/>
                <w:szCs w:val="11"/>
                <w:color w:val="auto"/>
              </w:rPr>
            </w:pPr>
          </w:p>
        </w:tc>
        <w:tc>
          <w:tcPr>
            <w:tcW w:w="680" w:type="dxa"/>
            <w:vAlign w:val="bottom"/>
            <w:tcBorders>
              <w:top w:val="single" w:sz="8" w:color="231F20"/>
            </w:tcBorders>
            <w:gridSpan w:val="3"/>
            <w:shd w:val="clear" w:color="auto" w:fill="CFEDF9"/>
          </w:tcPr>
          <w:p>
            <w:pPr>
              <w:spacing w:after="0"/>
              <w:rPr>
                <w:sz w:val="11"/>
                <w:szCs w:val="11"/>
                <w:color w:val="auto"/>
              </w:rPr>
            </w:pPr>
          </w:p>
        </w:tc>
        <w:tc>
          <w:tcPr>
            <w:tcW w:w="4294967277" w:type="dxa"/>
            <w:vAlign w:val="bottom"/>
            <w:shd w:val="clear" w:color="auto" w:fill="CFEDF9"/>
          </w:tcPr>
          <w:p>
            <w:pPr>
              <w:spacing w:after="0"/>
              <w:rPr>
                <w:sz w:val="11"/>
                <w:szCs w:val="11"/>
                <w:color w:val="auto"/>
              </w:rPr>
            </w:pPr>
          </w:p>
        </w:tc>
        <w:tc>
          <w:tcPr>
            <w:tcW w:w="120" w:type="dxa"/>
            <w:vAlign w:val="bottom"/>
            <w:tcBorders>
              <w:top w:val="single" w:sz="8" w:color="CFEDF9"/>
            </w:tcBorders>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3"/>
                <w:szCs w:val="13"/>
                <w:color w:val="231F20"/>
              </w:rPr>
              <w:t>period</w:t>
            </w:r>
          </w:p>
        </w:tc>
        <w:tc>
          <w:tcPr>
            <w:tcW w:w="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21.60</w:t>
            </w:r>
          </w:p>
        </w:tc>
        <w:tc>
          <w:tcPr>
            <w:tcW w:w="140" w:type="dxa"/>
            <w:vAlign w:val="bottom"/>
            <w:shd w:val="clear" w:color="auto" w:fill="CFEDF9"/>
          </w:tcPr>
          <w:p>
            <w:pPr>
              <w:spacing w:after="0"/>
              <w:rPr>
                <w:sz w:val="14"/>
                <w:szCs w:val="14"/>
                <w:color w:val="auto"/>
              </w:rPr>
            </w:pPr>
          </w:p>
        </w:tc>
        <w:tc>
          <w:tcPr>
            <w:tcW w:w="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17.80</w:t>
            </w:r>
          </w:p>
        </w:tc>
        <w:tc>
          <w:tcPr>
            <w:tcW w:w="60" w:type="dxa"/>
            <w:vAlign w:val="bottom"/>
            <w:shd w:val="clear" w:color="auto" w:fill="CFEDF9"/>
          </w:tcPr>
          <w:p>
            <w:pPr>
              <w:spacing w:after="0"/>
              <w:rPr>
                <w:sz w:val="14"/>
                <w:szCs w:val="14"/>
                <w:color w:val="auto"/>
              </w:rPr>
            </w:pPr>
          </w:p>
        </w:tc>
        <w:tc>
          <w:tcPr>
            <w:tcW w:w="100" w:type="dxa"/>
            <w:vAlign w:val="bottom"/>
            <w:tcBorders>
              <w:right w:val="single" w:sz="8" w:color="CFEDF9"/>
            </w:tcBorders>
            <w:shd w:val="clear" w:color="auto" w:fill="CFEDF9"/>
          </w:tcPr>
          <w:p>
            <w:pPr>
              <w:spacing w:after="0"/>
              <w:rPr>
                <w:sz w:val="14"/>
                <w:szCs w:val="14"/>
                <w:color w:val="auto"/>
              </w:rPr>
            </w:pPr>
          </w:p>
        </w:tc>
        <w:tc>
          <w:tcPr>
            <w:tcW w:w="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68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23.39</w:t>
            </w:r>
          </w:p>
        </w:tc>
        <w:tc>
          <w:tcPr>
            <w:tcW w:w="40" w:type="dxa"/>
            <w:vAlign w:val="bottom"/>
            <w:shd w:val="clear" w:color="auto" w:fill="CFEDF9"/>
          </w:tcPr>
          <w:p>
            <w:pPr>
              <w:spacing w:after="0"/>
              <w:rPr>
                <w:sz w:val="14"/>
                <w:szCs w:val="14"/>
                <w:color w:val="auto"/>
              </w:rPr>
            </w:pP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20.75</w:t>
            </w:r>
          </w:p>
        </w:tc>
        <w:tc>
          <w:tcPr>
            <w:tcW w:w="180" w:type="dxa"/>
            <w:vAlign w:val="bottom"/>
            <w:shd w:val="clear" w:color="auto" w:fill="CFEDF9"/>
          </w:tcPr>
          <w:p>
            <w:pPr>
              <w:spacing w:after="0"/>
              <w:rPr>
                <w:sz w:val="14"/>
                <w:szCs w:val="14"/>
                <w:color w:val="auto"/>
              </w:rPr>
            </w:pPr>
          </w:p>
        </w:tc>
        <w:tc>
          <w:tcPr>
            <w:tcW w:w="1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w w:val="91"/>
              </w:rPr>
              <w:t>$</w:t>
            </w: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21.47</w:t>
            </w:r>
          </w:p>
        </w:tc>
        <w:tc>
          <w:tcPr>
            <w:tcW w:w="200" w:type="dxa"/>
            <w:vAlign w:val="bottom"/>
            <w:shd w:val="clear" w:color="auto" w:fill="CFEDF9"/>
          </w:tcPr>
          <w:p>
            <w:pPr>
              <w:spacing w:after="0"/>
              <w:rPr>
                <w:sz w:val="14"/>
                <w:szCs w:val="14"/>
                <w:color w:val="auto"/>
              </w:rPr>
            </w:pPr>
          </w:p>
        </w:tc>
        <w:tc>
          <w:tcPr>
            <w:tcW w:w="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18.09</w:t>
            </w:r>
          </w:p>
        </w:tc>
        <w:tc>
          <w:tcPr>
            <w:tcW w:w="180" w:type="dxa"/>
            <w:vAlign w:val="bottom"/>
            <w:shd w:val="clear" w:color="auto" w:fill="CFEDF9"/>
          </w:tcPr>
          <w:p>
            <w:pPr>
              <w:spacing w:after="0"/>
              <w:rPr>
                <w:sz w:val="14"/>
                <w:szCs w:val="14"/>
                <w:color w:val="auto"/>
              </w:rPr>
            </w:pPr>
          </w:p>
        </w:tc>
        <w:tc>
          <w:tcPr>
            <w:tcW w:w="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19.80</w:t>
            </w:r>
          </w:p>
        </w:tc>
        <w:tc>
          <w:tcPr>
            <w:tcW w:w="280" w:type="dxa"/>
            <w:vAlign w:val="bottom"/>
            <w:shd w:val="clear" w:color="auto" w:fill="CFEDF9"/>
          </w:tcPr>
          <w:p>
            <w:pPr>
              <w:spacing w:after="0"/>
              <w:rPr>
                <w:sz w:val="14"/>
                <w:szCs w:val="14"/>
                <w:color w:val="auto"/>
              </w:rPr>
            </w:pPr>
          </w:p>
        </w:tc>
        <w:tc>
          <w:tcPr>
            <w:tcW w:w="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18.68</w:t>
            </w:r>
          </w:p>
        </w:tc>
        <w:tc>
          <w:tcPr>
            <w:tcW w:w="220" w:type="dxa"/>
            <w:vAlign w:val="bottom"/>
            <w:tcBorders>
              <w:right w:val="single" w:sz="8" w:color="CFEDF9"/>
            </w:tcBorders>
            <w:shd w:val="clear" w:color="auto" w:fill="CFEDF9"/>
          </w:tcPr>
          <w:p>
            <w:pPr>
              <w:spacing w:after="0"/>
              <w:rPr>
                <w:sz w:val="14"/>
                <w:szCs w:val="14"/>
                <w:color w:val="auto"/>
              </w:rPr>
            </w:pPr>
          </w:p>
        </w:tc>
        <w:tc>
          <w:tcPr>
            <w:tcW w:w="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62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16.22</w:t>
            </w:r>
          </w:p>
        </w:tc>
        <w:tc>
          <w:tcPr>
            <w:tcW w:w="180" w:type="dxa"/>
            <w:vAlign w:val="bottom"/>
            <w:shd w:val="clear" w:color="auto" w:fill="CFEDF9"/>
          </w:tcPr>
          <w:p>
            <w:pPr>
              <w:spacing w:after="0"/>
              <w:rPr>
                <w:sz w:val="14"/>
                <w:szCs w:val="14"/>
                <w:color w:val="auto"/>
              </w:rPr>
            </w:pPr>
          </w:p>
        </w:tc>
        <w:tc>
          <w:tcPr>
            <w:tcW w:w="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16.82</w:t>
            </w:r>
          </w:p>
        </w:tc>
        <w:tc>
          <w:tcPr>
            <w:tcW w:w="120" w:type="dxa"/>
            <w:vAlign w:val="bottom"/>
            <w:shd w:val="clear" w:color="auto" w:fill="CFEDF9"/>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0800" w:type="dxa"/>
            <w:vAlign w:val="bottom"/>
            <w:gridSpan w:val="61"/>
          </w:tcPr>
          <w:p>
            <w:pPr>
              <w:spacing w:after="0" w:line="137" w:lineRule="exact"/>
              <w:rPr>
                <w:sz w:val="20"/>
                <w:szCs w:val="20"/>
                <w:color w:val="auto"/>
              </w:rPr>
            </w:pPr>
            <w:r>
              <w:rPr>
                <w:rFonts w:ascii="Times New Roman" w:cs="Times New Roman" w:eastAsia="Times New Roman" w:hAnsi="Times New Roman"/>
                <w:sz w:val="13"/>
                <w:szCs w:val="13"/>
                <w:color w:val="231F20"/>
              </w:rPr>
              <w:t>Total return based on market value</w:t>
            </w:r>
          </w:p>
        </w:tc>
        <w:tc>
          <w:tcPr>
            <w:tcW w:w="0" w:type="dxa"/>
            <w:vAlign w:val="bottom"/>
          </w:tcPr>
          <w:p>
            <w:pPr>
              <w:spacing w:after="0"/>
              <w:rPr>
                <w:sz w:val="1"/>
                <w:szCs w:val="1"/>
                <w:color w:val="auto"/>
              </w:rPr>
            </w:pPr>
          </w:p>
        </w:tc>
      </w:tr>
      <w:tr>
        <w:trPr>
          <w:trHeight w:val="162"/>
        </w:trPr>
        <w:tc>
          <w:tcPr>
            <w:tcW w:w="2100" w:type="dxa"/>
            <w:vAlign w:val="bottom"/>
            <w:gridSpan w:val="6"/>
          </w:tcPr>
          <w:p>
            <w:pPr>
              <w:spacing w:after="0"/>
              <w:rPr>
                <w:sz w:val="20"/>
                <w:szCs w:val="20"/>
                <w:color w:val="auto"/>
              </w:rPr>
            </w:pPr>
            <w:r>
              <w:rPr>
                <w:rFonts w:ascii="Times New Roman" w:cs="Times New Roman" w:eastAsia="Times New Roman" w:hAnsi="Times New Roman"/>
                <w:sz w:val="13"/>
                <w:szCs w:val="13"/>
                <w:color w:val="231F20"/>
              </w:rPr>
              <w:t xml:space="preserve">with reinvestment of dividends </w:t>
            </w:r>
            <w:r>
              <w:rPr>
                <w:rFonts w:ascii="Times New Roman" w:cs="Times New Roman" w:eastAsia="Times New Roman" w:hAnsi="Times New Roman"/>
                <w:sz w:val="8"/>
                <w:szCs w:val="8"/>
                <w:color w:val="231F20"/>
              </w:rPr>
              <w:t>(3)</w:t>
            </w:r>
          </w:p>
        </w:tc>
        <w:tc>
          <w:tcPr>
            <w:tcW w:w="0" w:type="dxa"/>
            <w:vAlign w:val="bottom"/>
          </w:tcPr>
          <w:p>
            <w:pPr>
              <w:spacing w:after="0"/>
              <w:rPr>
                <w:sz w:val="14"/>
                <w:szCs w:val="14"/>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color w:val="231F20"/>
              </w:rPr>
              <w:t>35.68%</w:t>
            </w:r>
          </w:p>
        </w:tc>
        <w:tc>
          <w:tcPr>
            <w:tcW w:w="80" w:type="dxa"/>
            <w:vAlign w:val="bottom"/>
          </w:tcPr>
          <w:p>
            <w:pPr>
              <w:spacing w:after="0"/>
              <w:rPr>
                <w:sz w:val="14"/>
                <w:szCs w:val="14"/>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(15.78)%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231F20"/>
              </w:rPr>
              <w:t>32.80%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right"/>
              <w:ind w:right="15"/>
              <w:spacing w:after="0"/>
              <w:rPr>
                <w:sz w:val="20"/>
                <w:szCs w:val="20"/>
                <w:color w:val="auto"/>
              </w:rPr>
            </w:pPr>
            <w:r>
              <w:rPr>
                <w:rFonts w:ascii="Times New Roman" w:cs="Times New Roman" w:eastAsia="Times New Roman" w:hAnsi="Times New Roman"/>
                <w:sz w:val="13"/>
                <w:szCs w:val="13"/>
                <w:color w:val="231F20"/>
              </w:rPr>
              <w:t>11.24%</w:t>
            </w:r>
          </w:p>
        </w:tc>
        <w:tc>
          <w:tcPr>
            <w:tcW w:w="100" w:type="dxa"/>
            <w:vAlign w:val="bottom"/>
          </w:tcPr>
          <w:p>
            <w:pPr>
              <w:spacing w:after="0"/>
              <w:rPr>
                <w:sz w:val="14"/>
                <w:szCs w:val="14"/>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231F20"/>
              </w:rPr>
              <w:t>30.57%</w:t>
            </w:r>
          </w:p>
        </w:tc>
        <w:tc>
          <w:tcPr>
            <w:tcW w:w="80" w:type="dxa"/>
            <w:vAlign w:val="bottom"/>
          </w:tcPr>
          <w:p>
            <w:pPr>
              <w:spacing w:after="0"/>
              <w:rPr>
                <w:sz w:val="14"/>
                <w:szCs w:val="14"/>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231F20"/>
              </w:rPr>
              <w:t>4.24%</w:t>
            </w:r>
          </w:p>
        </w:tc>
        <w:tc>
          <w:tcPr>
            <w:tcW w:w="80" w:type="dxa"/>
            <w:vAlign w:val="bottom"/>
          </w:tcPr>
          <w:p>
            <w:pPr>
              <w:spacing w:after="0"/>
              <w:rPr>
                <w:sz w:val="14"/>
                <w:szCs w:val="14"/>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231F20"/>
              </w:rPr>
              <w:t>15.75%</w:t>
            </w:r>
          </w:p>
        </w:tc>
        <w:tc>
          <w:tcPr>
            <w:tcW w:w="80" w:type="dxa"/>
            <w:vAlign w:val="bottom"/>
          </w:tcPr>
          <w:p>
            <w:pPr>
              <w:spacing w:after="0"/>
              <w:rPr>
                <w:sz w:val="14"/>
                <w:szCs w:val="14"/>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231F20"/>
              </w:rPr>
              <w:t>26.74%</w:t>
            </w:r>
          </w:p>
        </w:tc>
        <w:tc>
          <w:tcPr>
            <w:tcW w:w="60" w:type="dxa"/>
            <w:vAlign w:val="bottom"/>
          </w:tcPr>
          <w:p>
            <w:pPr>
              <w:spacing w:after="0"/>
              <w:rPr>
                <w:sz w:val="14"/>
                <w:szCs w:val="14"/>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231F20"/>
              </w:rPr>
              <w:t>5.75%</w:t>
            </w:r>
          </w:p>
        </w:tc>
        <w:tc>
          <w:tcPr>
            <w:tcW w:w="8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231F20"/>
              </w:rPr>
              <w:t>12.28%</w:t>
            </w:r>
          </w:p>
        </w:tc>
        <w:tc>
          <w:tcPr>
            <w:tcW w:w="0" w:type="dxa"/>
            <w:vAlign w:val="bottom"/>
          </w:tcPr>
          <w:p>
            <w:pPr>
              <w:spacing w:after="0"/>
              <w:rPr>
                <w:sz w:val="1"/>
                <w:szCs w:val="1"/>
                <w:color w:val="auto"/>
              </w:rPr>
            </w:pPr>
          </w:p>
        </w:tc>
      </w:tr>
      <w:tr>
        <w:trPr>
          <w:trHeight w:val="149"/>
        </w:trPr>
        <w:tc>
          <w:tcPr>
            <w:tcW w:w="210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3"/>
                <w:szCs w:val="13"/>
                <w:color w:val="231F20"/>
              </w:rPr>
              <w:t xml:space="preserve">Total return based on market value </w:t>
            </w:r>
            <w:r>
              <w:rPr>
                <w:rFonts w:ascii="Times New Roman" w:cs="Times New Roman" w:eastAsia="Times New Roman" w:hAnsi="Times New Roman"/>
                <w:sz w:val="8"/>
                <w:szCs w:val="8"/>
                <w:color w:val="231F20"/>
              </w:rPr>
              <w:t>(4)</w:t>
            </w:r>
          </w:p>
        </w:tc>
        <w:tc>
          <w:tcPr>
            <w:tcW w:w="0" w:type="dxa"/>
            <w:vAlign w:val="bottom"/>
            <w:shd w:val="clear" w:color="auto" w:fill="CFEDF9"/>
          </w:tcPr>
          <w:p>
            <w:pPr>
              <w:spacing w:after="0"/>
              <w:rPr>
                <w:sz w:val="12"/>
                <w:szCs w:val="12"/>
                <w:color w:val="auto"/>
              </w:rPr>
            </w:pPr>
          </w:p>
        </w:tc>
        <w:tc>
          <w:tcPr>
            <w:tcW w:w="800" w:type="dxa"/>
            <w:vAlign w:val="bottom"/>
            <w:gridSpan w:val="5"/>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33.14%</w:t>
            </w:r>
          </w:p>
        </w:tc>
        <w:tc>
          <w:tcPr>
            <w:tcW w:w="80" w:type="dxa"/>
            <w:vAlign w:val="bottom"/>
            <w:shd w:val="clear" w:color="auto" w:fill="CFEDF9"/>
          </w:tcPr>
          <w:p>
            <w:pPr>
              <w:spacing w:after="0"/>
              <w:rPr>
                <w:sz w:val="12"/>
                <w:szCs w:val="12"/>
                <w:color w:val="auto"/>
              </w:rPr>
            </w:pP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(16.03)%</w:t>
            </w:r>
          </w:p>
        </w:tc>
        <w:tc>
          <w:tcPr>
            <w:tcW w:w="60" w:type="dxa"/>
            <w:vAlign w:val="bottom"/>
            <w:shd w:val="clear" w:color="auto" w:fill="CFEDF9"/>
          </w:tcPr>
          <w:p>
            <w:pPr>
              <w:spacing w:after="0"/>
              <w:rPr>
                <w:sz w:val="12"/>
                <w:szCs w:val="12"/>
                <w:color w:val="auto"/>
              </w:rPr>
            </w:pPr>
          </w:p>
        </w:tc>
        <w:tc>
          <w:tcPr>
            <w:tcW w:w="100" w:type="dxa"/>
            <w:vAlign w:val="bottom"/>
            <w:tcBorders>
              <w:right w:val="single" w:sz="8" w:color="CFEDF9"/>
            </w:tcBorders>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720" w:type="dxa"/>
            <w:vAlign w:val="bottom"/>
            <w:gridSpan w:val="5"/>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30.02%</w:t>
            </w:r>
          </w:p>
        </w:tc>
        <w:tc>
          <w:tcPr>
            <w:tcW w:w="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gridSpan w:val="4"/>
            <w:shd w:val="clear" w:color="auto" w:fill="CFEDF9"/>
          </w:tcPr>
          <w:p>
            <w:pPr>
              <w:jc w:val="right"/>
              <w:ind w:right="15"/>
              <w:spacing w:after="0"/>
              <w:rPr>
                <w:sz w:val="20"/>
                <w:szCs w:val="20"/>
                <w:color w:val="auto"/>
              </w:rPr>
            </w:pPr>
            <w:r>
              <w:rPr>
                <w:rFonts w:ascii="Times New Roman" w:cs="Times New Roman" w:eastAsia="Times New Roman" w:hAnsi="Times New Roman"/>
                <w:sz w:val="13"/>
                <w:szCs w:val="13"/>
                <w:color w:val="231F20"/>
              </w:rPr>
              <w:t>7.36%</w:t>
            </w:r>
          </w:p>
        </w:tc>
        <w:tc>
          <w:tcPr>
            <w:tcW w:w="100" w:type="dxa"/>
            <w:vAlign w:val="bottom"/>
            <w:shd w:val="clear" w:color="auto" w:fill="CFEDF9"/>
          </w:tcPr>
          <w:p>
            <w:pPr>
              <w:spacing w:after="0"/>
              <w:rPr>
                <w:sz w:val="12"/>
                <w:szCs w:val="12"/>
                <w:color w:val="auto"/>
              </w:rPr>
            </w:pPr>
          </w:p>
        </w:tc>
        <w:tc>
          <w:tcPr>
            <w:tcW w:w="800" w:type="dxa"/>
            <w:vAlign w:val="bottom"/>
            <w:gridSpan w:val="4"/>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28.69%</w:t>
            </w:r>
          </w:p>
        </w:tc>
        <w:tc>
          <w:tcPr>
            <w:tcW w:w="80" w:type="dxa"/>
            <w:vAlign w:val="bottom"/>
            <w:shd w:val="clear" w:color="auto" w:fill="CFEDF9"/>
          </w:tcPr>
          <w:p>
            <w:pPr>
              <w:spacing w:after="0"/>
              <w:rPr>
                <w:sz w:val="12"/>
                <w:szCs w:val="12"/>
                <w:color w:val="auto"/>
              </w:rPr>
            </w:pPr>
          </w:p>
        </w:tc>
        <w:tc>
          <w:tcPr>
            <w:tcW w:w="800" w:type="dxa"/>
            <w:vAlign w:val="bottom"/>
            <w:gridSpan w:val="4"/>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0.35%</w:t>
            </w:r>
          </w:p>
        </w:tc>
        <w:tc>
          <w:tcPr>
            <w:tcW w:w="80" w:type="dxa"/>
            <w:vAlign w:val="bottom"/>
            <w:shd w:val="clear" w:color="auto" w:fill="CFEDF9"/>
          </w:tcPr>
          <w:p>
            <w:pPr>
              <w:spacing w:after="0"/>
              <w:rPr>
                <w:sz w:val="12"/>
                <w:szCs w:val="12"/>
                <w:color w:val="auto"/>
              </w:rPr>
            </w:pPr>
          </w:p>
        </w:tc>
        <w:tc>
          <w:tcPr>
            <w:tcW w:w="860" w:type="dxa"/>
            <w:vAlign w:val="bottom"/>
            <w:gridSpan w:val="4"/>
            <w:shd w:val="clear" w:color="auto" w:fill="CFEDF9"/>
          </w:tcPr>
          <w:p>
            <w:pPr>
              <w:jc w:val="right"/>
              <w:ind w:right="160"/>
              <w:spacing w:after="0"/>
              <w:rPr>
                <w:sz w:val="20"/>
                <w:szCs w:val="20"/>
                <w:color w:val="auto"/>
              </w:rPr>
            </w:pPr>
            <w:r>
              <w:rPr>
                <w:rFonts w:ascii="Times New Roman" w:cs="Times New Roman" w:eastAsia="Times New Roman" w:hAnsi="Times New Roman"/>
                <w:sz w:val="13"/>
                <w:szCs w:val="13"/>
                <w:color w:val="231F20"/>
              </w:rPr>
              <w:t>15.36%</w:t>
            </w:r>
          </w:p>
        </w:tc>
        <w:tc>
          <w:tcPr>
            <w:tcW w:w="80" w:type="dxa"/>
            <w:vAlign w:val="bottom"/>
            <w:shd w:val="clear" w:color="auto" w:fill="CFEDF9"/>
          </w:tcPr>
          <w:p>
            <w:pPr>
              <w:spacing w:after="0"/>
              <w:rPr>
                <w:sz w:val="12"/>
                <w:szCs w:val="12"/>
                <w:color w:val="auto"/>
              </w:rPr>
            </w:pPr>
          </w:p>
        </w:tc>
        <w:tc>
          <w:tcPr>
            <w:tcW w:w="820" w:type="dxa"/>
            <w:vAlign w:val="bottom"/>
            <w:tcBorders>
              <w:right w:val="single" w:sz="8" w:color="CFEDF9"/>
            </w:tcBorders>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3"/>
                <w:szCs w:val="13"/>
                <w:color w:val="231F20"/>
              </w:rPr>
              <w:t>24.78%</w:t>
            </w:r>
          </w:p>
        </w:tc>
        <w:tc>
          <w:tcPr>
            <w:tcW w:w="60" w:type="dxa"/>
            <w:vAlign w:val="bottom"/>
            <w:shd w:val="clear" w:color="auto" w:fill="CFEDF9"/>
          </w:tcPr>
          <w:p>
            <w:pPr>
              <w:spacing w:after="0"/>
              <w:rPr>
                <w:sz w:val="12"/>
                <w:szCs w:val="12"/>
                <w:color w:val="auto"/>
              </w:rPr>
            </w:pPr>
          </w:p>
        </w:tc>
        <w:tc>
          <w:tcPr>
            <w:tcW w:w="800" w:type="dxa"/>
            <w:vAlign w:val="bottom"/>
            <w:gridSpan w:val="4"/>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5.71%</w:t>
            </w:r>
          </w:p>
        </w:tc>
        <w:tc>
          <w:tcPr>
            <w:tcW w:w="80" w:type="dxa"/>
            <w:vAlign w:val="bottom"/>
            <w:shd w:val="clear" w:color="auto" w:fill="CFEDF9"/>
          </w:tcPr>
          <w:p>
            <w:pPr>
              <w:spacing w:after="0"/>
              <w:rPr>
                <w:sz w:val="12"/>
                <w:szCs w:val="12"/>
                <w:color w:val="auto"/>
              </w:rPr>
            </w:pPr>
          </w:p>
        </w:tc>
        <w:tc>
          <w:tcPr>
            <w:tcW w:w="700" w:type="dxa"/>
            <w:vAlign w:val="bottom"/>
            <w:gridSpan w:val="4"/>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14.69%</w:t>
            </w:r>
          </w:p>
        </w:tc>
        <w:tc>
          <w:tcPr>
            <w:tcW w:w="0" w:type="dxa"/>
            <w:vAlign w:val="bottom"/>
          </w:tcPr>
          <w:p>
            <w:pPr>
              <w:spacing w:after="0"/>
              <w:rPr>
                <w:sz w:val="1"/>
                <w:szCs w:val="1"/>
                <w:color w:val="auto"/>
              </w:rPr>
            </w:pPr>
          </w:p>
        </w:tc>
      </w:tr>
      <w:tr>
        <w:trPr>
          <w:trHeight w:val="150"/>
        </w:trPr>
        <w:tc>
          <w:tcPr>
            <w:tcW w:w="2100" w:type="dxa"/>
            <w:vAlign w:val="bottom"/>
            <w:gridSpan w:val="6"/>
          </w:tcPr>
          <w:p>
            <w:pPr>
              <w:spacing w:after="0"/>
              <w:rPr>
                <w:sz w:val="20"/>
                <w:szCs w:val="20"/>
                <w:color w:val="auto"/>
              </w:rPr>
            </w:pPr>
            <w:r>
              <w:rPr>
                <w:rFonts w:ascii="Times New Roman" w:cs="Times New Roman" w:eastAsia="Times New Roman" w:hAnsi="Times New Roman"/>
                <w:sz w:val="13"/>
                <w:szCs w:val="13"/>
                <w:color w:val="231F20"/>
              </w:rPr>
              <w:t>Total return based on net asset value</w:t>
            </w:r>
          </w:p>
        </w:tc>
        <w:tc>
          <w:tcPr>
            <w:tcW w:w="0" w:type="dxa"/>
            <w:vAlign w:val="bottom"/>
          </w:tcPr>
          <w:p>
            <w:pPr>
              <w:spacing w:after="0"/>
              <w:rPr>
                <w:sz w:val="13"/>
                <w:szCs w:val="13"/>
                <w:color w:val="auto"/>
              </w:rPr>
            </w:pPr>
          </w:p>
        </w:tc>
        <w:tc>
          <w:tcPr>
            <w:tcW w:w="80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3"/>
                <w:szCs w:val="13"/>
                <w:color w:val="231F20"/>
              </w:rPr>
              <w:t>16.09%</w:t>
            </w:r>
          </w:p>
        </w:tc>
        <w:tc>
          <w:tcPr>
            <w:tcW w:w="80" w:type="dxa"/>
            <w:vAlign w:val="bottom"/>
          </w:tcPr>
          <w:p>
            <w:pPr>
              <w:spacing w:after="0"/>
              <w:rPr>
                <w:sz w:val="13"/>
                <w:szCs w:val="13"/>
                <w:color w:val="auto"/>
              </w:rPr>
            </w:pPr>
          </w:p>
        </w:tc>
        <w:tc>
          <w:tcPr>
            <w:tcW w:w="7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color w:val="231F20"/>
              </w:rPr>
              <w:t>8.79%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color w:val="231F20"/>
              </w:rPr>
              <w:t>19.06%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vMerge w:val="restart"/>
          </w:tcPr>
          <w:p>
            <w:pPr>
              <w:jc w:val="right"/>
              <w:ind w:right="15"/>
              <w:spacing w:after="0"/>
              <w:rPr>
                <w:sz w:val="20"/>
                <w:szCs w:val="20"/>
                <w:color w:val="auto"/>
              </w:rPr>
            </w:pPr>
            <w:r>
              <w:rPr>
                <w:rFonts w:ascii="Times New Roman" w:cs="Times New Roman" w:eastAsia="Times New Roman" w:hAnsi="Times New Roman"/>
                <w:sz w:val="13"/>
                <w:szCs w:val="13"/>
                <w:color w:val="231F20"/>
              </w:rPr>
              <w:t>15.63%</w:t>
            </w:r>
          </w:p>
        </w:tc>
        <w:tc>
          <w:tcPr>
            <w:tcW w:w="100" w:type="dxa"/>
            <w:vAlign w:val="bottom"/>
          </w:tcPr>
          <w:p>
            <w:pPr>
              <w:spacing w:after="0"/>
              <w:rPr>
                <w:sz w:val="13"/>
                <w:szCs w:val="13"/>
                <w:color w:val="auto"/>
              </w:rPr>
            </w:pPr>
          </w:p>
        </w:tc>
        <w:tc>
          <w:tcPr>
            <w:tcW w:w="8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3"/>
                <w:szCs w:val="13"/>
                <w:color w:val="231F20"/>
              </w:rPr>
              <w:t>14.71%</w:t>
            </w:r>
          </w:p>
        </w:tc>
        <w:tc>
          <w:tcPr>
            <w:tcW w:w="80" w:type="dxa"/>
            <w:vAlign w:val="bottom"/>
          </w:tcPr>
          <w:p>
            <w:pPr>
              <w:spacing w:after="0"/>
              <w:rPr>
                <w:sz w:val="13"/>
                <w:szCs w:val="13"/>
                <w:color w:val="auto"/>
              </w:rPr>
            </w:pPr>
          </w:p>
        </w:tc>
        <w:tc>
          <w:tcPr>
            <w:tcW w:w="8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3"/>
                <w:szCs w:val="13"/>
                <w:color w:val="231F20"/>
              </w:rPr>
              <w:t>12.06%</w:t>
            </w:r>
          </w:p>
        </w:tc>
        <w:tc>
          <w:tcPr>
            <w:tcW w:w="80" w:type="dxa"/>
            <w:vAlign w:val="bottom"/>
          </w:tcPr>
          <w:p>
            <w:pPr>
              <w:spacing w:after="0"/>
              <w:rPr>
                <w:sz w:val="13"/>
                <w:szCs w:val="13"/>
                <w:color w:val="auto"/>
              </w:rPr>
            </w:pPr>
          </w:p>
        </w:tc>
        <w:tc>
          <w:tcPr>
            <w:tcW w:w="8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231F20"/>
              </w:rPr>
              <w:t>11.87%</w:t>
            </w:r>
          </w:p>
        </w:tc>
        <w:tc>
          <w:tcPr>
            <w:tcW w:w="80" w:type="dxa"/>
            <w:vAlign w:val="bottom"/>
          </w:tcPr>
          <w:p>
            <w:pPr>
              <w:spacing w:after="0"/>
              <w:rPr>
                <w:sz w:val="13"/>
                <w:szCs w:val="13"/>
                <w:color w:val="auto"/>
              </w:rPr>
            </w:pPr>
          </w:p>
        </w:tc>
        <w:tc>
          <w:tcPr>
            <w:tcW w:w="8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3"/>
                <w:szCs w:val="13"/>
                <w:color w:val="231F20"/>
              </w:rPr>
              <w:t>15.54%</w:t>
            </w:r>
          </w:p>
        </w:tc>
        <w:tc>
          <w:tcPr>
            <w:tcW w:w="60" w:type="dxa"/>
            <w:vAlign w:val="bottom"/>
          </w:tcPr>
          <w:p>
            <w:pPr>
              <w:spacing w:after="0"/>
              <w:rPr>
                <w:sz w:val="13"/>
                <w:szCs w:val="13"/>
                <w:color w:val="auto"/>
              </w:rPr>
            </w:pPr>
          </w:p>
        </w:tc>
        <w:tc>
          <w:tcPr>
            <w:tcW w:w="8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3"/>
                <w:szCs w:val="13"/>
                <w:color w:val="231F20"/>
              </w:rPr>
              <w:t>7.62%</w:t>
            </w:r>
          </w:p>
        </w:tc>
        <w:tc>
          <w:tcPr>
            <w:tcW w:w="80" w:type="dxa"/>
            <w:vAlign w:val="bottom"/>
          </w:tcPr>
          <w:p>
            <w:pPr>
              <w:spacing w:after="0"/>
              <w:rPr>
                <w:sz w:val="13"/>
                <w:szCs w:val="13"/>
                <w:color w:val="auto"/>
              </w:rPr>
            </w:pP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231F20"/>
              </w:rPr>
              <w:t>9.92%</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20"/>
                <w:szCs w:val="20"/>
                <w:color w:val="auto"/>
              </w:rPr>
            </w:pPr>
            <w:r>
              <w:rPr>
                <w:rFonts w:ascii="Times New Roman" w:cs="Times New Roman" w:eastAsia="Times New Roman" w:hAnsi="Times New Roman"/>
                <w:sz w:val="8"/>
                <w:szCs w:val="8"/>
                <w:color w:val="231F20"/>
              </w:rPr>
              <w:t>(5)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3"/>
                <w:szCs w:val="13"/>
                <w:color w:val="231F20"/>
              </w:rPr>
              <w:t>Shares Outstanding, End of Period</w:t>
            </w:r>
          </w:p>
        </w:tc>
        <w:tc>
          <w:tcPr>
            <w:tcW w:w="0" w:type="dxa"/>
            <w:vAlign w:val="bottom"/>
            <w:shd w:val="clear" w:color="auto" w:fill="CFEDF9"/>
          </w:tcPr>
          <w:p>
            <w:pPr>
              <w:spacing w:after="0"/>
              <w:rPr>
                <w:sz w:val="12"/>
                <w:szCs w:val="12"/>
                <w:color w:val="auto"/>
              </w:rPr>
            </w:pP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w w:val="99"/>
              </w:rPr>
              <w:t>87,829,499</w:t>
            </w:r>
          </w:p>
        </w:tc>
        <w:tc>
          <w:tcPr>
            <w:tcW w:w="14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6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w w:val="99"/>
              </w:rPr>
              <w:t>81,389,287</w:t>
            </w:r>
          </w:p>
        </w:tc>
        <w:tc>
          <w:tcPr>
            <w:tcW w:w="60" w:type="dxa"/>
            <w:vAlign w:val="bottom"/>
            <w:shd w:val="clear" w:color="auto" w:fill="CFEDF9"/>
          </w:tcPr>
          <w:p>
            <w:pPr>
              <w:spacing w:after="0"/>
              <w:rPr>
                <w:sz w:val="12"/>
                <w:szCs w:val="12"/>
                <w:color w:val="auto"/>
              </w:rPr>
            </w:pPr>
          </w:p>
        </w:tc>
        <w:tc>
          <w:tcPr>
            <w:tcW w:w="100" w:type="dxa"/>
            <w:vAlign w:val="bottom"/>
            <w:tcBorders>
              <w:right w:val="single" w:sz="8" w:color="CFEDF9"/>
            </w:tcBorders>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680" w:type="dxa"/>
            <w:vAlign w:val="bottom"/>
            <w:gridSpan w:val="4"/>
            <w:shd w:val="clear" w:color="auto" w:fill="CFEDF9"/>
          </w:tcPr>
          <w:p>
            <w:pPr>
              <w:jc w:val="right"/>
              <w:ind w:right="60"/>
              <w:spacing w:after="0"/>
              <w:rPr>
                <w:sz w:val="20"/>
                <w:szCs w:val="20"/>
                <w:color w:val="auto"/>
              </w:rPr>
            </w:pPr>
            <w:r>
              <w:rPr>
                <w:rFonts w:ascii="Times New Roman" w:cs="Times New Roman" w:eastAsia="Times New Roman" w:hAnsi="Times New Roman"/>
                <w:sz w:val="13"/>
                <w:szCs w:val="13"/>
                <w:color w:val="231F20"/>
              </w:rPr>
              <w:t>75,771,542</w:t>
            </w:r>
          </w:p>
        </w:tc>
        <w:tc>
          <w:tcPr>
            <w:tcW w:w="4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w w:val="99"/>
              </w:rPr>
              <w:t>67,684,209</w:t>
            </w:r>
          </w:p>
        </w:tc>
        <w:tc>
          <w:tcPr>
            <w:tcW w:w="1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w w:val="99"/>
              </w:rPr>
              <w:t>66,524,591</w:t>
            </w:r>
          </w:p>
        </w:tc>
        <w:tc>
          <w:tcPr>
            <w:tcW w:w="20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2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65,412,817</w:t>
            </w:r>
          </w:p>
        </w:tc>
        <w:tc>
          <w:tcPr>
            <w:tcW w:w="18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5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w w:val="95"/>
              </w:rPr>
              <w:t>60,247,201</w:t>
            </w:r>
          </w:p>
        </w:tc>
        <w:tc>
          <w:tcPr>
            <w:tcW w:w="28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6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w w:val="99"/>
              </w:rPr>
              <w:t>59,716,205</w:t>
            </w:r>
          </w:p>
        </w:tc>
        <w:tc>
          <w:tcPr>
            <w:tcW w:w="220" w:type="dxa"/>
            <w:vAlign w:val="bottom"/>
            <w:tcBorders>
              <w:right w:val="single" w:sz="8" w:color="CFEDF9"/>
            </w:tcBorders>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62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54,163,960</w:t>
            </w:r>
          </w:p>
        </w:tc>
        <w:tc>
          <w:tcPr>
            <w:tcW w:w="180" w:type="dxa"/>
            <w:vAlign w:val="bottom"/>
            <w:shd w:val="clear" w:color="auto" w:fill="CFEDF9"/>
          </w:tcPr>
          <w:p>
            <w:pPr>
              <w:spacing w:after="0"/>
              <w:rPr>
                <w:sz w:val="12"/>
                <w:szCs w:val="12"/>
                <w:color w:val="auto"/>
              </w:rPr>
            </w:pPr>
          </w:p>
        </w:tc>
        <w:tc>
          <w:tcPr>
            <w:tcW w:w="80" w:type="dxa"/>
            <w:vAlign w:val="bottom"/>
            <w:shd w:val="clear" w:color="auto" w:fill="CFEDF9"/>
          </w:tcPr>
          <w:p>
            <w:pPr>
              <w:spacing w:after="0"/>
              <w:rPr>
                <w:sz w:val="12"/>
                <w:szCs w:val="12"/>
                <w:color w:val="auto"/>
              </w:rPr>
            </w:pPr>
          </w:p>
        </w:tc>
        <w:tc>
          <w:tcPr>
            <w:tcW w:w="5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w w:val="95"/>
              </w:rPr>
              <w:t>53,797,358</w:t>
            </w:r>
          </w:p>
        </w:tc>
        <w:tc>
          <w:tcPr>
            <w:tcW w:w="120" w:type="dxa"/>
            <w:vAlign w:val="bottom"/>
            <w:shd w:val="clear" w:color="auto" w:fill="CFEDF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0" w:type="dxa"/>
            <w:vAlign w:val="bottom"/>
            <w:gridSpan w:val="61"/>
          </w:tcPr>
          <w:p>
            <w:pPr>
              <w:spacing w:after="0"/>
              <w:rPr>
                <w:sz w:val="20"/>
                <w:szCs w:val="20"/>
                <w:color w:val="auto"/>
              </w:rPr>
            </w:pPr>
            <w:r>
              <w:rPr>
                <w:rFonts w:ascii="Times New Roman" w:cs="Times New Roman" w:eastAsia="Times New Roman" w:hAnsi="Times New Roman"/>
                <w:sz w:val="13"/>
                <w:szCs w:val="13"/>
                <w:b w:val="1"/>
                <w:bCs w:val="1"/>
                <w:color w:val="231F20"/>
              </w:rPr>
              <w:t xml:space="preserve">Ratios / Supplemental Data </w:t>
            </w:r>
            <w:r>
              <w:rPr>
                <w:rFonts w:ascii="Times New Roman" w:cs="Times New Roman" w:eastAsia="Times New Roman" w:hAnsi="Times New Roman"/>
                <w:sz w:val="8"/>
                <w:szCs w:val="8"/>
                <w:b w:val="1"/>
                <w:bCs w:val="1"/>
                <w:color w:val="231F20"/>
              </w:rPr>
              <w:t>(6)</w:t>
            </w:r>
          </w:p>
        </w:tc>
        <w:tc>
          <w:tcPr>
            <w:tcW w:w="0" w:type="dxa"/>
            <w:vAlign w:val="bottom"/>
          </w:tcPr>
          <w:p>
            <w:pPr>
              <w:spacing w:after="0"/>
              <w:rPr>
                <w:sz w:val="1"/>
                <w:szCs w:val="1"/>
                <w:color w:val="auto"/>
              </w:rPr>
            </w:pPr>
          </w:p>
        </w:tc>
      </w:tr>
      <w:tr>
        <w:trPr>
          <w:trHeight w:val="137"/>
        </w:trPr>
        <w:tc>
          <w:tcPr>
            <w:tcW w:w="3800" w:type="dxa"/>
            <w:vAlign w:val="bottom"/>
            <w:tcBorders>
              <w:right w:val="single" w:sz="8" w:color="CFEDF9"/>
            </w:tcBorders>
            <w:gridSpan w:val="19"/>
            <w:shd w:val="clear" w:color="auto" w:fill="CFEDF9"/>
          </w:tcPr>
          <w:p>
            <w:pPr>
              <w:spacing w:after="0" w:line="137" w:lineRule="exact"/>
              <w:rPr>
                <w:sz w:val="20"/>
                <w:szCs w:val="20"/>
                <w:color w:val="auto"/>
              </w:rPr>
            </w:pPr>
            <w:r>
              <w:rPr>
                <w:rFonts w:ascii="Times New Roman" w:cs="Times New Roman" w:eastAsia="Times New Roman" w:hAnsi="Times New Roman"/>
                <w:sz w:val="13"/>
                <w:szCs w:val="13"/>
                <w:color w:val="231F20"/>
              </w:rPr>
              <w:t>Ratio of net expenses to average net</w:t>
            </w:r>
          </w:p>
        </w:tc>
        <w:tc>
          <w:tcPr>
            <w:tcW w:w="5360" w:type="dxa"/>
            <w:vAlign w:val="bottom"/>
            <w:tcBorders>
              <w:right w:val="single" w:sz="8" w:color="CFEDF9"/>
            </w:tcBorders>
            <w:gridSpan w:val="32"/>
            <w:shd w:val="clear" w:color="auto" w:fill="CFEDF9"/>
          </w:tcPr>
          <w:p>
            <w:pPr>
              <w:spacing w:after="0"/>
              <w:rPr>
                <w:sz w:val="11"/>
                <w:szCs w:val="11"/>
                <w:color w:val="auto"/>
              </w:rPr>
            </w:pPr>
          </w:p>
        </w:tc>
        <w:tc>
          <w:tcPr>
            <w:tcW w:w="1640" w:type="dxa"/>
            <w:vAlign w:val="bottom"/>
            <w:gridSpan w:val="10"/>
            <w:shd w:val="clear" w:color="auto" w:fill="CFEDF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3"/>
                <w:szCs w:val="13"/>
                <w:color w:val="231F20"/>
              </w:rPr>
              <w:t>assets</w:t>
            </w:r>
          </w:p>
        </w:tc>
        <w:tc>
          <w:tcPr>
            <w:tcW w:w="0" w:type="dxa"/>
            <w:vAlign w:val="bottom"/>
            <w:shd w:val="clear" w:color="auto" w:fill="CFEDF9"/>
          </w:tcPr>
          <w:p>
            <w:pPr>
              <w:spacing w:after="0"/>
              <w:rPr>
                <w:sz w:val="14"/>
                <w:szCs w:val="14"/>
                <w:color w:val="auto"/>
              </w:rPr>
            </w:pPr>
          </w:p>
        </w:tc>
        <w:tc>
          <w:tcPr>
            <w:tcW w:w="800" w:type="dxa"/>
            <w:vAlign w:val="bottom"/>
            <w:gridSpan w:val="5"/>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16.92%</w:t>
            </w:r>
          </w:p>
        </w:tc>
        <w:tc>
          <w:tcPr>
            <w:tcW w:w="80" w:type="dxa"/>
            <w:vAlign w:val="bottom"/>
            <w:shd w:val="clear" w:color="auto" w:fill="CFEDF9"/>
          </w:tcPr>
          <w:p>
            <w:pPr>
              <w:spacing w:after="0"/>
              <w:rPr>
                <w:sz w:val="14"/>
                <w:szCs w:val="14"/>
                <w:color w:val="auto"/>
              </w:rPr>
            </w:pPr>
          </w:p>
        </w:tc>
        <w:tc>
          <w:tcPr>
            <w:tcW w:w="720" w:type="dxa"/>
            <w:vAlign w:val="bottom"/>
            <w:gridSpan w:val="5"/>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11.05%</w:t>
            </w:r>
          </w:p>
        </w:tc>
        <w:tc>
          <w:tcPr>
            <w:tcW w:w="100" w:type="dxa"/>
            <w:vAlign w:val="bottom"/>
            <w:tcBorders>
              <w:right w:val="single" w:sz="8" w:color="CFEDF9"/>
            </w:tcBorders>
            <w:shd w:val="clear" w:color="auto" w:fill="CFEDF9"/>
          </w:tcPr>
          <w:p>
            <w:pPr>
              <w:spacing w:after="0"/>
              <w:rPr>
                <w:sz w:val="14"/>
                <w:szCs w:val="14"/>
                <w:color w:val="auto"/>
              </w:rPr>
            </w:pPr>
          </w:p>
        </w:tc>
        <w:tc>
          <w:tcPr>
            <w:tcW w:w="60" w:type="dxa"/>
            <w:vAlign w:val="bottom"/>
            <w:shd w:val="clear" w:color="auto" w:fill="CFEDF9"/>
          </w:tcPr>
          <w:p>
            <w:pPr>
              <w:spacing w:after="0"/>
              <w:rPr>
                <w:sz w:val="14"/>
                <w:szCs w:val="14"/>
                <w:color w:val="auto"/>
              </w:rPr>
            </w:pPr>
          </w:p>
        </w:tc>
        <w:tc>
          <w:tcPr>
            <w:tcW w:w="720" w:type="dxa"/>
            <w:vAlign w:val="bottom"/>
            <w:gridSpan w:val="5"/>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11.17%</w:t>
            </w:r>
          </w:p>
        </w:tc>
        <w:tc>
          <w:tcPr>
            <w:tcW w:w="80" w:type="dxa"/>
            <w:vAlign w:val="bottom"/>
            <w:shd w:val="clear" w:color="auto" w:fill="CFEDF9"/>
          </w:tcPr>
          <w:p>
            <w:pPr>
              <w:spacing w:after="0"/>
              <w:rPr>
                <w:sz w:val="14"/>
                <w:szCs w:val="14"/>
                <w:color w:val="auto"/>
              </w:rPr>
            </w:pPr>
          </w:p>
        </w:tc>
        <w:tc>
          <w:tcPr>
            <w:tcW w:w="100" w:type="dxa"/>
            <w:vAlign w:val="bottom"/>
            <w:shd w:val="clear" w:color="auto" w:fill="CFEDF9"/>
          </w:tcPr>
          <w:p>
            <w:pPr>
              <w:spacing w:after="0"/>
              <w:rPr>
                <w:sz w:val="14"/>
                <w:szCs w:val="14"/>
                <w:color w:val="auto"/>
              </w:rPr>
            </w:pPr>
          </w:p>
        </w:tc>
        <w:tc>
          <w:tcPr>
            <w:tcW w:w="780" w:type="dxa"/>
            <w:vAlign w:val="bottom"/>
            <w:gridSpan w:val="4"/>
            <w:shd w:val="clear" w:color="auto" w:fill="CFEDF9"/>
          </w:tcPr>
          <w:p>
            <w:pPr>
              <w:jc w:val="right"/>
              <w:ind w:right="15"/>
              <w:spacing w:after="0"/>
              <w:rPr>
                <w:sz w:val="20"/>
                <w:szCs w:val="20"/>
                <w:color w:val="auto"/>
              </w:rPr>
            </w:pPr>
            <w:r>
              <w:rPr>
                <w:rFonts w:ascii="Times New Roman" w:cs="Times New Roman" w:eastAsia="Times New Roman" w:hAnsi="Times New Roman"/>
                <w:sz w:val="13"/>
                <w:szCs w:val="13"/>
                <w:color w:val="231F20"/>
              </w:rPr>
              <w:t>11.10%</w:t>
            </w:r>
          </w:p>
        </w:tc>
        <w:tc>
          <w:tcPr>
            <w:tcW w:w="100" w:type="dxa"/>
            <w:vAlign w:val="bottom"/>
            <w:shd w:val="clear" w:color="auto" w:fill="CFEDF9"/>
          </w:tcPr>
          <w:p>
            <w:pPr>
              <w:spacing w:after="0"/>
              <w:rPr>
                <w:sz w:val="14"/>
                <w:szCs w:val="14"/>
                <w:color w:val="auto"/>
              </w:rPr>
            </w:pPr>
          </w:p>
        </w:tc>
        <w:tc>
          <w:tcPr>
            <w:tcW w:w="800" w:type="dxa"/>
            <w:vAlign w:val="bottom"/>
            <w:gridSpan w:val="4"/>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11.27%</w:t>
            </w:r>
          </w:p>
        </w:tc>
        <w:tc>
          <w:tcPr>
            <w:tcW w:w="80" w:type="dxa"/>
            <w:vAlign w:val="bottom"/>
            <w:shd w:val="clear" w:color="auto" w:fill="CFEDF9"/>
          </w:tcPr>
          <w:p>
            <w:pPr>
              <w:spacing w:after="0"/>
              <w:rPr>
                <w:sz w:val="14"/>
                <w:szCs w:val="14"/>
                <w:color w:val="auto"/>
              </w:rPr>
            </w:pPr>
          </w:p>
        </w:tc>
        <w:tc>
          <w:tcPr>
            <w:tcW w:w="800" w:type="dxa"/>
            <w:vAlign w:val="bottom"/>
            <w:gridSpan w:val="4"/>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11.32%</w:t>
            </w:r>
          </w:p>
        </w:tc>
        <w:tc>
          <w:tcPr>
            <w:tcW w:w="80" w:type="dxa"/>
            <w:vAlign w:val="bottom"/>
            <w:shd w:val="clear" w:color="auto" w:fill="CFEDF9"/>
          </w:tcPr>
          <w:p>
            <w:pPr>
              <w:spacing w:after="0"/>
              <w:rPr>
                <w:sz w:val="14"/>
                <w:szCs w:val="14"/>
                <w:color w:val="auto"/>
              </w:rPr>
            </w:pPr>
          </w:p>
        </w:tc>
        <w:tc>
          <w:tcPr>
            <w:tcW w:w="860" w:type="dxa"/>
            <w:vAlign w:val="bottom"/>
            <w:gridSpan w:val="4"/>
            <w:shd w:val="clear" w:color="auto" w:fill="CFEDF9"/>
          </w:tcPr>
          <w:p>
            <w:pPr>
              <w:jc w:val="right"/>
              <w:ind w:right="160"/>
              <w:spacing w:after="0"/>
              <w:rPr>
                <w:sz w:val="20"/>
                <w:szCs w:val="20"/>
                <w:color w:val="auto"/>
              </w:rPr>
            </w:pPr>
            <w:r>
              <w:rPr>
                <w:rFonts w:ascii="Times New Roman" w:cs="Times New Roman" w:eastAsia="Times New Roman" w:hAnsi="Times New Roman"/>
                <w:sz w:val="13"/>
                <w:szCs w:val="13"/>
                <w:color w:val="231F20"/>
              </w:rPr>
              <w:t>9.41%</w:t>
            </w:r>
          </w:p>
        </w:tc>
        <w:tc>
          <w:tcPr>
            <w:tcW w:w="80" w:type="dxa"/>
            <w:vAlign w:val="bottom"/>
            <w:shd w:val="clear" w:color="auto" w:fill="CFEDF9"/>
          </w:tcPr>
          <w:p>
            <w:pPr>
              <w:spacing w:after="0"/>
              <w:rPr>
                <w:sz w:val="14"/>
                <w:szCs w:val="14"/>
                <w:color w:val="auto"/>
              </w:rPr>
            </w:pPr>
          </w:p>
        </w:tc>
        <w:tc>
          <w:tcPr>
            <w:tcW w:w="820" w:type="dxa"/>
            <w:vAlign w:val="bottom"/>
            <w:tcBorders>
              <w:right w:val="single" w:sz="8" w:color="CFEDF9"/>
            </w:tcBorders>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3"/>
                <w:szCs w:val="13"/>
                <w:color w:val="231F20"/>
              </w:rPr>
              <w:t>9.39%</w:t>
            </w:r>
          </w:p>
        </w:tc>
        <w:tc>
          <w:tcPr>
            <w:tcW w:w="60" w:type="dxa"/>
            <w:vAlign w:val="bottom"/>
            <w:shd w:val="clear" w:color="auto" w:fill="CFEDF9"/>
          </w:tcPr>
          <w:p>
            <w:pPr>
              <w:spacing w:after="0"/>
              <w:rPr>
                <w:sz w:val="14"/>
                <w:szCs w:val="14"/>
                <w:color w:val="auto"/>
              </w:rPr>
            </w:pPr>
          </w:p>
        </w:tc>
        <w:tc>
          <w:tcPr>
            <w:tcW w:w="800" w:type="dxa"/>
            <w:vAlign w:val="bottom"/>
            <w:gridSpan w:val="4"/>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9.31%</w:t>
            </w:r>
          </w:p>
        </w:tc>
        <w:tc>
          <w:tcPr>
            <w:tcW w:w="80" w:type="dxa"/>
            <w:vAlign w:val="bottom"/>
            <w:shd w:val="clear" w:color="auto" w:fill="CFEDF9"/>
          </w:tcPr>
          <w:p>
            <w:pPr>
              <w:spacing w:after="0"/>
              <w:rPr>
                <w:sz w:val="14"/>
                <w:szCs w:val="14"/>
                <w:color w:val="auto"/>
              </w:rPr>
            </w:pPr>
          </w:p>
        </w:tc>
        <w:tc>
          <w:tcPr>
            <w:tcW w:w="700" w:type="dxa"/>
            <w:vAlign w:val="bottom"/>
            <w:gridSpan w:val="4"/>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7.56%</w:t>
            </w:r>
          </w:p>
        </w:tc>
        <w:tc>
          <w:tcPr>
            <w:tcW w:w="0" w:type="dxa"/>
            <w:vAlign w:val="bottom"/>
          </w:tcPr>
          <w:p>
            <w:pPr>
              <w:spacing w:after="0"/>
              <w:rPr>
                <w:sz w:val="1"/>
                <w:szCs w:val="1"/>
                <w:color w:val="auto"/>
              </w:rPr>
            </w:pPr>
          </w:p>
        </w:tc>
      </w:tr>
      <w:tr>
        <w:trPr>
          <w:trHeight w:val="137"/>
        </w:trPr>
        <w:tc>
          <w:tcPr>
            <w:tcW w:w="10800" w:type="dxa"/>
            <w:vAlign w:val="bottom"/>
            <w:gridSpan w:val="61"/>
          </w:tcPr>
          <w:p>
            <w:pPr>
              <w:spacing w:after="0" w:line="137" w:lineRule="exact"/>
              <w:rPr>
                <w:sz w:val="20"/>
                <w:szCs w:val="20"/>
                <w:color w:val="auto"/>
              </w:rPr>
            </w:pPr>
            <w:r>
              <w:rPr>
                <w:rFonts w:ascii="Times New Roman" w:cs="Times New Roman" w:eastAsia="Times New Roman" w:hAnsi="Times New Roman"/>
                <w:sz w:val="13"/>
                <w:szCs w:val="13"/>
                <w:color w:val="231F20"/>
              </w:rPr>
              <w:t>Ratio of net investment income to</w:t>
            </w:r>
          </w:p>
        </w:tc>
        <w:tc>
          <w:tcPr>
            <w:tcW w:w="0" w:type="dxa"/>
            <w:vAlign w:val="bottom"/>
          </w:tcPr>
          <w:p>
            <w:pPr>
              <w:spacing w:after="0"/>
              <w:rPr>
                <w:sz w:val="1"/>
                <w:szCs w:val="1"/>
                <w:color w:val="auto"/>
              </w:rPr>
            </w:pPr>
          </w:p>
        </w:tc>
      </w:tr>
      <w:tr>
        <w:trPr>
          <w:trHeight w:val="162"/>
        </w:trPr>
        <w:tc>
          <w:tcPr>
            <w:tcW w:w="2100" w:type="dxa"/>
            <w:vAlign w:val="bottom"/>
            <w:gridSpan w:val="6"/>
          </w:tcPr>
          <w:p>
            <w:pPr>
              <w:spacing w:after="0"/>
              <w:rPr>
                <w:sz w:val="20"/>
                <w:szCs w:val="20"/>
                <w:color w:val="auto"/>
              </w:rPr>
            </w:pPr>
            <w:r>
              <w:rPr>
                <w:rFonts w:ascii="Times New Roman" w:cs="Times New Roman" w:eastAsia="Times New Roman" w:hAnsi="Times New Roman"/>
                <w:sz w:val="13"/>
                <w:szCs w:val="13"/>
                <w:color w:val="231F20"/>
              </w:rPr>
              <w:t>average net assets</w:t>
            </w:r>
          </w:p>
        </w:tc>
        <w:tc>
          <w:tcPr>
            <w:tcW w:w="0" w:type="dxa"/>
            <w:vAlign w:val="bottom"/>
          </w:tcPr>
          <w:p>
            <w:pPr>
              <w:spacing w:after="0"/>
              <w:rPr>
                <w:sz w:val="14"/>
                <w:szCs w:val="14"/>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color w:val="231F20"/>
              </w:rPr>
              <w:t>13.75%</w:t>
            </w:r>
          </w:p>
        </w:tc>
        <w:tc>
          <w:tcPr>
            <w:tcW w:w="80" w:type="dxa"/>
            <w:vAlign w:val="bottom"/>
          </w:tcPr>
          <w:p>
            <w:pPr>
              <w:spacing w:after="0"/>
              <w:rPr>
                <w:sz w:val="14"/>
                <w:szCs w:val="14"/>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231F20"/>
              </w:rPr>
              <w:t>12.85%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231F20"/>
              </w:rPr>
              <w:t>11.67%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right"/>
              <w:ind w:right="15"/>
              <w:spacing w:after="0"/>
              <w:rPr>
                <w:sz w:val="20"/>
                <w:szCs w:val="20"/>
                <w:color w:val="auto"/>
              </w:rPr>
            </w:pPr>
            <w:r>
              <w:rPr>
                <w:rFonts w:ascii="Times New Roman" w:cs="Times New Roman" w:eastAsia="Times New Roman" w:hAnsi="Times New Roman"/>
                <w:sz w:val="13"/>
                <w:szCs w:val="13"/>
                <w:color w:val="231F20"/>
              </w:rPr>
              <w:t>13.26%</w:t>
            </w:r>
          </w:p>
        </w:tc>
        <w:tc>
          <w:tcPr>
            <w:tcW w:w="100" w:type="dxa"/>
            <w:vAlign w:val="bottom"/>
          </w:tcPr>
          <w:p>
            <w:pPr>
              <w:spacing w:after="0"/>
              <w:rPr>
                <w:sz w:val="14"/>
                <w:szCs w:val="14"/>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231F20"/>
              </w:rPr>
              <w:t>11.73%</w:t>
            </w:r>
          </w:p>
        </w:tc>
        <w:tc>
          <w:tcPr>
            <w:tcW w:w="80" w:type="dxa"/>
            <w:vAlign w:val="bottom"/>
          </w:tcPr>
          <w:p>
            <w:pPr>
              <w:spacing w:after="0"/>
              <w:rPr>
                <w:sz w:val="14"/>
                <w:szCs w:val="14"/>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231F20"/>
              </w:rPr>
              <w:t>13.80%</w:t>
            </w:r>
          </w:p>
        </w:tc>
        <w:tc>
          <w:tcPr>
            <w:tcW w:w="80" w:type="dxa"/>
            <w:vAlign w:val="bottom"/>
          </w:tcPr>
          <w:p>
            <w:pPr>
              <w:spacing w:after="0"/>
              <w:rPr>
                <w:sz w:val="14"/>
                <w:szCs w:val="14"/>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231F20"/>
              </w:rPr>
              <w:t>12.49%</w:t>
            </w:r>
          </w:p>
        </w:tc>
        <w:tc>
          <w:tcPr>
            <w:tcW w:w="80" w:type="dxa"/>
            <w:vAlign w:val="bottom"/>
          </w:tcPr>
          <w:p>
            <w:pPr>
              <w:spacing w:after="0"/>
              <w:rPr>
                <w:sz w:val="14"/>
                <w:szCs w:val="14"/>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231F20"/>
              </w:rPr>
              <w:t>11.84%</w:t>
            </w:r>
          </w:p>
        </w:tc>
        <w:tc>
          <w:tcPr>
            <w:tcW w:w="60" w:type="dxa"/>
            <w:vAlign w:val="bottom"/>
          </w:tcPr>
          <w:p>
            <w:pPr>
              <w:spacing w:after="0"/>
              <w:rPr>
                <w:sz w:val="14"/>
                <w:szCs w:val="14"/>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231F20"/>
              </w:rPr>
              <w:t>11.35%</w:t>
            </w:r>
          </w:p>
        </w:tc>
        <w:tc>
          <w:tcPr>
            <w:tcW w:w="8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231F20"/>
              </w:rPr>
              <w:t>13.42%</w:t>
            </w:r>
          </w:p>
        </w:tc>
        <w:tc>
          <w:tcPr>
            <w:tcW w:w="0" w:type="dxa"/>
            <w:vAlign w:val="bottom"/>
          </w:tcPr>
          <w:p>
            <w:pPr>
              <w:spacing w:after="0"/>
              <w:rPr>
                <w:sz w:val="1"/>
                <w:szCs w:val="1"/>
                <w:color w:val="auto"/>
              </w:rPr>
            </w:pPr>
          </w:p>
        </w:tc>
      </w:tr>
      <w:tr>
        <w:trPr>
          <w:trHeight w:val="149"/>
        </w:trPr>
        <w:tc>
          <w:tcPr>
            <w:tcW w:w="2100" w:type="dxa"/>
            <w:vAlign w:val="bottom"/>
            <w:gridSpan w:val="6"/>
            <w:shd w:val="clear" w:color="auto" w:fill="CFEDF9"/>
          </w:tcPr>
          <w:p>
            <w:pPr>
              <w:spacing w:after="0"/>
              <w:rPr>
                <w:sz w:val="20"/>
                <w:szCs w:val="20"/>
                <w:color w:val="auto"/>
              </w:rPr>
            </w:pPr>
            <w:r>
              <w:rPr>
                <w:rFonts w:ascii="Times New Roman" w:cs="Times New Roman" w:eastAsia="Times New Roman" w:hAnsi="Times New Roman"/>
                <w:sz w:val="13"/>
                <w:szCs w:val="13"/>
                <w:color w:val="231F20"/>
              </w:rPr>
              <w:t>Portfolio turnover</w:t>
            </w:r>
          </w:p>
        </w:tc>
        <w:tc>
          <w:tcPr>
            <w:tcW w:w="0" w:type="dxa"/>
            <w:vAlign w:val="bottom"/>
            <w:shd w:val="clear" w:color="auto" w:fill="CFEDF9"/>
          </w:tcPr>
          <w:p>
            <w:pPr>
              <w:spacing w:after="0"/>
              <w:rPr>
                <w:sz w:val="12"/>
                <w:szCs w:val="12"/>
                <w:color w:val="auto"/>
              </w:rPr>
            </w:pPr>
          </w:p>
        </w:tc>
        <w:tc>
          <w:tcPr>
            <w:tcW w:w="800" w:type="dxa"/>
            <w:vAlign w:val="bottom"/>
            <w:gridSpan w:val="5"/>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16.92%</w:t>
            </w:r>
          </w:p>
        </w:tc>
        <w:tc>
          <w:tcPr>
            <w:tcW w:w="80" w:type="dxa"/>
            <w:vAlign w:val="bottom"/>
            <w:shd w:val="clear" w:color="auto" w:fill="CFEDF9"/>
          </w:tcPr>
          <w:p>
            <w:pPr>
              <w:spacing w:after="0"/>
              <w:rPr>
                <w:sz w:val="12"/>
                <w:szCs w:val="12"/>
                <w:color w:val="auto"/>
              </w:rPr>
            </w:pPr>
          </w:p>
        </w:tc>
        <w:tc>
          <w:tcPr>
            <w:tcW w:w="720" w:type="dxa"/>
            <w:vAlign w:val="bottom"/>
            <w:gridSpan w:val="5"/>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26.67%</w:t>
            </w:r>
          </w:p>
        </w:tc>
        <w:tc>
          <w:tcPr>
            <w:tcW w:w="100" w:type="dxa"/>
            <w:vAlign w:val="bottom"/>
            <w:tcBorders>
              <w:right w:val="single" w:sz="8" w:color="CFEDF9"/>
            </w:tcBorders>
            <w:shd w:val="clear" w:color="auto" w:fill="CFEDF9"/>
          </w:tcPr>
          <w:p>
            <w:pPr>
              <w:spacing w:after="0"/>
              <w:rPr>
                <w:sz w:val="12"/>
                <w:szCs w:val="12"/>
                <w:color w:val="auto"/>
              </w:rPr>
            </w:pPr>
          </w:p>
        </w:tc>
        <w:tc>
          <w:tcPr>
            <w:tcW w:w="60" w:type="dxa"/>
            <w:vAlign w:val="bottom"/>
            <w:shd w:val="clear" w:color="auto" w:fill="CFEDF9"/>
          </w:tcPr>
          <w:p>
            <w:pPr>
              <w:spacing w:after="0"/>
              <w:rPr>
                <w:sz w:val="12"/>
                <w:szCs w:val="12"/>
                <w:color w:val="auto"/>
              </w:rPr>
            </w:pPr>
          </w:p>
        </w:tc>
        <w:tc>
          <w:tcPr>
            <w:tcW w:w="720" w:type="dxa"/>
            <w:vAlign w:val="bottom"/>
            <w:gridSpan w:val="5"/>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44.23%</w:t>
            </w:r>
          </w:p>
        </w:tc>
        <w:tc>
          <w:tcPr>
            <w:tcW w:w="80" w:type="dxa"/>
            <w:vAlign w:val="bottom"/>
            <w:shd w:val="clear" w:color="auto" w:fill="CFEDF9"/>
          </w:tcPr>
          <w:p>
            <w:pPr>
              <w:spacing w:after="0"/>
              <w:rPr>
                <w:sz w:val="12"/>
                <w:szCs w:val="12"/>
                <w:color w:val="auto"/>
              </w:rPr>
            </w:pPr>
          </w:p>
        </w:tc>
        <w:tc>
          <w:tcPr>
            <w:tcW w:w="100" w:type="dxa"/>
            <w:vAlign w:val="bottom"/>
            <w:shd w:val="clear" w:color="auto" w:fill="CFEDF9"/>
          </w:tcPr>
          <w:p>
            <w:pPr>
              <w:spacing w:after="0"/>
              <w:rPr>
                <w:sz w:val="12"/>
                <w:szCs w:val="12"/>
                <w:color w:val="auto"/>
              </w:rPr>
            </w:pPr>
          </w:p>
        </w:tc>
        <w:tc>
          <w:tcPr>
            <w:tcW w:w="780" w:type="dxa"/>
            <w:vAlign w:val="bottom"/>
            <w:gridSpan w:val="4"/>
            <w:shd w:val="clear" w:color="auto" w:fill="CFEDF9"/>
          </w:tcPr>
          <w:p>
            <w:pPr>
              <w:jc w:val="right"/>
              <w:ind w:right="15"/>
              <w:spacing w:after="0"/>
              <w:rPr>
                <w:sz w:val="20"/>
                <w:szCs w:val="20"/>
                <w:color w:val="auto"/>
              </w:rPr>
            </w:pPr>
            <w:r>
              <w:rPr>
                <w:rFonts w:ascii="Times New Roman" w:cs="Times New Roman" w:eastAsia="Times New Roman" w:hAnsi="Times New Roman"/>
                <w:sz w:val="13"/>
                <w:szCs w:val="13"/>
                <w:color w:val="231F20"/>
              </w:rPr>
              <w:t>41.88%</w:t>
            </w:r>
          </w:p>
        </w:tc>
        <w:tc>
          <w:tcPr>
            <w:tcW w:w="100" w:type="dxa"/>
            <w:vAlign w:val="bottom"/>
            <w:shd w:val="clear" w:color="auto" w:fill="CFEDF9"/>
          </w:tcPr>
          <w:p>
            <w:pPr>
              <w:spacing w:after="0"/>
              <w:rPr>
                <w:sz w:val="12"/>
                <w:szCs w:val="12"/>
                <w:color w:val="auto"/>
              </w:rPr>
            </w:pPr>
          </w:p>
        </w:tc>
        <w:tc>
          <w:tcPr>
            <w:tcW w:w="800" w:type="dxa"/>
            <w:vAlign w:val="bottom"/>
            <w:gridSpan w:val="4"/>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30.89%</w:t>
            </w:r>
          </w:p>
        </w:tc>
        <w:tc>
          <w:tcPr>
            <w:tcW w:w="80" w:type="dxa"/>
            <w:vAlign w:val="bottom"/>
            <w:shd w:val="clear" w:color="auto" w:fill="CFEDF9"/>
          </w:tcPr>
          <w:p>
            <w:pPr>
              <w:spacing w:after="0"/>
              <w:rPr>
                <w:sz w:val="12"/>
                <w:szCs w:val="12"/>
                <w:color w:val="auto"/>
              </w:rPr>
            </w:pPr>
          </w:p>
        </w:tc>
        <w:tc>
          <w:tcPr>
            <w:tcW w:w="800" w:type="dxa"/>
            <w:vAlign w:val="bottom"/>
            <w:gridSpan w:val="4"/>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44.57%</w:t>
            </w:r>
          </w:p>
        </w:tc>
        <w:tc>
          <w:tcPr>
            <w:tcW w:w="80" w:type="dxa"/>
            <w:vAlign w:val="bottom"/>
            <w:shd w:val="clear" w:color="auto" w:fill="CFEDF9"/>
          </w:tcPr>
          <w:p>
            <w:pPr>
              <w:spacing w:after="0"/>
              <w:rPr>
                <w:sz w:val="12"/>
                <w:szCs w:val="12"/>
                <w:color w:val="auto"/>
              </w:rPr>
            </w:pPr>
          </w:p>
        </w:tc>
        <w:tc>
          <w:tcPr>
            <w:tcW w:w="860" w:type="dxa"/>
            <w:vAlign w:val="bottom"/>
            <w:gridSpan w:val="4"/>
            <w:shd w:val="clear" w:color="auto" w:fill="CFEDF9"/>
          </w:tcPr>
          <w:p>
            <w:pPr>
              <w:jc w:val="right"/>
              <w:ind w:right="160"/>
              <w:spacing w:after="0"/>
              <w:rPr>
                <w:sz w:val="20"/>
                <w:szCs w:val="20"/>
                <w:color w:val="auto"/>
              </w:rPr>
            </w:pPr>
            <w:r>
              <w:rPr>
                <w:rFonts w:ascii="Times New Roman" w:cs="Times New Roman" w:eastAsia="Times New Roman" w:hAnsi="Times New Roman"/>
                <w:sz w:val="13"/>
                <w:szCs w:val="13"/>
                <w:color w:val="231F20"/>
              </w:rPr>
              <w:t>58.08%</w:t>
            </w:r>
          </w:p>
        </w:tc>
        <w:tc>
          <w:tcPr>
            <w:tcW w:w="80" w:type="dxa"/>
            <w:vAlign w:val="bottom"/>
            <w:shd w:val="clear" w:color="auto" w:fill="CFEDF9"/>
          </w:tcPr>
          <w:p>
            <w:pPr>
              <w:spacing w:after="0"/>
              <w:rPr>
                <w:sz w:val="12"/>
                <w:szCs w:val="12"/>
                <w:color w:val="auto"/>
              </w:rPr>
            </w:pPr>
          </w:p>
        </w:tc>
        <w:tc>
          <w:tcPr>
            <w:tcW w:w="820" w:type="dxa"/>
            <w:vAlign w:val="bottom"/>
            <w:tcBorders>
              <w:right w:val="single" w:sz="8" w:color="CFEDF9"/>
            </w:tcBorders>
            <w:gridSpan w:val="4"/>
            <w:shd w:val="clear" w:color="auto" w:fill="CFEDF9"/>
          </w:tcPr>
          <w:p>
            <w:pPr>
              <w:jc w:val="right"/>
              <w:ind w:right="100"/>
              <w:spacing w:after="0"/>
              <w:rPr>
                <w:sz w:val="20"/>
                <w:szCs w:val="20"/>
                <w:color w:val="auto"/>
              </w:rPr>
            </w:pPr>
            <w:r>
              <w:rPr>
                <w:rFonts w:ascii="Times New Roman" w:cs="Times New Roman" w:eastAsia="Times New Roman" w:hAnsi="Times New Roman"/>
                <w:sz w:val="13"/>
                <w:szCs w:val="13"/>
                <w:color w:val="231F20"/>
              </w:rPr>
              <w:t>37.40%</w:t>
            </w:r>
          </w:p>
        </w:tc>
        <w:tc>
          <w:tcPr>
            <w:tcW w:w="60" w:type="dxa"/>
            <w:vAlign w:val="bottom"/>
            <w:shd w:val="clear" w:color="auto" w:fill="CFEDF9"/>
          </w:tcPr>
          <w:p>
            <w:pPr>
              <w:spacing w:after="0"/>
              <w:rPr>
                <w:sz w:val="12"/>
                <w:szCs w:val="12"/>
                <w:color w:val="auto"/>
              </w:rPr>
            </w:pPr>
          </w:p>
        </w:tc>
        <w:tc>
          <w:tcPr>
            <w:tcW w:w="800" w:type="dxa"/>
            <w:vAlign w:val="bottom"/>
            <w:gridSpan w:val="4"/>
            <w:shd w:val="clear" w:color="auto" w:fill="CFEDF9"/>
          </w:tcPr>
          <w:p>
            <w:pPr>
              <w:jc w:val="right"/>
              <w:ind w:right="80"/>
              <w:spacing w:after="0"/>
              <w:rPr>
                <w:sz w:val="20"/>
                <w:szCs w:val="20"/>
                <w:color w:val="auto"/>
              </w:rPr>
            </w:pPr>
            <w:r>
              <w:rPr>
                <w:rFonts w:ascii="Times New Roman" w:cs="Times New Roman" w:eastAsia="Times New Roman" w:hAnsi="Times New Roman"/>
                <w:sz w:val="13"/>
                <w:szCs w:val="13"/>
                <w:color w:val="231F20"/>
              </w:rPr>
              <w:t>34.51%</w:t>
            </w:r>
          </w:p>
        </w:tc>
        <w:tc>
          <w:tcPr>
            <w:tcW w:w="80" w:type="dxa"/>
            <w:vAlign w:val="bottom"/>
            <w:shd w:val="clear" w:color="auto" w:fill="CFEDF9"/>
          </w:tcPr>
          <w:p>
            <w:pPr>
              <w:spacing w:after="0"/>
              <w:rPr>
                <w:sz w:val="12"/>
                <w:szCs w:val="12"/>
                <w:color w:val="auto"/>
              </w:rPr>
            </w:pPr>
          </w:p>
        </w:tc>
        <w:tc>
          <w:tcPr>
            <w:tcW w:w="700" w:type="dxa"/>
            <w:vAlign w:val="bottom"/>
            <w:gridSpan w:val="4"/>
            <w:shd w:val="clear" w:color="auto" w:fill="CFEDF9"/>
          </w:tcPr>
          <w:p>
            <w:pPr>
              <w:jc w:val="right"/>
              <w:spacing w:after="0"/>
              <w:rPr>
                <w:sz w:val="20"/>
                <w:szCs w:val="20"/>
                <w:color w:val="auto"/>
              </w:rPr>
            </w:pPr>
            <w:r>
              <w:rPr>
                <w:rFonts w:ascii="Times New Roman" w:cs="Times New Roman" w:eastAsia="Times New Roman" w:hAnsi="Times New Roman"/>
                <w:sz w:val="13"/>
                <w:szCs w:val="13"/>
                <w:color w:val="231F20"/>
              </w:rPr>
              <w:t>53.16%</w:t>
            </w:r>
          </w:p>
        </w:tc>
        <w:tc>
          <w:tcPr>
            <w:tcW w:w="0" w:type="dxa"/>
            <w:vAlign w:val="bottom"/>
          </w:tcPr>
          <w:p>
            <w:pPr>
              <w:spacing w:after="0"/>
              <w:rPr>
                <w:sz w:val="1"/>
                <w:szCs w:val="1"/>
                <w:color w:val="auto"/>
              </w:rPr>
            </w:pPr>
          </w:p>
        </w:tc>
      </w:tr>
      <w:tr>
        <w:trPr>
          <w:trHeight w:val="139"/>
        </w:trPr>
        <w:tc>
          <w:tcPr>
            <w:tcW w:w="20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231F20"/>
              </w:rPr>
              <w:t>Net assets, end of period</w:t>
            </w:r>
          </w:p>
        </w:tc>
        <w:tc>
          <w:tcPr>
            <w:tcW w:w="100" w:type="dxa"/>
            <w:vAlign w:val="bottom"/>
            <w:tcBorders>
              <w:top w:val="single" w:sz="8" w:color="231F20"/>
            </w:tcBorders>
            <w:gridSpan w:val="5"/>
          </w:tcPr>
          <w:p>
            <w:pPr>
              <w:spacing w:after="0"/>
              <w:rPr>
                <w:sz w:val="12"/>
                <w:szCs w:val="12"/>
                <w:color w:val="auto"/>
              </w:rPr>
            </w:pPr>
          </w:p>
        </w:tc>
        <w:tc>
          <w:tcPr>
            <w:tcW w:w="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1,496,375</w:t>
            </w:r>
          </w:p>
        </w:tc>
        <w:tc>
          <w:tcPr>
            <w:tcW w:w="60" w:type="dxa"/>
            <w:vAlign w:val="bottom"/>
            <w:tcBorders>
              <w:bottom w:val="single" w:sz="8" w:color="231F20"/>
            </w:tcBorders>
            <w:gridSpan w:val="3"/>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1,341,569</w:t>
            </w:r>
          </w:p>
        </w:tc>
        <w:tc>
          <w:tcPr>
            <w:tcW w:w="60" w:type="dxa"/>
            <w:vAlign w:val="bottom"/>
            <w:tcBorders>
              <w:bottom w:val="single" w:sz="8" w:color="231F20"/>
            </w:tcBorders>
            <w:gridSpan w:val="3"/>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62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1,275,848</w:t>
            </w:r>
          </w:p>
        </w:tc>
        <w:tc>
          <w:tcPr>
            <w:tcW w:w="60" w:type="dxa"/>
            <w:vAlign w:val="bottom"/>
            <w:tcBorders>
              <w:bottom w:val="single" w:sz="8" w:color="231F20"/>
            </w:tcBorders>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1,161,315</w:t>
            </w:r>
          </w:p>
        </w:tc>
        <w:tc>
          <w:tcPr>
            <w:tcW w:w="0" w:type="dxa"/>
            <w:vAlign w:val="bottom"/>
            <w:tcBorders>
              <w:bottom w:val="single" w:sz="8" w:color="231F20"/>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w w:val="91"/>
              </w:rPr>
              <w:t>$</w:t>
            </w:r>
          </w:p>
        </w:tc>
        <w:tc>
          <w:tcPr>
            <w:tcW w:w="60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1,119,297</w:t>
            </w:r>
          </w:p>
        </w:tc>
        <w:tc>
          <w:tcPr>
            <w:tcW w:w="0" w:type="dxa"/>
            <w:vAlign w:val="bottom"/>
            <w:tcBorders>
              <w:bottom w:val="single" w:sz="8" w:color="231F20"/>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1,063,202</w:t>
            </w:r>
          </w:p>
        </w:tc>
        <w:tc>
          <w:tcPr>
            <w:tcW w:w="0" w:type="dxa"/>
            <w:vAlign w:val="bottom"/>
            <w:tcBorders>
              <w:bottom w:val="single" w:sz="8" w:color="231F20"/>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969,284</w:t>
            </w:r>
          </w:p>
        </w:tc>
        <w:tc>
          <w:tcPr>
            <w:tcW w:w="0" w:type="dxa"/>
            <w:vAlign w:val="bottom"/>
            <w:tcBorders>
              <w:bottom w:val="single" w:sz="8" w:color="231F20"/>
            </w:tcBorders>
            <w:gridSpan w:val="2"/>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952,212</w:t>
            </w:r>
          </w:p>
        </w:tc>
        <w:tc>
          <w:tcPr>
            <w:tcW w:w="0" w:type="dxa"/>
            <w:vAlign w:val="bottom"/>
            <w:tcBorders>
              <w:bottom w:val="single" w:sz="8" w:color="231F20"/>
            </w:tcBorders>
            <w:gridSpan w:val="2"/>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62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820,741</w:t>
            </w:r>
          </w:p>
        </w:tc>
        <w:tc>
          <w:tcPr>
            <w:tcW w:w="0" w:type="dxa"/>
            <w:vAlign w:val="bottom"/>
            <w:tcBorders>
              <w:bottom w:val="single" w:sz="8" w:color="231F20"/>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tcBorders>
              <w:top w:val="single" w:sz="8" w:color="231F20"/>
              <w:bottom w:val="single" w:sz="8" w:color="231F20"/>
            </w:tcBorders>
          </w:tcPr>
          <w:p>
            <w:pPr>
              <w:jc w:val="right"/>
              <w:spacing w:after="0" w:line="139" w:lineRule="exact"/>
              <w:rPr>
                <w:sz w:val="20"/>
                <w:szCs w:val="20"/>
                <w:color w:val="auto"/>
              </w:rPr>
            </w:pPr>
            <w:r>
              <w:rPr>
                <w:rFonts w:ascii="Times New Roman" w:cs="Times New Roman" w:eastAsia="Times New Roman" w:hAnsi="Times New Roman"/>
                <w:sz w:val="13"/>
                <w:szCs w:val="13"/>
                <w:color w:val="231F20"/>
              </w:rPr>
              <w:t>835,405</w:t>
            </w:r>
          </w:p>
        </w:tc>
        <w:tc>
          <w:tcPr>
            <w:tcW w:w="0" w:type="dxa"/>
            <w:vAlign w:val="bottom"/>
            <w:tcBorders>
              <w:bottom w:val="single" w:sz="8" w:color="231F20"/>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gridSpan w:val="6"/>
          </w:tcPr>
          <w:p>
            <w:pPr>
              <w:spacing w:after="0" w:line="20" w:lineRule="exact"/>
              <w:rPr>
                <w:sz w:val="1"/>
                <w:szCs w:val="1"/>
                <w:color w:val="auto"/>
              </w:rPr>
            </w:pPr>
          </w:p>
        </w:tc>
        <w:tc>
          <w:tcPr>
            <w:tcW w:w="660" w:type="dxa"/>
            <w:vAlign w:val="bottom"/>
            <w:tcBorders>
              <w:bottom w:val="single" w:sz="8" w:color="231F20"/>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231F20"/>
            </w:tcBorders>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Borders>
              <w:bottom w:val="single" w:sz="8" w:color="231F20"/>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Borders>
              <w:bottom w:val="single" w:sz="8" w:color="231F20"/>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231F20"/>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231F20"/>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231F20"/>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231F20"/>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231F20"/>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231F20"/>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2398395</wp:posOffset>
                </wp:positionH>
                <wp:positionV relativeFrom="paragraph">
                  <wp:posOffset>-1755775</wp:posOffset>
                </wp:positionV>
                <wp:extent cx="443230" cy="18986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3230" cy="189865"/>
                        </a:xfrm>
                        <a:prstGeom prst="rect">
                          <a:avLst/>
                        </a:prstGeom>
                        <a:solidFill>
                          <a:srgbClr val="CFEDF9"/>
                        </a:solidFill>
                      </wps:spPr>
                      <wps:bodyPr/>
                    </wps:wsp>
                  </a:graphicData>
                </a:graphic>
              </wp:anchor>
            </w:drawing>
          </mc:Choice>
          <mc:Fallback>
            <w:pict>
              <v:rect id="Shape 51" o:spid="_x0000_s1076" style="position:absolute;margin-left:188.85pt;margin-top:-138.2499pt;width:34.9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2841625</wp:posOffset>
                </wp:positionH>
                <wp:positionV relativeFrom="paragraph">
                  <wp:posOffset>-1762125</wp:posOffset>
                </wp:positionV>
                <wp:extent cx="69215" cy="19621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196215"/>
                        </a:xfrm>
                        <a:prstGeom prst="rect">
                          <a:avLst/>
                        </a:prstGeom>
                        <a:solidFill>
                          <a:srgbClr val="CFEDF9"/>
                        </a:solidFill>
                      </wps:spPr>
                      <wps:bodyPr/>
                    </wps:wsp>
                  </a:graphicData>
                </a:graphic>
              </wp:anchor>
            </w:drawing>
          </mc:Choice>
          <mc:Fallback>
            <w:pict>
              <v:rect id="Shape 52" o:spid="_x0000_s1077" style="position:absolute;margin-left:223.75pt;margin-top:-138.7499pt;width:5.45pt;height:15.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5801995</wp:posOffset>
                </wp:positionH>
                <wp:positionV relativeFrom="paragraph">
                  <wp:posOffset>-1755775</wp:posOffset>
                </wp:positionV>
                <wp:extent cx="443230" cy="18986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3230" cy="189865"/>
                        </a:xfrm>
                        <a:prstGeom prst="rect">
                          <a:avLst/>
                        </a:prstGeom>
                        <a:solidFill>
                          <a:srgbClr val="CFEDF9"/>
                        </a:solidFill>
                      </wps:spPr>
                      <wps:bodyPr/>
                    </wps:wsp>
                  </a:graphicData>
                </a:graphic>
              </wp:anchor>
            </w:drawing>
          </mc:Choice>
          <mc:Fallback>
            <w:pict>
              <v:rect id="Shape 53" o:spid="_x0000_s1078" style="position:absolute;margin-left:456.85pt;margin-top:-138.2499pt;width:34.9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6245225</wp:posOffset>
                </wp:positionH>
                <wp:positionV relativeFrom="paragraph">
                  <wp:posOffset>-1762125</wp:posOffset>
                </wp:positionV>
                <wp:extent cx="119380" cy="19621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 cy="196215"/>
                        </a:xfrm>
                        <a:prstGeom prst="rect">
                          <a:avLst/>
                        </a:prstGeom>
                        <a:solidFill>
                          <a:srgbClr val="CFEDF9"/>
                        </a:solidFill>
                      </wps:spPr>
                      <wps:bodyPr/>
                    </wps:wsp>
                  </a:graphicData>
                </a:graphic>
              </wp:anchor>
            </w:drawing>
          </mc:Choice>
          <mc:Fallback>
            <w:pict>
              <v:rect id="Shape 54" o:spid="_x0000_s1079" style="position:absolute;margin-left:491.75pt;margin-top:-138.7499pt;width:9.4pt;height:15.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ectPr>
          <w:pgSz w:w="12240" w:h="15840" w:orient="portrait"/>
          <w:cols w:equalWidth="0" w:num="1">
            <w:col w:w="10800"/>
          </w:cols>
          <w:pgMar w:left="720" w:top="910" w:right="720" w:bottom="186"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F-44</w:t>
      </w:r>
    </w:p>
    <w:p>
      <w:pPr>
        <w:sectPr>
          <w:pgSz w:w="12240" w:h="15840" w:orient="portrait"/>
          <w:cols w:equalWidth="0" w:num="1">
            <w:col w:w="10800"/>
          </w:cols>
          <w:pgMar w:left="720" w:top="910" w:right="720" w:bottom="186" w:gutter="0" w:footer="0" w:header="0"/>
          <w:type w:val="continuous"/>
        </w:sectPr>
      </w:pPr>
    </w:p>
    <w:bookmarkStart w:id="129" w:name="page130"/>
    <w:bookmarkEnd w:id="129"/>
    <w:p>
      <w:pPr>
        <w:ind w:left="500" w:hanging="500"/>
        <w:spacing w:after="0"/>
        <w:tabs>
          <w:tab w:leader="none" w:pos="500" w:val="left"/>
        </w:tabs>
        <w:numPr>
          <w:ilvl w:val="0"/>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per share data was derived by using the weighted average shares outstanding during the period.</w:t>
      </w:r>
    </w:p>
    <w:p>
      <w:pPr>
        <w:spacing w:after="0" w:line="28" w:lineRule="exact"/>
        <w:rPr>
          <w:rFonts w:ascii="Times New Roman" w:cs="Times New Roman" w:eastAsia="Times New Roman" w:hAnsi="Times New Roman"/>
          <w:sz w:val="20"/>
          <w:szCs w:val="20"/>
          <w:color w:val="231F20"/>
        </w:rPr>
      </w:pPr>
    </w:p>
    <w:p>
      <w:pPr>
        <w:ind w:left="500" w:hanging="500"/>
        <w:spacing w:after="0"/>
        <w:tabs>
          <w:tab w:leader="none" w:pos="500" w:val="left"/>
        </w:tabs>
        <w:numPr>
          <w:ilvl w:val="0"/>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per share data was derived by using the actual shares outstanding at the date of the relevant transactions.</w:t>
      </w:r>
    </w:p>
    <w:p>
      <w:pPr>
        <w:ind w:left="500" w:right="60" w:hanging="500"/>
        <w:spacing w:after="0" w:line="252" w:lineRule="auto"/>
        <w:tabs>
          <w:tab w:leader="none" w:pos="550" w:val="left"/>
        </w:tabs>
        <w:numPr>
          <w:ilvl w:val="0"/>
          <w:numId w:val="10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rFonts w:ascii="Times New Roman" w:cs="Times New Roman" w:eastAsia="Times New Roman" w:hAnsi="Times New Roman"/>
          <w:sz w:val="19"/>
          <w:szCs w:val="19"/>
          <w:color w:val="231F20"/>
        </w:rPr>
      </w:pPr>
    </w:p>
    <w:p>
      <w:pPr>
        <w:ind w:left="500" w:right="720" w:hanging="500"/>
        <w:spacing w:after="0"/>
        <w:tabs>
          <w:tab w:leader="none" w:pos="500" w:val="left"/>
        </w:tabs>
        <w:numPr>
          <w:ilvl w:val="0"/>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Total return based on market value is calculated as the change in market value per share during the period plus declared dividends per share, divided by the beginning market value per share.</w:t>
      </w:r>
    </w:p>
    <w:p>
      <w:pPr>
        <w:ind w:left="500" w:right="460" w:hanging="500"/>
        <w:spacing w:after="0"/>
        <w:tabs>
          <w:tab w:leader="none" w:pos="500" w:val="left"/>
        </w:tabs>
        <w:numPr>
          <w:ilvl w:val="0"/>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Total return based on net asset value is calculated as the change in net asset value per share during the period plus declared dividends per share, divided by the beginning net asset value per share.</w:t>
      </w:r>
    </w:p>
    <w:p>
      <w:pPr>
        <w:ind w:left="500" w:hanging="500"/>
        <w:spacing w:after="0"/>
        <w:tabs>
          <w:tab w:leader="none" w:pos="500" w:val="left"/>
        </w:tabs>
        <w:numPr>
          <w:ilvl w:val="0"/>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ratios reflect an annualized amount.</w:t>
      </w:r>
    </w:p>
    <w:p>
      <w:pPr>
        <w:ind w:left="500" w:hanging="500"/>
        <w:spacing w:after="0"/>
        <w:tabs>
          <w:tab w:leader="none" w:pos="500" w:val="left"/>
        </w:tabs>
        <w:numPr>
          <w:ilvl w:val="0"/>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ratio of net expenses to average net assets in the table above reflects the Adviser’s waivers of its right to receive a portion of the Management Fee pursuant to the Leverage Waiver for the year ended December 31, 2023. Excluding the effects of the waivers, the ratio of net expenses to average net assets would have been 17.00% for the year ended December 31,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 ended December 31, 2014 the Company did not own any shares of common stock of TICC Capital Corp. or Triangle Capital Corp. For the year ended December 31, 2014,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for the year ended December 31, 2014.</w:t>
      </w:r>
    </w:p>
    <w:p>
      <w:pPr>
        <w:ind w:left="500" w:hanging="500"/>
        <w:spacing w:after="0"/>
        <w:tabs>
          <w:tab w:leader="none" w:pos="500" w:val="left"/>
        </w:tabs>
        <w:numPr>
          <w:ilvl w:val="0"/>
          <w:numId w:val="10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Table may not sum due to rounding.</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14. Selected Quarterly Financial Data (Unaudited)</w:t>
      </w:r>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80"/>
        </w:trPr>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right"/>
              <w:ind w:right="660"/>
              <w:spacing w:after="0" w:line="180" w:lineRule="exact"/>
              <w:rPr>
                <w:sz w:val="20"/>
                <w:szCs w:val="20"/>
                <w:color w:val="auto"/>
              </w:rPr>
            </w:pPr>
            <w:r>
              <w:rPr>
                <w:rFonts w:ascii="Times New Roman" w:cs="Times New Roman" w:eastAsia="Times New Roman" w:hAnsi="Times New Roman"/>
                <w:sz w:val="16"/>
                <w:szCs w:val="16"/>
                <w:b w:val="1"/>
                <w:bCs w:val="1"/>
                <w:color w:val="231F20"/>
              </w:rPr>
              <w:t>Q4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600"/>
              <w:spacing w:after="0" w:line="180" w:lineRule="exact"/>
              <w:rPr>
                <w:sz w:val="20"/>
                <w:szCs w:val="20"/>
                <w:color w:val="auto"/>
              </w:rPr>
            </w:pPr>
            <w:r>
              <w:rPr>
                <w:rFonts w:ascii="Times New Roman" w:cs="Times New Roman" w:eastAsia="Times New Roman" w:hAnsi="Times New Roman"/>
                <w:sz w:val="16"/>
                <w:szCs w:val="16"/>
                <w:b w:val="1"/>
                <w:bCs w:val="1"/>
                <w:color w:val="231F20"/>
              </w:rPr>
              <w:t>Q3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660"/>
              <w:spacing w:after="0" w:line="180" w:lineRule="exact"/>
              <w:rPr>
                <w:sz w:val="20"/>
                <w:szCs w:val="20"/>
                <w:color w:val="auto"/>
              </w:rPr>
            </w:pPr>
            <w:r>
              <w:rPr>
                <w:rFonts w:ascii="Times New Roman" w:cs="Times New Roman" w:eastAsia="Times New Roman" w:hAnsi="Times New Roman"/>
                <w:sz w:val="16"/>
                <w:szCs w:val="16"/>
                <w:b w:val="1"/>
                <w:bCs w:val="1"/>
                <w:color w:val="231F20"/>
              </w:rPr>
              <w:t>Q2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231F20"/>
              </w:rPr>
              <w:t>Q1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0"/>
        </w:trPr>
        <w:tc>
          <w:tcPr>
            <w:tcW w:w="454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Investment Income</w:t>
            </w:r>
          </w:p>
        </w:tc>
        <w:tc>
          <w:tcPr>
            <w:tcW w:w="22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200" w:type="dxa"/>
            <w:vAlign w:val="bottom"/>
            <w:tcBorders>
              <w:top w:val="single" w:sz="8" w:color="231F20"/>
            </w:tcBorders>
            <w:shd w:val="clear" w:color="auto" w:fill="CFEDF9"/>
          </w:tcPr>
          <w:p>
            <w:pPr>
              <w:spacing w:after="0"/>
              <w:rPr>
                <w:sz w:val="19"/>
                <w:szCs w:val="19"/>
                <w:color w:val="auto"/>
              </w:rPr>
            </w:pPr>
          </w:p>
        </w:tc>
        <w:tc>
          <w:tcPr>
            <w:tcW w:w="74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119,542</w:t>
            </w:r>
          </w:p>
        </w:tc>
        <w:tc>
          <w:tcPr>
            <w:tcW w:w="12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CFEDF9"/>
            </w:tcBorders>
            <w:shd w:val="clear" w:color="auto" w:fill="CFEDF9"/>
          </w:tcPr>
          <w:p>
            <w:pPr>
              <w:spacing w:after="0"/>
              <w:rPr>
                <w:sz w:val="19"/>
                <w:szCs w:val="19"/>
                <w:color w:val="auto"/>
              </w:rPr>
            </w:pPr>
          </w:p>
        </w:tc>
        <w:tc>
          <w:tcPr>
            <w:tcW w:w="4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20" w:type="dxa"/>
            <w:vAlign w:val="bottom"/>
            <w:tcBorders>
              <w:top w:val="single" w:sz="8" w:color="231F20"/>
            </w:tcBorders>
            <w:shd w:val="clear" w:color="auto" w:fill="CFEDF9"/>
          </w:tcPr>
          <w:p>
            <w:pPr>
              <w:spacing w:after="0"/>
              <w:rPr>
                <w:sz w:val="19"/>
                <w:szCs w:val="19"/>
                <w:color w:val="auto"/>
              </w:rPr>
            </w:pPr>
          </w:p>
        </w:tc>
        <w:tc>
          <w:tcPr>
            <w:tcW w:w="6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shd w:val="clear" w:color="auto" w:fill="CFEDF9"/>
              </w:rPr>
              <w:t>114,435</w:t>
            </w:r>
          </w:p>
        </w:tc>
        <w:tc>
          <w:tcPr>
            <w:tcW w:w="200" w:type="dxa"/>
            <w:vAlign w:val="bottom"/>
            <w:tcBorders>
              <w:top w:val="single" w:sz="8" w:color="CFEDF9"/>
            </w:tcBorders>
            <w:shd w:val="clear" w:color="auto" w:fill="CFEDF9"/>
          </w:tcPr>
          <w:p>
            <w:pPr>
              <w:spacing w:after="0"/>
              <w:rPr>
                <w:sz w:val="19"/>
                <w:szCs w:val="19"/>
                <w:color w:val="auto"/>
              </w:rPr>
            </w:pPr>
          </w:p>
        </w:tc>
        <w:tc>
          <w:tcPr>
            <w:tcW w:w="6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120" w:type="dxa"/>
            <w:vAlign w:val="bottom"/>
            <w:tcBorders>
              <w:top w:val="single" w:sz="8" w:color="231F20"/>
            </w:tcBorders>
            <w:shd w:val="clear" w:color="auto" w:fill="CFEDF9"/>
          </w:tcPr>
          <w:p>
            <w:pPr>
              <w:spacing w:after="0"/>
              <w:rPr>
                <w:sz w:val="19"/>
                <w:szCs w:val="19"/>
                <w:color w:val="auto"/>
              </w:rPr>
            </w:pPr>
          </w:p>
        </w:tc>
        <w:tc>
          <w:tcPr>
            <w:tcW w:w="66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98"/>
                <w:shd w:val="clear" w:color="auto" w:fill="CFEDF9"/>
              </w:rPr>
              <w:t>107,605</w:t>
            </w:r>
          </w:p>
        </w:tc>
        <w:tc>
          <w:tcPr>
            <w:tcW w:w="20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200" w:type="dxa"/>
            <w:vAlign w:val="bottom"/>
            <w:tcBorders>
              <w:top w:val="single" w:sz="8" w:color="231F20"/>
            </w:tcBorders>
            <w:shd w:val="clear" w:color="auto" w:fill="CFEDF9"/>
          </w:tcPr>
          <w:p>
            <w:pPr>
              <w:spacing w:after="0"/>
              <w:rPr>
                <w:sz w:val="19"/>
                <w:szCs w:val="19"/>
                <w:color w:val="auto"/>
              </w:rPr>
            </w:pPr>
          </w:p>
        </w:tc>
        <w:tc>
          <w:tcPr>
            <w:tcW w:w="78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96,505</w:t>
            </w:r>
          </w:p>
        </w:tc>
        <w:tc>
          <w:tcPr>
            <w:tcW w:w="20" w:type="dxa"/>
            <w:vAlign w:val="bottom"/>
            <w:tcBorders>
              <w:top w:val="single" w:sz="8" w:color="CFEDF9"/>
            </w:tcBorders>
            <w:shd w:val="clear" w:color="auto" w:fill="CFEDF9"/>
          </w:tcPr>
          <w:p>
            <w:pPr>
              <w:spacing w:after="0"/>
              <w:rPr>
                <w:sz w:val="19"/>
                <w:szCs w:val="19"/>
                <w:color w:val="auto"/>
              </w:rPr>
            </w:pPr>
          </w:p>
        </w:tc>
        <w:tc>
          <w:tcPr>
            <w:tcW w:w="2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CFEDF9"/>
            </w:tcBorders>
            <w:shd w:val="clear" w:color="auto" w:fill="CFEDF9"/>
          </w:tcPr>
          <w:p>
            <w:pPr>
              <w:spacing w:after="0"/>
              <w:rPr>
                <w:sz w:val="19"/>
                <w:szCs w:val="19"/>
                <w:color w:val="auto"/>
              </w:rPr>
            </w:pPr>
          </w:p>
        </w:tc>
      </w:tr>
      <w:tr>
        <w:trPr>
          <w:trHeight w:val="230"/>
        </w:trPr>
        <w:tc>
          <w:tcPr>
            <w:tcW w:w="4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Net Expenses </w:t>
            </w:r>
            <w:r>
              <w:rPr>
                <w:rFonts w:ascii="Times New Roman" w:cs="Times New Roman" w:eastAsia="Times New Roman" w:hAnsi="Times New Roman"/>
                <w:sz w:val="26"/>
                <w:szCs w:val="26"/>
                <w:color w:val="231F20"/>
                <w:vertAlign w:val="superscript"/>
              </w:rPr>
              <w:t>(1)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64,269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63,980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57,919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53,155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Investment Income</w:t>
            </w: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19"/>
                <w:szCs w:val="19"/>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54,684</w:t>
            </w:r>
          </w:p>
        </w:tc>
        <w:tc>
          <w:tcPr>
            <w:tcW w:w="1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CFEDF9"/>
          </w:tcPr>
          <w:p>
            <w:pPr>
              <w:spacing w:after="0"/>
              <w:rPr>
                <w:sz w:val="19"/>
                <w:szCs w:val="19"/>
                <w:color w:val="auto"/>
              </w:rPr>
            </w:pPr>
          </w:p>
        </w:tc>
        <w:tc>
          <w:tcPr>
            <w:tcW w:w="6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49,994</w:t>
            </w:r>
          </w:p>
        </w:tc>
        <w:tc>
          <w:tcPr>
            <w:tcW w:w="20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 w:type="dxa"/>
            <w:vAlign w:val="bottom"/>
            <w:shd w:val="clear" w:color="auto" w:fill="CFEDF9"/>
          </w:tcPr>
          <w:p>
            <w:pPr>
              <w:spacing w:after="0"/>
              <w:rPr>
                <w:sz w:val="19"/>
                <w:szCs w:val="19"/>
                <w:color w:val="auto"/>
              </w:rPr>
            </w:pPr>
          </w:p>
        </w:tc>
        <w:tc>
          <w:tcPr>
            <w:tcW w:w="6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48,784</w:t>
            </w:r>
          </w:p>
        </w:tc>
        <w:tc>
          <w:tcPr>
            <w:tcW w:w="20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CFEDF9"/>
          </w:tcPr>
          <w:p>
            <w:pPr>
              <w:spacing w:after="0"/>
              <w:rPr>
                <w:sz w:val="19"/>
                <w:szCs w:val="19"/>
                <w:color w:val="auto"/>
              </w:rPr>
            </w:pPr>
          </w:p>
        </w:tc>
        <w:tc>
          <w:tcPr>
            <w:tcW w:w="7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42,937</w:t>
            </w: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231F20"/>
              </w:rPr>
              <w:t>Total unrealized and realized gains (losses)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(3,523)</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14,826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4,306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Increase in Net Assets Resulting from Operations</w:t>
            </w: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19"/>
                <w:szCs w:val="19"/>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51,161</w:t>
            </w:r>
          </w:p>
        </w:tc>
        <w:tc>
          <w:tcPr>
            <w:tcW w:w="1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CFEDF9"/>
          </w:tcPr>
          <w:p>
            <w:pPr>
              <w:spacing w:after="0"/>
              <w:rPr>
                <w:sz w:val="19"/>
                <w:szCs w:val="19"/>
                <w:color w:val="auto"/>
              </w:rPr>
            </w:pPr>
          </w:p>
        </w:tc>
        <w:tc>
          <w:tcPr>
            <w:tcW w:w="6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64,820</w:t>
            </w:r>
          </w:p>
        </w:tc>
        <w:tc>
          <w:tcPr>
            <w:tcW w:w="20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 w:type="dxa"/>
            <w:vAlign w:val="bottom"/>
            <w:shd w:val="clear" w:color="auto" w:fill="CFEDF9"/>
          </w:tcPr>
          <w:p>
            <w:pPr>
              <w:spacing w:after="0"/>
              <w:rPr>
                <w:sz w:val="19"/>
                <w:szCs w:val="19"/>
                <w:color w:val="auto"/>
              </w:rPr>
            </w:pPr>
          </w:p>
        </w:tc>
        <w:tc>
          <w:tcPr>
            <w:tcW w:w="6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53,090</w:t>
            </w:r>
          </w:p>
        </w:tc>
        <w:tc>
          <w:tcPr>
            <w:tcW w:w="20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shd w:val="clear" w:color="auto" w:fill="CFEDF9"/>
          </w:tcPr>
          <w:p>
            <w:pPr>
              <w:spacing w:after="0"/>
              <w:rPr>
                <w:sz w:val="19"/>
                <w:szCs w:val="19"/>
                <w:color w:val="auto"/>
              </w:rPr>
            </w:pPr>
          </w:p>
        </w:tc>
        <w:tc>
          <w:tcPr>
            <w:tcW w:w="7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52,952</w:t>
            </w: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r>
      <w:tr>
        <w:trPr>
          <w:trHeight w:val="266"/>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231F20"/>
              </w:rPr>
              <w:t>Net Asset Value per Share as of the End of the Quarter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16.97</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16.74</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424"/>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20" w:type="dxa"/>
            <w:vAlign w:val="bottom"/>
          </w:tcPr>
          <w:p>
            <w:pPr>
              <w:spacing w:after="0"/>
              <w:rPr>
                <w:sz w:val="24"/>
                <w:szCs w:val="24"/>
                <w:color w:val="auto"/>
              </w:rPr>
            </w:pPr>
          </w:p>
        </w:tc>
      </w:tr>
      <w:tr>
        <w:trPr>
          <w:trHeight w:val="174"/>
        </w:trPr>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right"/>
              <w:ind w:right="540"/>
              <w:spacing w:after="0" w:line="174" w:lineRule="exact"/>
              <w:rPr>
                <w:sz w:val="20"/>
                <w:szCs w:val="20"/>
                <w:color w:val="auto"/>
              </w:rPr>
            </w:pPr>
            <w:r>
              <w:rPr>
                <w:rFonts w:ascii="Times New Roman" w:cs="Times New Roman" w:eastAsia="Times New Roman" w:hAnsi="Times New Roman"/>
                <w:sz w:val="16"/>
                <w:szCs w:val="16"/>
                <w:b w:val="1"/>
                <w:bCs w:val="1"/>
                <w:color w:val="231F20"/>
              </w:rPr>
              <w:t>Q4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460"/>
              <w:spacing w:after="0" w:line="174" w:lineRule="exact"/>
              <w:rPr>
                <w:sz w:val="20"/>
                <w:szCs w:val="20"/>
                <w:color w:val="auto"/>
              </w:rPr>
            </w:pPr>
            <w:r>
              <w:rPr>
                <w:rFonts w:ascii="Times New Roman" w:cs="Times New Roman" w:eastAsia="Times New Roman" w:hAnsi="Times New Roman"/>
                <w:sz w:val="16"/>
                <w:szCs w:val="16"/>
                <w:b w:val="1"/>
                <w:bCs w:val="1"/>
                <w:color w:val="231F20"/>
              </w:rPr>
              <w:t>Q3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460"/>
              <w:spacing w:after="0" w:line="174" w:lineRule="exact"/>
              <w:rPr>
                <w:sz w:val="20"/>
                <w:szCs w:val="20"/>
                <w:color w:val="auto"/>
              </w:rPr>
            </w:pPr>
            <w:r>
              <w:rPr>
                <w:rFonts w:ascii="Times New Roman" w:cs="Times New Roman" w:eastAsia="Times New Roman" w:hAnsi="Times New Roman"/>
                <w:sz w:val="16"/>
                <w:szCs w:val="16"/>
                <w:b w:val="1"/>
                <w:bCs w:val="1"/>
                <w:color w:val="231F20"/>
              </w:rPr>
              <w:t>Q2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3"/>
          </w:tcPr>
          <w:p>
            <w:pPr>
              <w:ind w:left="180"/>
              <w:spacing w:after="0" w:line="174" w:lineRule="exact"/>
              <w:rPr>
                <w:sz w:val="20"/>
                <w:szCs w:val="20"/>
                <w:color w:val="auto"/>
              </w:rPr>
            </w:pPr>
            <w:r>
              <w:rPr>
                <w:rFonts w:ascii="Times New Roman" w:cs="Times New Roman" w:eastAsia="Times New Roman" w:hAnsi="Times New Roman"/>
                <w:sz w:val="16"/>
                <w:szCs w:val="16"/>
                <w:b w:val="1"/>
                <w:bCs w:val="1"/>
                <w:color w:val="231F20"/>
              </w:rPr>
              <w:t>Q1</w:t>
            </w:r>
          </w:p>
        </w:tc>
        <w:tc>
          <w:tcPr>
            <w:tcW w:w="120" w:type="dxa"/>
            <w:vAlign w:val="bottom"/>
          </w:tcPr>
          <w:p>
            <w:pPr>
              <w:spacing w:after="0"/>
              <w:rPr>
                <w:sz w:val="15"/>
                <w:szCs w:val="15"/>
                <w:color w:val="auto"/>
              </w:rPr>
            </w:pPr>
          </w:p>
        </w:tc>
      </w:tr>
      <w:tr>
        <w:trPr>
          <w:trHeight w:val="220"/>
        </w:trPr>
        <w:tc>
          <w:tcPr>
            <w:tcW w:w="454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Investment Income</w:t>
            </w:r>
          </w:p>
        </w:tc>
        <w:tc>
          <w:tcPr>
            <w:tcW w:w="22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60" w:type="dxa"/>
            <w:vAlign w:val="bottom"/>
            <w:tcBorders>
              <w:top w:val="single" w:sz="8" w:color="231F20"/>
            </w:tcBorders>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100,149</w:t>
            </w:r>
          </w:p>
        </w:tc>
        <w:tc>
          <w:tcPr>
            <w:tcW w:w="120" w:type="dxa"/>
            <w:vAlign w:val="bottom"/>
            <w:tcBorders>
              <w:top w:val="single" w:sz="8" w:color="CFEDF9"/>
            </w:tcBorders>
            <w:shd w:val="clear" w:color="auto" w:fill="CFEDF9"/>
          </w:tcPr>
          <w:p>
            <w:pPr>
              <w:spacing w:after="0"/>
              <w:rPr>
                <w:sz w:val="19"/>
                <w:szCs w:val="19"/>
                <w:color w:val="auto"/>
              </w:rPr>
            </w:pPr>
          </w:p>
        </w:tc>
        <w:tc>
          <w:tcPr>
            <w:tcW w:w="160" w:type="dxa"/>
            <w:vAlign w:val="bottom"/>
            <w:tcBorders>
              <w:top w:val="single" w:sz="8" w:color="CFEDF9"/>
            </w:tcBorders>
            <w:gridSpan w:val="2"/>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60" w:type="dxa"/>
            <w:vAlign w:val="bottom"/>
            <w:tcBorders>
              <w:top w:val="single" w:sz="8" w:color="231F20"/>
            </w:tcBorders>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77,839</w:t>
            </w:r>
          </w:p>
        </w:tc>
        <w:tc>
          <w:tcPr>
            <w:tcW w:w="6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60" w:type="dxa"/>
            <w:vAlign w:val="bottom"/>
            <w:tcBorders>
              <w:top w:val="single" w:sz="8" w:color="231F20"/>
            </w:tcBorders>
            <w:gridSpan w:val="2"/>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63,888</w:t>
            </w:r>
          </w:p>
        </w:tc>
        <w:tc>
          <w:tcPr>
            <w:tcW w:w="8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CFEDF9"/>
            </w:tcBorders>
            <w:gridSpan w:val="2"/>
            <w:shd w:val="clear" w:color="auto" w:fill="CFEDF9"/>
          </w:tcPr>
          <w:p>
            <w:pPr>
              <w:spacing w:after="0"/>
              <w:rPr>
                <w:sz w:val="19"/>
                <w:szCs w:val="19"/>
                <w:color w:val="auto"/>
              </w:rPr>
            </w:pPr>
          </w:p>
        </w:tc>
        <w:tc>
          <w:tcPr>
            <w:tcW w:w="2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20" w:type="dxa"/>
            <w:vAlign w:val="bottom"/>
            <w:tcBorders>
              <w:top w:val="single" w:sz="8" w:color="231F20"/>
            </w:tcBorders>
            <w:gridSpan w:val="3"/>
            <w:shd w:val="clear" w:color="auto" w:fill="CFEDF9"/>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67,429</w:t>
            </w:r>
          </w:p>
        </w:tc>
        <w:tc>
          <w:tcPr>
            <w:tcW w:w="120" w:type="dxa"/>
            <w:vAlign w:val="bottom"/>
            <w:tcBorders>
              <w:top w:val="single" w:sz="8" w:color="CFEDF9"/>
            </w:tcBorders>
            <w:shd w:val="clear" w:color="auto" w:fill="CFEDF9"/>
          </w:tcPr>
          <w:p>
            <w:pPr>
              <w:spacing w:after="0"/>
              <w:rPr>
                <w:sz w:val="19"/>
                <w:szCs w:val="19"/>
                <w:color w:val="auto"/>
              </w:rPr>
            </w:pPr>
          </w:p>
        </w:tc>
      </w:tr>
      <w:tr>
        <w:trPr>
          <w:trHeight w:val="230"/>
        </w:trPr>
        <w:tc>
          <w:tcPr>
            <w:tcW w:w="45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Net Expenses </w:t>
            </w:r>
            <w:r>
              <w:rPr>
                <w:rFonts w:ascii="Times New Roman" w:cs="Times New Roman" w:eastAsia="Times New Roman" w:hAnsi="Times New Roman"/>
                <w:sz w:val="26"/>
                <w:szCs w:val="26"/>
                <w:color w:val="231F20"/>
                <w:vertAlign w:val="superscript"/>
              </w:rPr>
              <w:t>(1)</w:t>
            </w:r>
          </w:p>
        </w:tc>
        <w:tc>
          <w:tcPr>
            <w:tcW w:w="320" w:type="dxa"/>
            <w:vAlign w:val="bottom"/>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47,536</w:t>
            </w:r>
          </w:p>
        </w:tc>
        <w:tc>
          <w:tcPr>
            <w:tcW w:w="1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40,659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23,066</w:t>
            </w: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31,717</w:t>
            </w:r>
          </w:p>
        </w:tc>
        <w:tc>
          <w:tcPr>
            <w:tcW w:w="120" w:type="dxa"/>
            <w:vAlign w:val="bottom"/>
          </w:tcPr>
          <w:p>
            <w:pPr>
              <w:spacing w:after="0"/>
              <w:rPr>
                <w:sz w:val="19"/>
                <w:szCs w:val="19"/>
                <w:color w:val="auto"/>
              </w:rPr>
            </w:pPr>
          </w:p>
        </w:tc>
      </w:tr>
      <w:tr>
        <w:trPr>
          <w:trHeight w:val="230"/>
        </w:trPr>
        <w:tc>
          <w:tcPr>
            <w:tcW w:w="45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Investment Income</w:t>
            </w:r>
          </w:p>
        </w:tc>
        <w:tc>
          <w:tcPr>
            <w:tcW w:w="52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52,613</w:t>
            </w:r>
          </w:p>
        </w:tc>
        <w:tc>
          <w:tcPr>
            <w:tcW w:w="120" w:type="dxa"/>
            <w:vAlign w:val="bottom"/>
            <w:shd w:val="clear" w:color="auto" w:fill="CFEDF9"/>
          </w:tcPr>
          <w:p>
            <w:pPr>
              <w:spacing w:after="0"/>
              <w:rPr>
                <w:sz w:val="19"/>
                <w:szCs w:val="19"/>
                <w:color w:val="auto"/>
              </w:rPr>
            </w:pPr>
          </w:p>
        </w:tc>
        <w:tc>
          <w:tcPr>
            <w:tcW w:w="2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37,180</w:t>
            </w:r>
          </w:p>
        </w:tc>
        <w:tc>
          <w:tcPr>
            <w:tcW w:w="60" w:type="dxa"/>
            <w:vAlign w:val="bottom"/>
            <w:shd w:val="clear" w:color="auto" w:fill="CFEDF9"/>
          </w:tcPr>
          <w:p>
            <w:pPr>
              <w:spacing w:after="0"/>
              <w:rPr>
                <w:sz w:val="19"/>
                <w:szCs w:val="19"/>
                <w:color w:val="auto"/>
              </w:rPr>
            </w:pP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40,822</w:t>
            </w:r>
          </w:p>
        </w:tc>
        <w:tc>
          <w:tcPr>
            <w:tcW w:w="80" w:type="dxa"/>
            <w:vAlign w:val="bottom"/>
            <w:shd w:val="clear" w:color="auto" w:fill="CFEDF9"/>
          </w:tcPr>
          <w:p>
            <w:pPr>
              <w:spacing w:after="0"/>
              <w:rPr>
                <w:sz w:val="19"/>
                <w:szCs w:val="19"/>
                <w:color w:val="auto"/>
              </w:rPr>
            </w:pPr>
          </w:p>
        </w:tc>
        <w:tc>
          <w:tcPr>
            <w:tcW w:w="4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35,712</w:t>
            </w:r>
          </w:p>
        </w:tc>
        <w:tc>
          <w:tcPr>
            <w:tcW w:w="120" w:type="dxa"/>
            <w:vAlign w:val="bottom"/>
            <w:shd w:val="clear" w:color="auto" w:fill="CFEDF9"/>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231F20"/>
              </w:rPr>
              <w:t>Total unrealized and realized gains (losses)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(6,351)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(2,749)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(54,347)</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5,173</w:t>
            </w:r>
          </w:p>
        </w:tc>
        <w:tc>
          <w:tcPr>
            <w:tcW w:w="120" w:type="dxa"/>
            <w:vAlign w:val="bottom"/>
          </w:tcPr>
          <w:p>
            <w:pPr>
              <w:spacing w:after="0"/>
              <w:rPr>
                <w:sz w:val="19"/>
                <w:szCs w:val="19"/>
                <w:color w:val="auto"/>
              </w:rPr>
            </w:pPr>
          </w:p>
        </w:tc>
      </w:tr>
      <w:tr>
        <w:trPr>
          <w:trHeight w:val="230"/>
        </w:trPr>
        <w:tc>
          <w:tcPr>
            <w:tcW w:w="45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Increase in Net Assets Resulting from Operations</w:t>
            </w:r>
          </w:p>
        </w:tc>
        <w:tc>
          <w:tcPr>
            <w:tcW w:w="52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46,262</w:t>
            </w:r>
          </w:p>
        </w:tc>
        <w:tc>
          <w:tcPr>
            <w:tcW w:w="120" w:type="dxa"/>
            <w:vAlign w:val="bottom"/>
            <w:shd w:val="clear" w:color="auto" w:fill="CFEDF9"/>
          </w:tcPr>
          <w:p>
            <w:pPr>
              <w:spacing w:after="0"/>
              <w:rPr>
                <w:sz w:val="19"/>
                <w:szCs w:val="19"/>
                <w:color w:val="auto"/>
              </w:rPr>
            </w:pPr>
          </w:p>
        </w:tc>
        <w:tc>
          <w:tcPr>
            <w:tcW w:w="28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34,431</w:t>
            </w:r>
          </w:p>
        </w:tc>
        <w:tc>
          <w:tcPr>
            <w:tcW w:w="60" w:type="dxa"/>
            <w:vAlign w:val="bottom"/>
            <w:shd w:val="clear" w:color="auto" w:fill="CFEDF9"/>
          </w:tcPr>
          <w:p>
            <w:pPr>
              <w:spacing w:after="0"/>
              <w:rPr>
                <w:sz w:val="19"/>
                <w:szCs w:val="19"/>
                <w:color w:val="auto"/>
              </w:rPr>
            </w:pP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(13,525)</w:t>
            </w:r>
          </w:p>
        </w:tc>
        <w:tc>
          <w:tcPr>
            <w:tcW w:w="400" w:type="dxa"/>
            <w:vAlign w:val="bottom"/>
            <w:gridSpan w:val="3"/>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40,885</w:t>
            </w:r>
          </w:p>
        </w:tc>
        <w:tc>
          <w:tcPr>
            <w:tcW w:w="120" w:type="dxa"/>
            <w:vAlign w:val="bottom"/>
            <w:shd w:val="clear" w:color="auto" w:fill="CFEDF9"/>
          </w:tcPr>
          <w:p>
            <w:pPr>
              <w:spacing w:after="0"/>
              <w:rPr>
                <w:sz w:val="19"/>
                <w:szCs w:val="19"/>
                <w:color w:val="auto"/>
              </w:rPr>
            </w:pPr>
          </w:p>
        </w:tc>
      </w:tr>
      <w:tr>
        <w:trPr>
          <w:trHeight w:val="266"/>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231F20"/>
              </w:rPr>
              <w:t>Net Asset Value per Share as of the End of the Quarter</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16.48</w:t>
            </w:r>
          </w:p>
        </w:tc>
        <w:tc>
          <w:tcPr>
            <w:tcW w:w="12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16.36</w:t>
            </w:r>
          </w:p>
        </w:tc>
        <w:tc>
          <w:tcPr>
            <w:tcW w:w="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16.27</w:t>
            </w:r>
          </w:p>
        </w:tc>
        <w:tc>
          <w:tcPr>
            <w:tcW w:w="8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16.88</w:t>
            </w:r>
          </w:p>
        </w:tc>
        <w:tc>
          <w:tcPr>
            <w:tcW w:w="120" w:type="dxa"/>
            <w:vAlign w:val="bottom"/>
          </w:tcPr>
          <w:p>
            <w:pPr>
              <w:spacing w:after="0"/>
              <w:rPr>
                <w:sz w:val="23"/>
                <w:szCs w:val="23"/>
                <w:color w:val="auto"/>
              </w:rPr>
            </w:pPr>
          </w:p>
        </w:tc>
      </w:tr>
      <w:tr>
        <w:trPr>
          <w:trHeight w:val="395"/>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3385185</wp:posOffset>
                </wp:positionH>
                <wp:positionV relativeFrom="paragraph">
                  <wp:posOffset>-6985</wp:posOffset>
                </wp:positionV>
                <wp:extent cx="303784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784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55pt,-0.5499pt" to="505.75pt,-0.5499pt" o:allowincell="f" strokecolor="#231F20" strokeweight="0.5pt"/>
            </w:pict>
          </mc:Fallback>
        </mc:AlternateContent>
      </w:r>
    </w:p>
    <w:p>
      <w:pPr>
        <w:sectPr>
          <w:pgSz w:w="12240" w:h="15840" w:orient="portrait"/>
          <w:cols w:equalWidth="0" w:num="1">
            <w:col w:w="10780"/>
          </w:cols>
          <w:pgMar w:left="720" w:top="930" w:right="740" w:bottom="186" w:gutter="0" w:footer="0" w:header="0"/>
        </w:sectPr>
      </w:pPr>
    </w:p>
    <w:p>
      <w:pPr>
        <w:spacing w:after="0" w:line="177" w:lineRule="exact"/>
        <w:rPr>
          <w:sz w:val="20"/>
          <w:szCs w:val="20"/>
          <w:color w:val="auto"/>
        </w:rPr>
      </w:pPr>
    </w:p>
    <w:tbl>
      <w:tblPr>
        <w:tblLayout w:type="fixed"/>
        <w:tblInd w:w="480" w:type="dxa"/>
        <w:tblCellMar>
          <w:top w:w="0" w:type="dxa"/>
          <w:left w:w="0" w:type="dxa"/>
          <w:bottom w:w="0" w:type="dxa"/>
          <w:right w:w="0" w:type="dxa"/>
        </w:tblCellMar>
      </w:tblPr>
      <w:tr>
        <w:trPr>
          <w:trHeight w:val="24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Investment Income</w:t>
            </w:r>
          </w:p>
        </w:tc>
        <w:tc>
          <w:tcPr>
            <w:tcW w:w="340" w:type="dxa"/>
            <w:vAlign w:val="bottom"/>
            <w:shd w:val="clear" w:color="auto" w:fill="CFEDF9"/>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r>
      <w:tr>
        <w:trPr>
          <w:trHeight w:val="230"/>
        </w:trPr>
        <w:tc>
          <w:tcPr>
            <w:tcW w:w="452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Net Expenses </w:t>
            </w:r>
            <w:r>
              <w:rPr>
                <w:rFonts w:ascii="Times New Roman" w:cs="Times New Roman" w:eastAsia="Times New Roman" w:hAnsi="Times New Roman"/>
                <w:sz w:val="26"/>
                <w:szCs w:val="26"/>
                <w:color w:val="231F20"/>
                <w:vertAlign w:val="superscript"/>
              </w:rPr>
              <w:t>(1)</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Investment Income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231F20"/>
              </w:rPr>
              <w:t>Total unrealized and realized gains (losses)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Increase in Net Assets Resulting from Operations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6"/>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231F20"/>
              </w:rPr>
              <w:t>Net Asset Value per Share as of the End of the Quarter</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r>
    </w:tbl>
    <w:p>
      <w:pPr>
        <w:spacing w:after="0" w:line="220" w:lineRule="exact"/>
        <w:rPr>
          <w:sz w:val="20"/>
          <w:szCs w:val="20"/>
          <w:color w:val="auto"/>
        </w:rPr>
      </w:pPr>
    </w:p>
    <w:p>
      <w:pPr>
        <w:ind w:left="500" w:hanging="500"/>
        <w:spacing w:after="0"/>
        <w:tabs>
          <w:tab w:leader="none" w:pos="500" w:val="left"/>
        </w:tabs>
        <w:numPr>
          <w:ilvl w:val="0"/>
          <w:numId w:val="108"/>
        </w:numPr>
        <w:rPr>
          <w:rFonts w:ascii="Times New Roman" w:cs="Times New Roman" w:eastAsia="Times New Roman" w:hAnsi="Times New Roman"/>
          <w:sz w:val="18"/>
          <w:szCs w:val="18"/>
          <w:color w:val="231F20"/>
        </w:rPr>
      </w:pPr>
      <w:r>
        <w:rPr>
          <w:rFonts w:ascii="Times New Roman" w:cs="Times New Roman" w:eastAsia="Times New Roman" w:hAnsi="Times New Roman"/>
          <w:sz w:val="20"/>
          <w:szCs w:val="20"/>
          <w:color w:val="231F20"/>
        </w:rPr>
        <w:t>Net expenses include income taxes, including excise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820" w:type="dxa"/>
            <w:vAlign w:val="bottom"/>
            <w:gridSpan w:val="2"/>
          </w:tcPr>
          <w:p>
            <w:pPr>
              <w:jc w:val="right"/>
              <w:ind w:right="620"/>
              <w:spacing w:after="0" w:line="178" w:lineRule="exact"/>
              <w:rPr>
                <w:sz w:val="20"/>
                <w:szCs w:val="20"/>
                <w:color w:val="auto"/>
              </w:rPr>
            </w:pPr>
            <w:r>
              <w:rPr>
                <w:rFonts w:ascii="Times New Roman" w:cs="Times New Roman" w:eastAsia="Times New Roman" w:hAnsi="Times New Roman"/>
                <w:sz w:val="16"/>
                <w:szCs w:val="16"/>
                <w:b w:val="1"/>
                <w:bCs w:val="1"/>
                <w:color w:val="231F20"/>
                <w:w w:val="87"/>
              </w:rPr>
              <w:t>Q4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83"/>
              <w:spacing w:after="0" w:line="178" w:lineRule="exact"/>
              <w:rPr>
                <w:sz w:val="20"/>
                <w:szCs w:val="20"/>
                <w:color w:val="auto"/>
              </w:rPr>
            </w:pPr>
            <w:r>
              <w:rPr>
                <w:rFonts w:ascii="Times New Roman" w:cs="Times New Roman" w:eastAsia="Times New Roman" w:hAnsi="Times New Roman"/>
                <w:sz w:val="16"/>
                <w:szCs w:val="16"/>
                <w:b w:val="1"/>
                <w:bCs w:val="1"/>
                <w:color w:val="231F20"/>
              </w:rPr>
              <w:t>Q3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83"/>
              <w:spacing w:after="0" w:line="178" w:lineRule="exact"/>
              <w:rPr>
                <w:sz w:val="20"/>
                <w:szCs w:val="20"/>
                <w:color w:val="auto"/>
              </w:rPr>
            </w:pPr>
            <w:r>
              <w:rPr>
                <w:rFonts w:ascii="Times New Roman" w:cs="Times New Roman" w:eastAsia="Times New Roman" w:hAnsi="Times New Roman"/>
                <w:sz w:val="16"/>
                <w:szCs w:val="16"/>
                <w:b w:val="1"/>
                <w:bCs w:val="1"/>
                <w:color w:val="231F20"/>
              </w:rPr>
              <w:t>Q2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83"/>
              <w:spacing w:after="0" w:line="178" w:lineRule="exact"/>
              <w:rPr>
                <w:sz w:val="20"/>
                <w:szCs w:val="20"/>
                <w:color w:val="auto"/>
              </w:rPr>
            </w:pPr>
            <w:r>
              <w:rPr>
                <w:rFonts w:ascii="Times New Roman" w:cs="Times New Roman" w:eastAsia="Times New Roman" w:hAnsi="Times New Roman"/>
                <w:sz w:val="16"/>
                <w:szCs w:val="16"/>
                <w:b w:val="1"/>
                <w:bCs w:val="1"/>
                <w:color w:val="231F20"/>
              </w:rPr>
              <w:t>Q1</w:t>
            </w:r>
          </w:p>
        </w:tc>
        <w:tc>
          <w:tcPr>
            <w:tcW w:w="200" w:type="dxa"/>
            <w:vAlign w:val="bottom"/>
          </w:tcPr>
          <w:p>
            <w:pPr>
              <w:spacing w:after="0"/>
              <w:rPr>
                <w:sz w:val="15"/>
                <w:szCs w:val="15"/>
                <w:color w:val="auto"/>
              </w:rPr>
            </w:pPr>
          </w:p>
        </w:tc>
      </w:tr>
      <w:tr>
        <w:trPr>
          <w:trHeight w:val="220"/>
        </w:trPr>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78,323</w:t>
            </w:r>
          </w:p>
        </w:tc>
        <w:tc>
          <w:tcPr>
            <w:tcW w:w="160" w:type="dxa"/>
            <w:vAlign w:val="bottom"/>
            <w:tcBorders>
              <w:top w:val="single" w:sz="8" w:color="CFEDF9"/>
            </w:tcBorders>
            <w:shd w:val="clear" w:color="auto" w:fill="CFEDF9"/>
          </w:tcPr>
          <w:p>
            <w:pPr>
              <w:spacing w:after="0"/>
              <w:rPr>
                <w:sz w:val="19"/>
                <w:szCs w:val="19"/>
                <w:color w:val="auto"/>
              </w:rPr>
            </w:pPr>
          </w:p>
        </w:tc>
        <w:tc>
          <w:tcPr>
            <w:tcW w:w="100" w:type="dxa"/>
            <w:vAlign w:val="bottom"/>
            <w:tcBorders>
              <w:top w:val="single" w:sz="8" w:color="CFEDF9"/>
            </w:tcBorders>
            <w:shd w:val="clear" w:color="auto" w:fill="CFEDF9"/>
          </w:tcPr>
          <w:p>
            <w:pPr>
              <w:spacing w:after="0"/>
              <w:rPr>
                <w:sz w:val="19"/>
                <w:szCs w:val="19"/>
                <w:color w:val="auto"/>
              </w:rPr>
            </w:pPr>
          </w:p>
        </w:tc>
        <w:tc>
          <w:tcPr>
            <w:tcW w:w="240" w:type="dxa"/>
            <w:vAlign w:val="bottom"/>
            <w:tcBorders>
              <w:top w:val="single" w:sz="8" w:color="231F20"/>
            </w:tcBorders>
            <w:shd w:val="clear" w:color="auto" w:fill="CFEDF9"/>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71,200</w:t>
            </w:r>
          </w:p>
        </w:tc>
        <w:tc>
          <w:tcPr>
            <w:tcW w:w="260" w:type="dxa"/>
            <w:vAlign w:val="bottom"/>
            <w:tcBorders>
              <w:top w:val="single" w:sz="8" w:color="CFEDF9"/>
            </w:tcBorders>
            <w:shd w:val="clear" w:color="auto" w:fill="CFEDF9"/>
          </w:tcPr>
          <w:p>
            <w:pPr>
              <w:spacing w:after="0"/>
              <w:rPr>
                <w:sz w:val="19"/>
                <w:szCs w:val="19"/>
                <w:color w:val="auto"/>
              </w:rPr>
            </w:pPr>
          </w:p>
        </w:tc>
        <w:tc>
          <w:tcPr>
            <w:tcW w:w="240" w:type="dxa"/>
            <w:vAlign w:val="bottom"/>
            <w:tcBorders>
              <w:top w:val="single" w:sz="8" w:color="231F20"/>
            </w:tcBorders>
            <w:shd w:val="clear" w:color="auto" w:fill="CFEDF9"/>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62,828</w:t>
            </w:r>
          </w:p>
        </w:tc>
        <w:tc>
          <w:tcPr>
            <w:tcW w:w="260" w:type="dxa"/>
            <w:vAlign w:val="bottom"/>
            <w:tcBorders>
              <w:top w:val="single" w:sz="8" w:color="CFEDF9"/>
            </w:tcBorders>
            <w:shd w:val="clear" w:color="auto" w:fill="CFEDF9"/>
          </w:tcPr>
          <w:p>
            <w:pPr>
              <w:spacing w:after="0"/>
              <w:rPr>
                <w:sz w:val="19"/>
                <w:szCs w:val="19"/>
                <w:color w:val="auto"/>
              </w:rPr>
            </w:pPr>
          </w:p>
        </w:tc>
        <w:tc>
          <w:tcPr>
            <w:tcW w:w="240" w:type="dxa"/>
            <w:vAlign w:val="bottom"/>
            <w:tcBorders>
              <w:top w:val="single" w:sz="8" w:color="231F20"/>
            </w:tcBorders>
            <w:shd w:val="clear" w:color="auto" w:fill="CFEDF9"/>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2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shd w:val="clear" w:color="auto" w:fill="CFEDF9"/>
              </w:rPr>
              <w:t>66,242</w:t>
            </w:r>
          </w:p>
        </w:tc>
        <w:tc>
          <w:tcPr>
            <w:tcW w:w="200" w:type="dxa"/>
            <w:vAlign w:val="bottom"/>
            <w:tcBorders>
              <w:top w:val="single" w:sz="8" w:color="CFEDF9"/>
            </w:tcBorders>
            <w:shd w:val="clear" w:color="auto" w:fill="CFEDF9"/>
          </w:tcPr>
          <w:p>
            <w:pPr>
              <w:spacing w:after="0"/>
              <w:rPr>
                <w:sz w:val="19"/>
                <w:szCs w:val="19"/>
                <w:color w:val="auto"/>
              </w:rPr>
            </w:pPr>
          </w:p>
        </w:tc>
      </w:tr>
      <w:tr>
        <w:trPr>
          <w:trHeight w:val="211"/>
        </w:trPr>
        <w:tc>
          <w:tcPr>
            <w:tcW w:w="6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31F20"/>
              </w:rPr>
              <w:t>32,132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40"/>
              <w:spacing w:after="0" w:line="210"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31F20"/>
              </w:rPr>
              <w:t>34,730</w:t>
            </w:r>
          </w:p>
        </w:tc>
        <w:tc>
          <w:tcPr>
            <w:tcW w:w="260" w:type="dxa"/>
            <w:vAlign w:val="bottom"/>
          </w:tcPr>
          <w:p>
            <w:pPr>
              <w:spacing w:after="0"/>
              <w:rPr>
                <w:sz w:val="18"/>
                <w:szCs w:val="18"/>
                <w:color w:val="auto"/>
              </w:rPr>
            </w:pPr>
          </w:p>
        </w:tc>
        <w:tc>
          <w:tcPr>
            <w:tcW w:w="240" w:type="dxa"/>
            <w:vAlign w:val="bottom"/>
          </w:tcPr>
          <w:p>
            <w:pPr>
              <w:jc w:val="right"/>
              <w:ind w:right="40"/>
              <w:spacing w:after="0" w:line="210"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31F20"/>
              </w:rPr>
              <w:t>35,440</w:t>
            </w:r>
          </w:p>
        </w:tc>
        <w:tc>
          <w:tcPr>
            <w:tcW w:w="260" w:type="dxa"/>
            <w:vAlign w:val="bottom"/>
          </w:tcPr>
          <w:p>
            <w:pPr>
              <w:spacing w:after="0"/>
              <w:rPr>
                <w:sz w:val="18"/>
                <w:szCs w:val="18"/>
                <w:color w:val="auto"/>
              </w:rPr>
            </w:pPr>
          </w:p>
        </w:tc>
        <w:tc>
          <w:tcPr>
            <w:tcW w:w="240" w:type="dxa"/>
            <w:vAlign w:val="bottom"/>
          </w:tcPr>
          <w:p>
            <w:pPr>
              <w:jc w:val="right"/>
              <w:ind w:right="40"/>
              <w:spacing w:after="0" w:line="210"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31F20"/>
              </w:rPr>
              <w:t>33,932</w:t>
            </w:r>
          </w:p>
        </w:tc>
        <w:tc>
          <w:tcPr>
            <w:tcW w:w="200" w:type="dxa"/>
            <w:vAlign w:val="bottom"/>
          </w:tcPr>
          <w:p>
            <w:pPr>
              <w:spacing w:after="0"/>
              <w:rPr>
                <w:sz w:val="18"/>
                <w:szCs w:val="18"/>
                <w:color w:val="auto"/>
              </w:rPr>
            </w:pPr>
          </w:p>
        </w:tc>
      </w:tr>
      <w:tr>
        <w:trPr>
          <w:trHeight w:val="23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46,191</w:t>
            </w:r>
          </w:p>
        </w:tc>
        <w:tc>
          <w:tcPr>
            <w:tcW w:w="1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36,470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27,388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32,310</w:t>
            </w:r>
          </w:p>
        </w:tc>
        <w:tc>
          <w:tcPr>
            <w:tcW w:w="200" w:type="dxa"/>
            <w:vAlign w:val="bottom"/>
          </w:tcPr>
          <w:p>
            <w:pPr>
              <w:spacing w:after="0"/>
              <w:rPr>
                <w:sz w:val="19"/>
                <w:szCs w:val="19"/>
                <w:color w:val="auto"/>
              </w:rPr>
            </w:pPr>
          </w:p>
        </w:tc>
      </w:tr>
      <w:tr>
        <w:trPr>
          <w:trHeight w:val="230"/>
        </w:trPr>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(4,373)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18,486</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30,966</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24,342</w:t>
            </w:r>
          </w:p>
        </w:tc>
        <w:tc>
          <w:tcPr>
            <w:tcW w:w="200" w:type="dxa"/>
            <w:vAlign w:val="bottom"/>
          </w:tcPr>
          <w:p>
            <w:pPr>
              <w:spacing w:after="0"/>
              <w:rPr>
                <w:sz w:val="19"/>
                <w:szCs w:val="19"/>
                <w:color w:val="auto"/>
              </w:rPr>
            </w:pPr>
          </w:p>
        </w:tc>
      </w:tr>
      <w:tr>
        <w:trPr>
          <w:trHeight w:val="23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41,818</w:t>
            </w:r>
          </w:p>
        </w:tc>
        <w:tc>
          <w:tcPr>
            <w:tcW w:w="1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54,956</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58,354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56,652</w:t>
            </w:r>
          </w:p>
        </w:tc>
        <w:tc>
          <w:tcPr>
            <w:tcW w:w="200" w:type="dxa"/>
            <w:vAlign w:val="bottom"/>
          </w:tcPr>
          <w:p>
            <w:pPr>
              <w:spacing w:after="0"/>
              <w:rPr>
                <w:sz w:val="19"/>
                <w:szCs w:val="19"/>
                <w:color w:val="auto"/>
              </w:rPr>
            </w:pPr>
          </w:p>
        </w:tc>
      </w:tr>
      <w:tr>
        <w:trPr>
          <w:trHeight w:val="266"/>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16.84</w:t>
            </w:r>
          </w:p>
        </w:tc>
        <w:tc>
          <w:tcPr>
            <w:tcW w:w="160" w:type="dxa"/>
            <w:vAlign w:val="bottom"/>
          </w:tcPr>
          <w:p>
            <w:pPr>
              <w:spacing w:after="0"/>
              <w:rPr>
                <w:sz w:val="23"/>
                <w:szCs w:val="2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16.85</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16.47</w:t>
            </w: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-297180</wp:posOffset>
                </wp:positionH>
                <wp:positionV relativeFrom="paragraph">
                  <wp:posOffset>-886460</wp:posOffset>
                </wp:positionV>
                <wp:extent cx="713105" cy="14605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05" cy="146050"/>
                        </a:xfrm>
                        <a:prstGeom prst="rect">
                          <a:avLst/>
                        </a:prstGeom>
                        <a:solidFill>
                          <a:srgbClr val="CFEDF9"/>
                        </a:solidFill>
                      </wps:spPr>
                      <wps:bodyPr/>
                    </wps:wsp>
                  </a:graphicData>
                </a:graphic>
              </wp:anchor>
            </w:drawing>
          </mc:Choice>
          <mc:Fallback>
            <w:pict>
              <v:rect id="Shape 56" o:spid="_x0000_s1081" style="position:absolute;margin-left:-23.3999pt;margin-top:-69.7999pt;width:56.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-503555</wp:posOffset>
                </wp:positionH>
                <wp:positionV relativeFrom="paragraph">
                  <wp:posOffset>-594360</wp:posOffset>
                </wp:positionV>
                <wp:extent cx="3369945" cy="14605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9945" cy="146050"/>
                        </a:xfrm>
                        <a:prstGeom prst="rect">
                          <a:avLst/>
                        </a:prstGeom>
                        <a:solidFill>
                          <a:srgbClr val="CFEDF9"/>
                        </a:solidFill>
                      </wps:spPr>
                      <wps:bodyPr/>
                    </wps:wsp>
                  </a:graphicData>
                </a:graphic>
              </wp:anchor>
            </w:drawing>
          </mc:Choice>
          <mc:Fallback>
            <w:pict>
              <v:rect id="Shape 57" o:spid="_x0000_s1082" style="position:absolute;margin-left:-39.6499pt;margin-top:-46.7999pt;width:265.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-503555</wp:posOffset>
                </wp:positionH>
                <wp:positionV relativeFrom="paragraph">
                  <wp:posOffset>-302260</wp:posOffset>
                </wp:positionV>
                <wp:extent cx="3369945" cy="14605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9945" cy="146050"/>
                        </a:xfrm>
                        <a:prstGeom prst="rect">
                          <a:avLst/>
                        </a:prstGeom>
                        <a:solidFill>
                          <a:srgbClr val="CFEDF9"/>
                        </a:solidFill>
                      </wps:spPr>
                      <wps:bodyPr/>
                    </wps:wsp>
                  </a:graphicData>
                </a:graphic>
              </wp:anchor>
            </w:drawing>
          </mc:Choice>
          <mc:Fallback>
            <w:pict>
              <v:rect id="Shape 58" o:spid="_x0000_s1083" style="position:absolute;margin-left:-39.6499pt;margin-top:-23.7999pt;width:265.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-297180</wp:posOffset>
                </wp:positionH>
                <wp:positionV relativeFrom="paragraph">
                  <wp:posOffset>-889635</wp:posOffset>
                </wp:positionV>
                <wp:extent cx="71310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0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3999pt,-70.0499pt" to="32.75pt,-70.0499pt" o:allowincell="f" strokecolor="#231F20" strokeweight="0.5pt"/>
            </w:pict>
          </mc:Fallback>
        </mc:AlternateContent>
      </w:r>
    </w:p>
    <w:p>
      <w:pPr>
        <w:spacing w:after="0" w:line="669" w:lineRule="exact"/>
        <w:rPr>
          <w:sz w:val="20"/>
          <w:szCs w:val="20"/>
          <w:color w:val="auto"/>
        </w:rPr>
      </w:pPr>
    </w:p>
    <w:p>
      <w:pPr>
        <w:sectPr>
          <w:pgSz w:w="12240" w:h="15840" w:orient="portrait"/>
          <w:cols w:equalWidth="0" w:num="2">
            <w:col w:w="5440" w:space="360"/>
            <w:col w:w="4980"/>
          </w:cols>
          <w:pgMar w:left="720" w:top="930" w:right="740" w:bottom="1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F-45</w:t>
      </w:r>
    </w:p>
    <w:p>
      <w:pPr>
        <w:sectPr>
          <w:pgSz w:w="12240" w:h="15840" w:orient="portrait"/>
          <w:cols w:equalWidth="0" w:num="1">
            <w:col w:w="10780"/>
          </w:cols>
          <w:pgMar w:left="720" w:top="930" w:right="740" w:bottom="186"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231F20"/>
        </w:rPr>
        <w:t>15. Subsequent Events</w:t>
      </w:r>
    </w:p>
    <w:p>
      <w:pPr>
        <w:spacing w:after="0" w:line="124" w:lineRule="exact"/>
        <w:rPr>
          <w:sz w:val="20"/>
          <w:szCs w:val="20"/>
          <w:color w:val="auto"/>
        </w:rPr>
      </w:pPr>
    </w:p>
    <w:p>
      <w:pPr>
        <w:ind w:firstLine="245"/>
        <w:spacing w:after="0" w:line="252" w:lineRule="auto"/>
        <w:rPr>
          <w:sz w:val="20"/>
          <w:szCs w:val="20"/>
          <w:color w:val="auto"/>
        </w:rPr>
      </w:pPr>
      <w:r>
        <w:rPr>
          <w:rFonts w:ascii="Times New Roman" w:cs="Times New Roman" w:eastAsia="Times New Roman" w:hAnsi="Times New Roman"/>
          <w:sz w:val="20"/>
          <w:szCs w:val="20"/>
          <w:color w:val="231F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2023.</w:t>
      </w:r>
    </w:p>
    <w:p>
      <w:pPr>
        <w:sectPr>
          <w:pgSz w:w="12240" w:h="15840" w:orient="portrait"/>
          <w:cols w:equalWidth="0" w:num="1">
            <w:col w:w="10740"/>
          </w:cols>
          <w:pgMar w:left="720" w:top="926" w:right="7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F-46</w:t>
      </w:r>
    </w:p>
    <w:p>
      <w:pPr>
        <w:sectPr>
          <w:pgSz w:w="12240" w:h="15840" w:orient="portrait"/>
          <w:cols w:equalWidth="0" w:num="1">
            <w:col w:w="10740"/>
          </w:cols>
          <w:pgMar w:left="720" w:top="926" w:right="780" w:bottom="186" w:gutter="0" w:footer="0" w:header="0"/>
          <w:type w:val="continuous"/>
        </w:sectPr>
      </w:pPr>
    </w:p>
    <w:bookmarkStart w:id="131" w:name="page132"/>
    <w:bookmarkEnd w:id="131"/>
    <w:p>
      <w:pPr>
        <w:ind w:right="780"/>
        <w:spacing w:after="0" w:line="286" w:lineRule="auto"/>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4"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Evaluation of Disclosure Controls and Procedures. </w:t>
      </w:r>
      <w:r>
        <w:rPr>
          <w:rFonts w:ascii="Times New Roman" w:cs="Times New Roman" w:eastAsia="Times New Roman" w:hAnsi="Times New Roman"/>
          <w:sz w:val="20"/>
          <w:szCs w:val="20"/>
          <w:color w:val="231F20"/>
        </w:rPr>
        <w:t>As of the end of the period covered by this Annual Report, we carried out an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200" w:lineRule="exact"/>
        <w:rPr>
          <w:sz w:val="20"/>
          <w:szCs w:val="20"/>
          <w:color w:val="auto"/>
        </w:rPr>
      </w:pPr>
    </w:p>
    <w:p>
      <w:pPr>
        <w:ind w:right="80" w:firstLine="245"/>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Management’s Report on Internal Control Over Financial Reporting. </w:t>
      </w:r>
      <w:r>
        <w:rPr>
          <w:rFonts w:ascii="Times New Roman" w:cs="Times New Roman" w:eastAsia="Times New Roman" w:hAnsi="Times New Roman"/>
          <w:sz w:val="20"/>
          <w:szCs w:val="20"/>
          <w:color w:val="231F20"/>
        </w:rPr>
        <w:t>Our management is responsible for establishing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 xml:space="preserve">maintaining adequate 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20"/>
          <w:szCs w:val="20"/>
          <w:i w:val="1"/>
          <w:iCs w:val="1"/>
          <w:color w:val="231F20"/>
        </w:rPr>
        <w:t xml:space="preserve">Internal Control—Integrated Framework (2013) </w:t>
      </w:r>
      <w:r>
        <w:rPr>
          <w:rFonts w:ascii="Times New Roman" w:cs="Times New Roman" w:eastAsia="Times New Roman" w:hAnsi="Times New Roman"/>
          <w:sz w:val="20"/>
          <w:szCs w:val="20"/>
          <w:color w:val="231F20"/>
        </w:rPr>
        <w:t>issued by the Committee of Sponsoring Organizations of the Treadway Commission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(2013 COSO Framework). Based on our evaluation under the framework in </w:t>
      </w:r>
      <w:r>
        <w:rPr>
          <w:rFonts w:ascii="Times New Roman" w:cs="Times New Roman" w:eastAsia="Times New Roman" w:hAnsi="Times New Roman"/>
          <w:sz w:val="20"/>
          <w:szCs w:val="20"/>
          <w:i w:val="1"/>
          <w:iCs w:val="1"/>
          <w:color w:val="231F20"/>
        </w:rPr>
        <w:t>Internal Control—Integrated Framework</w:t>
      </w:r>
      <w:r>
        <w:rPr>
          <w:rFonts w:ascii="Times New Roman" w:cs="Times New Roman" w:eastAsia="Times New Roman" w:hAnsi="Times New Roman"/>
          <w:sz w:val="20"/>
          <w:szCs w:val="20"/>
          <w:color w:val="231F20"/>
        </w:rPr>
        <w:t>, management concluded that our internal control over financial reporting was effective as of December 31, 2023.</w:t>
      </w:r>
    </w:p>
    <w:p>
      <w:pPr>
        <w:spacing w:after="0" w:line="200" w:lineRule="exact"/>
        <w:rPr>
          <w:sz w:val="20"/>
          <w:szCs w:val="20"/>
          <w:color w:val="auto"/>
        </w:rPr>
      </w:pPr>
    </w:p>
    <w:p>
      <w:pPr>
        <w:ind w:right="80" w:firstLine="245"/>
        <w:spacing w:after="0" w:line="258"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Attestation Report of the Independent Registered Public Accounting Firm. </w:t>
      </w:r>
      <w:r>
        <w:rPr>
          <w:rFonts w:ascii="Times New Roman" w:cs="Times New Roman" w:eastAsia="Times New Roman" w:hAnsi="Times New Roman"/>
          <w:sz w:val="20"/>
          <w:szCs w:val="20"/>
          <w:color w:val="231F20"/>
        </w:rPr>
        <w:t>Our independent registered public accounting firm,</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KPMG LLP, has issued an audit report on the effectiveness of our internal control over financial reporting, which is set forth under the heading “Report of Independent Registered Public Accounting Firm” on page F-2.</w:t>
      </w:r>
    </w:p>
    <w:p>
      <w:pPr>
        <w:spacing w:after="0" w:line="188" w:lineRule="exact"/>
        <w:rPr>
          <w:sz w:val="20"/>
          <w:szCs w:val="20"/>
          <w:color w:val="auto"/>
        </w:rPr>
      </w:pPr>
    </w:p>
    <w:p>
      <w:pPr>
        <w:ind w:right="420" w:firstLine="245"/>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Changes in Internal Control over Financial Reporting. </w:t>
      </w:r>
      <w:r>
        <w:rPr>
          <w:rFonts w:ascii="Times New Roman" w:cs="Times New Roman" w:eastAsia="Times New Roman" w:hAnsi="Times New Roman"/>
          <w:sz w:val="20"/>
          <w:szCs w:val="20"/>
          <w:color w:val="231F20"/>
        </w:rPr>
        <w:t>There have been no changes in our internal control over financial</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reporting that occurred during our most recently completed fiscal quarter that have materially affected, or are reasonably likely to materially affect, our internal control over financial reporting.</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None.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86</w:t>
      </w:r>
    </w:p>
    <w:p>
      <w:pPr>
        <w:sectPr>
          <w:pgSz w:w="12240" w:h="15840" w:orient="portrait"/>
          <w:cols w:equalWidth="0" w:num="1">
            <w:col w:w="10780"/>
          </w:cols>
          <w:pgMar w:left="720" w:top="926" w:right="740" w:bottom="175" w:gutter="0" w:footer="0" w:header="0"/>
          <w:type w:val="continuous"/>
        </w:sectPr>
      </w:pPr>
    </w:p>
    <w:bookmarkStart w:id="132" w:name="page133"/>
    <w:bookmarkEnd w:id="132"/>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ind w:right="100" w:firstLine="245"/>
        <w:spacing w:after="0" w:line="252" w:lineRule="auto"/>
        <w:rPr>
          <w:sz w:val="20"/>
          <w:szCs w:val="20"/>
          <w:color w:val="auto"/>
        </w:rPr>
      </w:pPr>
      <w:r>
        <w:rPr>
          <w:rFonts w:ascii="Times New Roman" w:cs="Times New Roman" w:eastAsia="Times New Roman" w:hAnsi="Times New Roman"/>
          <w:sz w:val="20"/>
          <w:szCs w:val="20"/>
          <w:color w:val="231F20"/>
        </w:rPr>
        <w:t>Except for the information regarding the SOX Code of Business Conduct and Ethics (which is set forth below), information in response to this item is incorporated by reference from our Proxy Statement relating to our 2024 annual meeting of stockholders. The Proxy Statement will be filed with the SEC within 120 days after the end of the fiscal year covered by this Form 10-K pursuant to Regulation 14A under the Exchange Act.</w:t>
      </w:r>
    </w:p>
    <w:p>
      <w:pPr>
        <w:spacing w:after="0" w:line="194" w:lineRule="exact"/>
        <w:rPr>
          <w:sz w:val="20"/>
          <w:szCs w:val="20"/>
          <w:color w:val="auto"/>
        </w:rPr>
      </w:pPr>
    </w:p>
    <w:p>
      <w:pPr>
        <w:ind w:firstLine="245"/>
        <w:spacing w:after="0" w:line="258" w:lineRule="auto"/>
        <w:rPr>
          <w:sz w:val="20"/>
          <w:szCs w:val="20"/>
          <w:color w:val="auto"/>
        </w:rPr>
      </w:pPr>
      <w:r>
        <w:rPr>
          <w:rFonts w:ascii="Times New Roman" w:cs="Times New Roman" w:eastAsia="Times New Roman" w:hAnsi="Times New Roman"/>
          <w:sz w:val="20"/>
          <w:szCs w:val="20"/>
          <w:color w:val="231F20"/>
        </w:rPr>
        <w:t>Our SOX Code of Business Conduct and Ethics may be found at http://www.sixthstreetspecialtylending.com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ind w:right="100" w:firstLine="245"/>
        <w:spacing w:after="0" w:line="277" w:lineRule="auto"/>
        <w:rPr>
          <w:sz w:val="20"/>
          <w:szCs w:val="20"/>
          <w:color w:val="auto"/>
        </w:rPr>
      </w:pPr>
      <w:r>
        <w:rPr>
          <w:rFonts w:ascii="Times New Roman" w:cs="Times New Roman" w:eastAsia="Times New Roman" w:hAnsi="Times New Roman"/>
          <w:sz w:val="20"/>
          <w:szCs w:val="20"/>
          <w:color w:val="231F20"/>
        </w:rPr>
        <w:t>Information in response to this item is incorporated by reference from our Proxy Statement relating to our 2024 annual meeting of stockholders.</w:t>
      </w:r>
    </w:p>
    <w:p>
      <w:pPr>
        <w:spacing w:after="0" w:line="33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36" w:lineRule="exact"/>
        <w:rPr>
          <w:sz w:val="20"/>
          <w:szCs w:val="20"/>
          <w:color w:val="auto"/>
        </w:rPr>
      </w:pPr>
    </w:p>
    <w:p>
      <w:pPr>
        <w:ind w:right="100" w:firstLine="245"/>
        <w:spacing w:after="0" w:line="277" w:lineRule="auto"/>
        <w:rPr>
          <w:sz w:val="20"/>
          <w:szCs w:val="20"/>
          <w:color w:val="auto"/>
        </w:rPr>
      </w:pPr>
      <w:r>
        <w:rPr>
          <w:rFonts w:ascii="Times New Roman" w:cs="Times New Roman" w:eastAsia="Times New Roman" w:hAnsi="Times New Roman"/>
          <w:sz w:val="20"/>
          <w:szCs w:val="20"/>
          <w:color w:val="231F20"/>
        </w:rPr>
        <w:t>Information in response to this item is incorporated by reference from our Proxy Statement relating to our 2024 annual meeting of stockholders.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 AND RELATED TRANSACTION, AND DIRECTOR INDEPENDENCE</w:t>
      </w:r>
    </w:p>
    <w:p>
      <w:pPr>
        <w:spacing w:after="0" w:line="124" w:lineRule="exact"/>
        <w:rPr>
          <w:sz w:val="20"/>
          <w:szCs w:val="20"/>
          <w:color w:val="auto"/>
        </w:rPr>
      </w:pPr>
    </w:p>
    <w:p>
      <w:pPr>
        <w:ind w:right="100" w:firstLine="245"/>
        <w:spacing w:after="0" w:line="277" w:lineRule="auto"/>
        <w:rPr>
          <w:sz w:val="20"/>
          <w:szCs w:val="20"/>
          <w:color w:val="auto"/>
        </w:rPr>
      </w:pPr>
      <w:r>
        <w:rPr>
          <w:rFonts w:ascii="Times New Roman" w:cs="Times New Roman" w:eastAsia="Times New Roman" w:hAnsi="Times New Roman"/>
          <w:sz w:val="20"/>
          <w:szCs w:val="20"/>
          <w:color w:val="231F20"/>
        </w:rPr>
        <w:t>Information in response to this item is incorporated by reference from our Proxy Statement relating to our 2024 annual meeting of stockholders.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24" w:lineRule="exact"/>
        <w:rPr>
          <w:sz w:val="20"/>
          <w:szCs w:val="20"/>
          <w:color w:val="auto"/>
        </w:rPr>
      </w:pPr>
    </w:p>
    <w:p>
      <w:pPr>
        <w:ind w:right="100" w:firstLine="245"/>
        <w:spacing w:after="0" w:line="277" w:lineRule="auto"/>
        <w:rPr>
          <w:sz w:val="20"/>
          <w:szCs w:val="20"/>
          <w:color w:val="auto"/>
        </w:rPr>
      </w:pPr>
      <w:r>
        <w:rPr>
          <w:rFonts w:ascii="Times New Roman" w:cs="Times New Roman" w:eastAsia="Times New Roman" w:hAnsi="Times New Roman"/>
          <w:sz w:val="20"/>
          <w:szCs w:val="20"/>
          <w:color w:val="231F20"/>
        </w:rPr>
        <w:t>Information in response to this item is incorporated by reference from our Proxy Statement relating to our 2024 annual meeting of stockholders.</w:t>
      </w:r>
    </w:p>
    <w:p>
      <w:pPr>
        <w:sectPr>
          <w:pgSz w:w="12240" w:h="15840" w:orient="portrait"/>
          <w:cols w:equalWidth="0" w:num="1">
            <w:col w:w="10760"/>
          </w:cols>
          <w:pgMar w:left="720" w:top="92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87</w:t>
      </w:r>
    </w:p>
    <w:p>
      <w:pPr>
        <w:sectPr>
          <w:pgSz w:w="12240" w:h="15840" w:orient="portrait"/>
          <w:cols w:equalWidth="0" w:num="1">
            <w:col w:w="10760"/>
          </w:cols>
          <w:pgMar w:left="720" w:top="926" w:right="760" w:bottom="175"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following documents are filed as part of this Annual Report:</w:t>
      </w:r>
    </w:p>
    <w:p>
      <w:pPr>
        <w:spacing w:after="0" w:line="120" w:lineRule="exact"/>
        <w:rPr>
          <w:sz w:val="20"/>
          <w:szCs w:val="20"/>
          <w:color w:val="auto"/>
        </w:rPr>
      </w:pPr>
    </w:p>
    <w:p>
      <w:pPr>
        <w:ind w:left="440" w:right="400" w:hanging="440"/>
        <w:spacing w:after="0" w:line="277" w:lineRule="auto"/>
        <w:tabs>
          <w:tab w:leader="none" w:pos="440" w:val="left"/>
        </w:tabs>
        <w:numPr>
          <w:ilvl w:val="0"/>
          <w:numId w:val="1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Statements—Financial statements are included in Item 8. See the Index to the consolidated financial statements on page F-1 of this annual report on Form 10-K.</w:t>
      </w:r>
    </w:p>
    <w:p>
      <w:pPr>
        <w:spacing w:after="0" w:line="49" w:lineRule="exact"/>
        <w:rPr>
          <w:rFonts w:ascii="Times New Roman" w:cs="Times New Roman" w:eastAsia="Times New Roman" w:hAnsi="Times New Roman"/>
          <w:sz w:val="20"/>
          <w:szCs w:val="20"/>
          <w:color w:val="231F20"/>
        </w:rPr>
      </w:pPr>
    </w:p>
    <w:p>
      <w:pPr>
        <w:ind w:left="440" w:right="140" w:hanging="440"/>
        <w:spacing w:after="0" w:line="258" w:lineRule="auto"/>
        <w:tabs>
          <w:tab w:leader="none" w:pos="440" w:val="left"/>
        </w:tabs>
        <w:numPr>
          <w:ilvl w:val="0"/>
          <w:numId w:val="1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68" w:lineRule="exact"/>
        <w:rPr>
          <w:rFonts w:ascii="Times New Roman" w:cs="Times New Roman" w:eastAsia="Times New Roman" w:hAnsi="Times New Roman"/>
          <w:sz w:val="20"/>
          <w:szCs w:val="20"/>
          <w:color w:val="231F20"/>
        </w:rPr>
      </w:pPr>
    </w:p>
    <w:p>
      <w:pPr>
        <w:ind w:left="440" w:right="220" w:hanging="440"/>
        <w:spacing w:after="0" w:line="277" w:lineRule="auto"/>
        <w:tabs>
          <w:tab w:leader="none" w:pos="440" w:val="left"/>
        </w:tabs>
        <w:numPr>
          <w:ilvl w:val="0"/>
          <w:numId w:val="10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Exhibits—The following is a list of all exhibits filed as a part of this annual report on Form 10-K, including those incorporated by reference.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color w:val="231F20"/>
              </w:rPr>
              <w:t>Exhibit No</w:t>
            </w:r>
          </w:p>
        </w:tc>
        <w:tc>
          <w:tcPr>
            <w:tcW w:w="200" w:type="dxa"/>
            <w:vAlign w:val="bottom"/>
          </w:tcPr>
          <w:p>
            <w:pPr>
              <w:spacing w:after="0"/>
              <w:rPr>
                <w:sz w:val="17"/>
                <w:szCs w:val="17"/>
                <w:color w:val="auto"/>
              </w:rPr>
            </w:pPr>
          </w:p>
        </w:tc>
        <w:tc>
          <w:tcPr>
            <w:tcW w:w="97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color w:val="231F20"/>
              </w:rPr>
              <w:t>Description of Exhibits</w:t>
            </w:r>
          </w:p>
        </w:tc>
      </w:tr>
      <w:tr>
        <w:trPr>
          <w:trHeight w:val="33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3.1</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Restated Certificate of Incorporation (incorporated by reference to Exhibit 3.2 to Amendment No. 1 to the Company’s</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Current Report on Form 8-K filed on June 19, 2020).</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3.2</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Second Amended and Restated Bylaws dated July 10, 2023 (incorporated by reference to Exhibit 3.1 to the Company’s</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Current Report on Form 8-K/A filed on July 17, 2023).</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4.1</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Form of Common Stock Certificate (incorporated by reference to Exhibit 4.2 to the Company’s Annual Report on Form</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10-K filed on March 22, 2012).</w:t>
            </w:r>
          </w:p>
        </w:tc>
      </w:tr>
      <w:tr>
        <w:trPr>
          <w:trHeight w:val="54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4.2</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Second Supplemental Indenture, dated as of November 1, 2019, between TPG Specialty Lending, Inc. and Wells Fargo</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Bank, National Association, as Trustee (incorporated by reference to Exhibit 4.2 to the Company’s Current Report on</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Form 8-K filed on November 1, 2019).</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4.3</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Form of 3.875% Note (incorporated by reference to Exhibit 4.2 to the Company’s Current Report on Form 8-K filed on</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November 1, 2019).</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4.4</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Third Supplemental Indenture, dated as of February 3, 2021, between Sixth Street Specialty Lending, Inc. and Wells</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Fargo Bank, National Association, as Trustee (incorporated by reference to Exhibit 4.2 to the Company’s Current Report</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on Form 8-K filed on February 3, 2021).</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4.5</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Form of 2.500% Note (incorporated by reference to Exhibit 4.2 to the Company’s Current Report on Form 8-K filed on</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February 3, 2021).</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4.6</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Fourth Supplemental Indenture, dated as of August 14, 2023, between Sixth Street Specialty Lending, Inc. and</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Computershare Trust Company, N.A., as successor to Wells Fargo Bank, National Association, as Trustee (incorporated</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by reference to Exhibit 4.2 to the Company’s Current Report on Form 8-K filed on August 14, 2023).</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4.7</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Form of 6.950% Note Due 2028 (incorporated by reference to Exhibit 4.2 to the Company’s Current Report on Form 8-K</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filed on August 14, 2023).</w:t>
            </w:r>
          </w:p>
        </w:tc>
      </w:tr>
      <w:tr>
        <w:trPr>
          <w:trHeight w:val="4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4.8</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Description of Securities Registered Pursuant to Section 12 of the Securities Exchange Act of 1934.</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Form of Indemnification Agreement between the Company and certain officers and directors (incorporated by reference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to Exhibit 10.3 to Amendment No. 1 to the Company’s Registration Statement on Form 10 filed on March 14, 2011).</w:t>
            </w: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2240" w:h="15840" w:orient="portrait"/>
          <w:cols w:equalWidth="0" w:num="1">
            <w:col w:w="10800"/>
          </w:cols>
          <w:pgMar w:left="720" w:top="926" w:right="720" w:bottom="175"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99"/>
        </w:trPr>
        <w:tc>
          <w:tcPr>
            <w:tcW w:w="8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color w:val="231F20"/>
              </w:rPr>
              <w:t>Exhibit No</w:t>
            </w:r>
          </w:p>
        </w:tc>
        <w:tc>
          <w:tcPr>
            <w:tcW w:w="200" w:type="dxa"/>
            <w:vAlign w:val="bottom"/>
          </w:tcPr>
          <w:p>
            <w:pPr>
              <w:spacing w:after="0"/>
              <w:rPr>
                <w:sz w:val="17"/>
                <w:szCs w:val="17"/>
                <w:color w:val="auto"/>
              </w:rPr>
            </w:pPr>
          </w:p>
        </w:tc>
        <w:tc>
          <w:tcPr>
            <w:tcW w:w="97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color w:val="231F20"/>
              </w:rPr>
              <w:t>Description of Exhibits</w:t>
            </w:r>
          </w:p>
        </w:tc>
      </w:tr>
      <w:tr>
        <w:trPr>
          <w:trHeight w:val="33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10.2</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Investment Advisory and Management Agreement, dated December 12, 2011, between the</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Company and the Adviser (incorporated by reference to Exhibit 10.1 to the Company’s Current Report on Form 8-K filed</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on December 13, 2011).</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10.3</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Custodian Agreement dated November 29, 2012 (incorporated by reference to Exhibit 10.1 to the Company’s Current</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Report on Form 8-K filed on December 4, 2012).</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Second Amended and Restated Senior Secured Credit Agreement, dated February 27, 2014, among TPG Specialty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Lending, Inc., as Borrower, the Lenders Party Hereto and Truist Bank (as successor by merger to SunTrust Bank), as</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Administrative Agent, and JPMorgan Chase Bank, N.A., as Syndication Agent (incorporated by reference to Exhibit</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10.20 to the Company’s Annual Report on Form 10-K filed on March 4, 2014).</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10.5</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Dividend Reinvestment Plan of TPG Specialty Lending, Inc. (incorporated by reference to Exhibit (e) to Pre-Effective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Amendment No. 4 to the Company’s Registration Statement on Form N-2 filed on March 17, 2014).</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10.6</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Form of Increase Letter pursuant to the Second Amended and Restated Senior Secured Credit Agreement, dated February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27, 2014, among TPG Specialty Lending, Inc., as Borrower, the Lenders Party Hereto and Truist Bank (as successor by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merger to SunTrust Bank), as Administrative Agent, and JPMorgan Chase Bank, N.A., as Syndication Agent</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(incorporated by reference to Exhibit 10.3 to the Company’s Quarterly Annual Report on Form 10-Q filed on August 4,</w:t>
            </w:r>
          </w:p>
        </w:tc>
      </w:tr>
      <w:tr>
        <w:trPr>
          <w:trHeight w:val="266"/>
        </w:trPr>
        <w:tc>
          <w:tcPr>
            <w:tcW w:w="820" w:type="dxa"/>
            <w:vAlign w:val="bottom"/>
          </w:tcPr>
          <w:p>
            <w:pPr>
              <w:spacing w:after="0"/>
              <w:rPr>
                <w:sz w:val="23"/>
                <w:szCs w:val="23"/>
                <w:color w:val="auto"/>
              </w:rPr>
            </w:pPr>
          </w:p>
        </w:tc>
        <w:tc>
          <w:tcPr>
            <w:tcW w:w="9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2014).</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10.7</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First Amendment to Second Amended and Restated Senior Secured Revolving Credit Agreement, dated June 3, 2014,</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among TPG Specialty Lending, Inc., as Borrower, the Lenders party thereto and Truist Bank (as successor by merger to</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SunTrust Bank), as Administrative Agent and Collateral Agent (incorporated by reference to Exhibit 10.4 to the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Company’s Quarterly Report on Form 10-Q filed on August 4, 2014).</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10.8</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w w:val="99"/>
              </w:rPr>
              <w:t>Second Amendment to Second Amended and Restated Senior Secured Revolving Credit Agreement, dated June 27, 2014,</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among TPG Specialty Lending, Inc., as Borrower, Morgan Stanley Bank, N.A., as a Lender, and Truist Bank (as</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successor by merger to SunTrust Bank), as Administrative Agent (incorporated by reference to Exhibit 10.5 to the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Company’s Quarterly Report on Form 10-Q filed on August 4, 2014).</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10.9</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Third Amendment to Second Amended and Restated Senior Secured Revolving Credit Agreement, dated October 17,</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2014, among TPG Specialty Lending, Inc., as Borrower, the Lenders party thereto and Truist Bank (as successor by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merger to SunTrust Bank), as Administrative Agent (incorporated by reference to Exhibit 10.1 to the Company’s</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Quarterly Report on Form 10-Q filed on November 3, 2014).</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10.10</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Second Amended and Restated Credit and Security Agreement, dated as of March 27, 2015, among TPG SL SPV, LLC,</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as Borrower, the Lenders from time to time parties thereto, Natixis, New York Branch, as Facility Agent and State Street</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Bank and Trust Company, as Collateral Agent (incorporated by reference to Exhibit 10.1 to the Company’s Current</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Report on Form 8-K filed on March 30, 2015).</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10.11</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Fourth Amendment to Second Amended and Restated Senior Secured Revolving Credit Agreement, dated October 2,</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2015, among TPG Specialty Lending, Inc., as Borrower, the Lenders party thereto and Truist Bank (as successor by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merger to SunTrust Bank), as Administrative Agent (incorporated by reference to Exhibit 10.1 to the Company’s</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Quarterly Report on Form 10-Q filed on November 3, 2015).</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10.12</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Fifth Amendment to Second Amended and Restated Senior Secured Revolving Credit Agreement, dated December 22,</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2016, among TPG Specialty Lending, Inc., as Borrower, the Lenders party thereto and Truist Bank (as successor by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w w:val="99"/>
              </w:rPr>
              <w:t>merger to SunTrust Bank), as Administrative Agent (incorporated by reference to Exhibit 10.15 to the Company’s Annual</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Report on Form 10-K filed on February 22, 2017).</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10.13</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Administration Agreement, dated as of February 22, 2017 between the Company and the Adviser</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(incorporated by reference to Exhibit 10.16 to the Company’s Annual Report on Form 10-K filed on February 22, 2017).</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10.14</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Sixth Amendment to Second Amended and Restated Senior Secured Revolving Credit Agreement, dated February 20,</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2018, among TPG Specialty Lending, Inc., as Borrower, the Lenders party thereto and Truist Bank (as successor by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w w:val="99"/>
              </w:rPr>
              <w:t>merger to SunTrust Bank), as Administrative Agent (incorporated by reference to Exhibit 10.16 to the Company’s Annual</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Report on Form 10-K filed on February 21, 2018).</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10.15</w:t>
            </w:r>
          </w:p>
        </w:tc>
        <w:tc>
          <w:tcPr>
            <w:tcW w:w="20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Seventh Amendment to Second Amended and Restated Senior Secured Revolving Credit Agreement, dated as of</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November 5, 2018, among TPG Specialty Lending, Inc., as Borrower, the Lenders party thereto and Truist Bank (as</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successor by merger to SunTrust Bank), as Administrative Agent (incorporated by reference to Exhibit 10.1 to the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20"/>
                <w:szCs w:val="20"/>
                <w:color w:val="231F20"/>
              </w:rPr>
              <w:t>Company's Quarterly Report on Form 10-Q filed on November 6, 2018).</w:t>
            </w:r>
          </w:p>
        </w:tc>
      </w:tr>
    </w:tbl>
    <w:p>
      <w:pPr>
        <w:spacing w:after="0" w:line="200" w:lineRule="exact"/>
        <w:rPr>
          <w:sz w:val="20"/>
          <w:szCs w:val="20"/>
          <w:color w:val="auto"/>
        </w:rPr>
      </w:pPr>
    </w:p>
    <w:p>
      <w:pPr>
        <w:sectPr>
          <w:pgSz w:w="12240" w:h="15840" w:orient="portrait"/>
          <w:cols w:equalWidth="0" w:num="1">
            <w:col w:w="10800"/>
          </w:cols>
          <w:pgMar w:left="720" w:top="934" w:right="720" w:bottom="175"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89</w:t>
      </w:r>
    </w:p>
    <w:p>
      <w:pPr>
        <w:sectPr>
          <w:pgSz w:w="12240" w:h="15840" w:orient="portrait"/>
          <w:cols w:equalWidth="0" w:num="1">
            <w:col w:w="10800"/>
          </w:cols>
          <w:pgMar w:left="720" w:top="934" w:right="720" w:bottom="175"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199"/>
        </w:trPr>
        <w:tc>
          <w:tcPr>
            <w:tcW w:w="8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color w:val="231F20"/>
              </w:rPr>
              <w:t>Exhibit No</w:t>
            </w:r>
          </w:p>
        </w:tc>
        <w:tc>
          <w:tcPr>
            <w:tcW w:w="200" w:type="dxa"/>
            <w:vAlign w:val="bottom"/>
          </w:tcPr>
          <w:p>
            <w:pPr>
              <w:spacing w:after="0"/>
              <w:rPr>
                <w:sz w:val="17"/>
                <w:szCs w:val="17"/>
                <w:color w:val="auto"/>
              </w:rPr>
            </w:pPr>
          </w:p>
        </w:tc>
        <w:tc>
          <w:tcPr>
            <w:tcW w:w="41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color w:val="231F20"/>
              </w:rPr>
              <w:t>Description of Exhibits</w:t>
            </w:r>
          </w:p>
        </w:tc>
        <w:tc>
          <w:tcPr>
            <w:tcW w:w="5600" w:type="dxa"/>
            <w:vAlign w:val="bottom"/>
            <w:tcBorders>
              <w:bottom w:val="single" w:sz="8" w:color="231F20"/>
            </w:tcBorders>
          </w:tcPr>
          <w:p>
            <w:pPr>
              <w:spacing w:after="0"/>
              <w:rPr>
                <w:sz w:val="17"/>
                <w:szCs w:val="17"/>
                <w:color w:val="auto"/>
              </w:rPr>
            </w:pPr>
          </w:p>
        </w:tc>
      </w:tr>
      <w:tr>
        <w:trPr>
          <w:trHeight w:val="476"/>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10.16</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Eighth Amendment to Second Amended and Restated Senior Secured Revolving Credit Agreement, dated as of February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14, 2019, among TPG Specialty Lending, Inc., as Borrower, the Lenders party thereto and Truist Bank (as successor by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merger to SunTrust Bank), as Administrative Agent. (incorporated by reference to Exhibit 10.16 to the Company’s</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Annual Report on Form 10-K filed on February 20, 2019).</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10.17</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Ninth Amendment to Second Amended and Restated Senior Secured Revolving Credit Agreement, dated as of January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31, 2020, among TPG Specialty Lending, Inc., as Borrower, the Lenders party thereto and Truist Bank (as successor by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merger to SunTrust Bank), as Administrative Agent. (incorporated by reference to Exhibit 10.17 to the Company’s</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Annual Report on Form 10-K filed on February 19, 2020).</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10.18</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Tenth Amendment to Second Amended and Restated Senior Secured Revolving Credit Agreement, dated as of February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w w:val="99"/>
              </w:rPr>
              <w:t>5, 2021, among Sixth Street Specialty Lending, Inc., as Borrower, the Lenders party thereto and Truist Bank (as successor</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by merger to SunTrust Bank), as Administrative Agent (incorporated by reference to Exhibit 10.18 to the Company’s</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Annual Report on Form 10-K filed on February 17, 2021).</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10.19</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Eleventh Amendment to Second Amended and  Restated Senior Secured Revolving Credit Agreement, dated as of</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231F20"/>
              </w:rPr>
              <w:t>December 21, 2021, among Sixth Street Specialty</w:t>
            </w:r>
          </w:p>
        </w:tc>
        <w:tc>
          <w:tcPr>
            <w:tcW w:w="560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Lending, Inc., as Borrower, the Lenders party thereto and Truist</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231F20"/>
                <w:w w:val="99"/>
              </w:rPr>
              <w:t>Bank (as successor by merger to SunTrust Bank), as</w:t>
            </w:r>
          </w:p>
        </w:tc>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Administrative Agent (incorporated by reference to Exhibit 10.19</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 the Company’s Annual Report on Form 10-K filed on  February 17, 2022).</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10.20</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Twelfth Amendment to Second Amended and Restated Senior Secured Revolving Credit Agreement, dated as of April</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25, 2022, among Sixth Street Specialty Lending, Inc., as Borrower, the Lenders party thereto and Truist Bank (as</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successor by merger to SunTrust Bank), as Administrative Agent (incorporated by reference to Exhibit 10.1 to the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Company’s Quarterly Report on Form 10-Q filed on May 5, 2022).</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10.21</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Thirteenth Amendment to Second Amended and Restated Senior Secured Revolving Credit Agreement, dated as of May</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19, 2022, among Sixth Street Specialty Lending, Inc., as Borrower, the Lenders party thereto and Truist Bank (as</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successor by merger to SunTrust Bank), as Administrative Agent (incorporated by reference to Exhibit 10.2 to the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Company’s Quarterly Report on Form 10-Q filed on August 2, 2022).</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10.22</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Fourteenth Amendment to Second Amended and Restated Senior Secured Revolving Credit Agreement, dated as of June</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12, 2023, among Sixth Street Specialty Lending, Inc., as Borrower, the Lenders party thereto and Truist Bank (as</w:t>
            </w:r>
          </w:p>
        </w:tc>
      </w:tr>
      <w:tr>
        <w:trPr>
          <w:trHeight w:val="230"/>
        </w:trPr>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successor by merger to SunTrust Bank), as Administrative Agent (incorporated by reference to Exhibit 10.1 to the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Company’s Quarterly Report on Form 10-Q filed on August 3, 2023).</w:t>
            </w:r>
          </w:p>
        </w:tc>
      </w:tr>
      <w:tr>
        <w:trPr>
          <w:trHeight w:val="4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21.1</w:t>
            </w:r>
          </w:p>
        </w:tc>
        <w:tc>
          <w:tcPr>
            <w:tcW w:w="20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231F20"/>
              </w:rPr>
              <w:t>Subsidiaries of Sixth Street Specialty Lending, Inc.</w:t>
            </w:r>
          </w:p>
        </w:tc>
        <w:tc>
          <w:tcPr>
            <w:tcW w:w="5600" w:type="dxa"/>
            <w:vAlign w:val="bottom"/>
          </w:tcPr>
          <w:p>
            <w:pPr>
              <w:spacing w:after="0"/>
              <w:rPr>
                <w:sz w:val="24"/>
                <w:szCs w:val="24"/>
                <w:color w:val="auto"/>
              </w:rPr>
            </w:pPr>
          </w:p>
        </w:tc>
      </w:tr>
      <w:tr>
        <w:trPr>
          <w:trHeight w:val="3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23.1</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Consent of Independent Registered Public Accounting Firm</w:t>
            </w:r>
          </w:p>
        </w:tc>
      </w:tr>
      <w:tr>
        <w:trPr>
          <w:trHeight w:val="4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24.1</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Power of Attorney (set forth on the signature page to this Annual Report on Form 10-K)</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31.1</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Certification of Chief Executive Officer Pursuant to 18 U.S.C. Section 1350, as Adopted Pursuant to Section 302 of the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231F20"/>
              </w:rPr>
              <w:t>Sarbanes-Oxley Act of 2002.</w:t>
            </w:r>
          </w:p>
        </w:tc>
        <w:tc>
          <w:tcPr>
            <w:tcW w:w="5600" w:type="dxa"/>
            <w:vAlign w:val="bottom"/>
          </w:tcPr>
          <w:p>
            <w:pPr>
              <w:spacing w:after="0"/>
              <w:rPr>
                <w:sz w:val="23"/>
                <w:szCs w:val="23"/>
                <w:color w:val="auto"/>
              </w:rPr>
            </w:pP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31.2</w:t>
            </w:r>
          </w:p>
        </w:tc>
        <w:tc>
          <w:tcPr>
            <w:tcW w:w="2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Certification of Chief Financial Officer Pursuant to 18 U.S.C. Section 1350, as Adopted Pursuant to Section 302 of the</w:t>
            </w:r>
          </w:p>
        </w:tc>
      </w:tr>
      <w:tr>
        <w:trPr>
          <w:trHeight w:val="266"/>
        </w:trPr>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20"/>
                <w:szCs w:val="20"/>
                <w:color w:val="231F20"/>
              </w:rPr>
              <w:t>Sarbanes-Oxley Act of 2002.</w:t>
            </w:r>
          </w:p>
        </w:tc>
        <w:tc>
          <w:tcPr>
            <w:tcW w:w="5600" w:type="dxa"/>
            <w:vAlign w:val="bottom"/>
          </w:tcPr>
          <w:p>
            <w:pPr>
              <w:spacing w:after="0"/>
              <w:rPr>
                <w:sz w:val="23"/>
                <w:szCs w:val="23"/>
                <w:color w:val="auto"/>
              </w:rPr>
            </w:pPr>
          </w:p>
        </w:tc>
      </w:tr>
    </w:tbl>
    <w:p>
      <w:pPr>
        <w:spacing w:after="0" w:line="102" w:lineRule="exact"/>
        <w:rPr>
          <w:sz w:val="20"/>
          <w:szCs w:val="20"/>
          <w:color w:val="auto"/>
        </w:rPr>
      </w:pPr>
    </w:p>
    <w:p>
      <w:pPr>
        <w:ind w:left="1020" w:right="120" w:hanging="1020"/>
        <w:spacing w:after="0" w:line="277" w:lineRule="auto"/>
        <w:tabs>
          <w:tab w:leader="none" w:pos="1020" w:val="left"/>
        </w:tabs>
        <w:numPr>
          <w:ilvl w:val="0"/>
          <w:numId w:val="1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Certification of CEO and CFO Pursuant to 18 U.S.C. Section 1350, as Adopted Pursuant to Section 906 of the Sarbanes-Oxley Act of 2002.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97.1</w:t>
            </w:r>
          </w:p>
        </w:tc>
        <w:tc>
          <w:tcPr>
            <w:tcW w:w="98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Incentive Compensation Clawback Policy</w:t>
            </w:r>
          </w:p>
        </w:tc>
      </w:tr>
      <w:tr>
        <w:trPr>
          <w:trHeight w:val="36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99.1</w:t>
            </w:r>
          </w:p>
        </w:tc>
        <w:tc>
          <w:tcPr>
            <w:tcW w:w="98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on Supplemental Information.</w:t>
            </w: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101.INS</w:t>
            </w:r>
          </w:p>
        </w:tc>
        <w:tc>
          <w:tcPr>
            <w:tcW w:w="9880" w:type="dxa"/>
            <w:vAlign w:val="bottom"/>
          </w:tcPr>
          <w:p>
            <w:pPr>
              <w:ind w:left="140"/>
              <w:spacing w:after="0"/>
              <w:rPr>
                <w:sz w:val="20"/>
                <w:szCs w:val="20"/>
                <w:color w:val="auto"/>
              </w:rPr>
            </w:pPr>
            <w:r>
              <w:rPr>
                <w:rFonts w:ascii="Times New Roman" w:cs="Times New Roman" w:eastAsia="Times New Roman" w:hAnsi="Times New Roman"/>
                <w:sz w:val="20"/>
                <w:szCs w:val="20"/>
                <w:color w:val="231F20"/>
                <w:w w:val="99"/>
              </w:rPr>
              <w:t>Inline XBRL Instance Document - the instance document does not appear in the Interactive Data File because XBRL tags</w:t>
            </w:r>
          </w:p>
        </w:tc>
      </w:tr>
      <w:tr>
        <w:trPr>
          <w:trHeight w:val="266"/>
        </w:trPr>
        <w:tc>
          <w:tcPr>
            <w:tcW w:w="880" w:type="dxa"/>
            <w:vAlign w:val="bottom"/>
          </w:tcPr>
          <w:p>
            <w:pPr>
              <w:spacing w:after="0"/>
              <w:rPr>
                <w:sz w:val="23"/>
                <w:szCs w:val="23"/>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are embedded within the Inline XBRL document.</w:t>
            </w:r>
          </w:p>
        </w:tc>
      </w:tr>
      <w:tr>
        <w:trPr>
          <w:trHeight w:val="35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101.SCH</w:t>
            </w:r>
          </w:p>
        </w:tc>
        <w:tc>
          <w:tcPr>
            <w:tcW w:w="98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Inline XBRL Taxonomy Extension Schema With Embedded Linkbase Documents</w:t>
            </w:r>
          </w:p>
        </w:tc>
      </w:tr>
      <w:tr>
        <w:trPr>
          <w:trHeight w:val="35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988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Cover Page Interactive Data File (embedded within the Inline XBRL document)</w:t>
            </w:r>
          </w:p>
        </w:tc>
      </w:tr>
      <w:tr>
        <w:trPr>
          <w:trHeight w:val="303"/>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231F20"/>
              </w:rPr>
              <w:t> </w:t>
            </w:r>
          </w:p>
        </w:tc>
        <w:tc>
          <w:tcPr>
            <w:tcW w:w="988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800"/>
          </w:cols>
          <w:pgMar w:left="720" w:top="934" w:right="720" w:bottom="175"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2240" w:h="15840" w:orient="portrait"/>
          <w:cols w:equalWidth="0" w:num="1">
            <w:col w:w="10800"/>
          </w:cols>
          <w:pgMar w:left="720" w:top="934" w:right="720" w:bottom="175"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b w:val="1"/>
          <w:bCs w:val="1"/>
          <w:color w:val="231F20"/>
        </w:rPr>
        <w:t>ITEM 16. FORM 10-K SUMMARY</w:t>
      </w:r>
    </w:p>
    <w:p>
      <w:pPr>
        <w:sectPr>
          <w:pgSz w:w="12240" w:h="15840" w:orient="portrait"/>
          <w:cols w:equalWidth="0" w:num="1">
            <w:col w:w="10080"/>
          </w:cols>
          <w:pgMar w:left="720" w:top="926" w:right="1440" w:bottom="175" w:gutter="0" w:footer="0" w:header="0"/>
        </w:sectPr>
      </w:pP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Not applicable.</w:t>
      </w:r>
    </w:p>
    <w:p>
      <w:pPr>
        <w:sectPr>
          <w:pgSz w:w="12240" w:h="15840" w:orient="portrait"/>
          <w:cols w:equalWidth="0" w:num="1">
            <w:col w:w="10080"/>
          </w:cols>
          <w:pgMar w:left="720" w:top="926" w:right="14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231F20"/>
        </w:rPr>
        <w:t>91</w:t>
      </w:r>
    </w:p>
    <w:p>
      <w:pPr>
        <w:sectPr>
          <w:pgSz w:w="12240" w:h="15840" w:orient="portrait"/>
          <w:cols w:equalWidth="0" w:num="1">
            <w:col w:w="10080"/>
          </w:cols>
          <w:pgMar w:left="720" w:top="926" w:right="1440" w:bottom="175"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ind w:right="440" w:firstLine="245"/>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20"/>
          <w:szCs w:val="20"/>
          <w:color w:val="231F20"/>
        </w:rPr>
        <w:t>Date: February 15, 2024</w:t>
      </w:r>
      <w:r>
        <w:rPr>
          <w:sz w:val="20"/>
          <w:szCs w:val="20"/>
          <w:color w:val="auto"/>
        </w:rPr>
        <w:tab/>
      </w:r>
      <w:r>
        <w:rPr>
          <w:rFonts w:ascii="Times New Roman" w:cs="Times New Roman" w:eastAsia="Times New Roman" w:hAnsi="Times New Roman"/>
          <w:sz w:val="20"/>
          <w:szCs w:val="20"/>
          <w:b w:val="1"/>
          <w:bCs w:val="1"/>
          <w:color w:val="231F20"/>
        </w:rPr>
        <w:t>SIXTH STREET SPECIALTY LENDING, INC.</w:t>
      </w:r>
    </w:p>
    <w:p>
      <w:pPr>
        <w:spacing w:after="0" w:line="24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231F20"/>
        </w:rPr>
        <w:t>/s/ Joshua Easterly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3497580</wp:posOffset>
                </wp:positionH>
                <wp:positionV relativeFrom="paragraph">
                  <wp:posOffset>15240</wp:posOffset>
                </wp:positionV>
                <wp:extent cx="336042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042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4pt,1.2pt" to="540pt,1.2pt" o:allowincell="f" strokecolor="#231F20" strokeweight="0.5pt"/>
            </w:pict>
          </mc:Fallback>
        </mc:AlternateContent>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231F20"/>
        </w:rPr>
        <w:t>Chief Executive Officer</w:t>
      </w:r>
    </w:p>
    <w:p>
      <w:pPr>
        <w:spacing w:after="0" w:line="290"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20"/>
          <w:szCs w:val="20"/>
          <w:color w:val="231F20"/>
        </w:rPr>
        <w:t>Each person whose signature appears below constitutes and appoints Michael Fishman,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2023,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206" w:lineRule="exact"/>
        <w:rPr>
          <w:sz w:val="20"/>
          <w:szCs w:val="20"/>
          <w:color w:val="auto"/>
        </w:rPr>
      </w:pPr>
    </w:p>
    <w:p>
      <w:pPr>
        <w:ind w:right="20" w:firstLine="245"/>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indicated on February 15,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Borders>
              <w:bottom w:val="single" w:sz="8" w:color="231F20"/>
            </w:tcBorders>
          </w:tcPr>
          <w:p>
            <w:pPr>
              <w:ind w:left="1940"/>
              <w:spacing w:after="0"/>
              <w:rPr>
                <w:sz w:val="20"/>
                <w:szCs w:val="20"/>
                <w:color w:val="auto"/>
              </w:rPr>
            </w:pPr>
            <w:r>
              <w:rPr>
                <w:rFonts w:ascii="Times New Roman" w:cs="Times New Roman" w:eastAsia="Times New Roman" w:hAnsi="Times New Roman"/>
                <w:sz w:val="16"/>
                <w:szCs w:val="16"/>
                <w:b w:val="1"/>
                <w:bCs w:val="1"/>
                <w:color w:val="231F20"/>
              </w:rPr>
              <w:t>Signature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60" w:type="dxa"/>
            <w:vAlign w:val="bottom"/>
            <w:tcBorders>
              <w:bottom w:val="single" w:sz="8" w:color="231F20"/>
            </w:tcBorders>
          </w:tcPr>
          <w:p>
            <w:pPr>
              <w:ind w:left="2920"/>
              <w:spacing w:after="0"/>
              <w:rPr>
                <w:sz w:val="20"/>
                <w:szCs w:val="20"/>
                <w:color w:val="auto"/>
              </w:rPr>
            </w:pPr>
            <w:r>
              <w:rPr>
                <w:rFonts w:ascii="Times New Roman" w:cs="Times New Roman" w:eastAsia="Times New Roman" w:hAnsi="Times New Roman"/>
                <w:sz w:val="16"/>
                <w:szCs w:val="16"/>
                <w:b w:val="1"/>
                <w:bCs w:val="1"/>
                <w:color w:val="231F20"/>
              </w:rPr>
              <w:t>Title</w:t>
            </w:r>
          </w:p>
        </w:tc>
      </w:tr>
      <w:tr>
        <w:trPr>
          <w:trHeight w:val="443"/>
        </w:trPr>
        <w:tc>
          <w:tcPr>
            <w:tcW w:w="45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/s/ Joshua Easterly</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Chief Executive Officer, Director and Chairman of the Board of Directors</w:t>
            </w:r>
          </w:p>
        </w:tc>
      </w:tr>
      <w:tr>
        <w:trPr>
          <w:trHeight w:val="261"/>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Joshua Easterly</w:t>
            </w:r>
          </w:p>
        </w:tc>
        <w:tc>
          <w:tcPr>
            <w:tcW w:w="80" w:type="dxa"/>
            <w:vAlign w:val="bottom"/>
          </w:tcPr>
          <w:p>
            <w:pPr>
              <w:spacing w:after="0"/>
              <w:rPr>
                <w:sz w:val="22"/>
                <w:szCs w:val="22"/>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(Principal Executive Officer)</w:t>
            </w:r>
          </w:p>
        </w:tc>
      </w:tr>
      <w:tr>
        <w:trPr>
          <w:trHeight w:val="448"/>
        </w:trPr>
        <w:tc>
          <w:tcPr>
            <w:tcW w:w="45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/s/ Ian Simmonds</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Chief Financial Officer (Principal Financial Officer)</w:t>
            </w:r>
          </w:p>
        </w:tc>
      </w:tr>
      <w:tr>
        <w:trPr>
          <w:trHeight w:val="261"/>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Ian Simmonds</w:t>
            </w: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32"/>
        </w:trPr>
        <w:tc>
          <w:tcPr>
            <w:tcW w:w="45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/s/ Michael Graf</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Deputy Chief Financial Officer (Principal Accounting Officer)</w:t>
            </w:r>
          </w:p>
        </w:tc>
      </w:tr>
      <w:tr>
        <w:trPr>
          <w:trHeight w:val="261"/>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Michael Graf</w:t>
            </w: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32"/>
        </w:trPr>
        <w:tc>
          <w:tcPr>
            <w:tcW w:w="45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/s/ John A. Ross</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Director and Chairman of the Audit Committee</w:t>
            </w:r>
          </w:p>
        </w:tc>
      </w:tr>
      <w:tr>
        <w:trPr>
          <w:trHeight w:val="261"/>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John A. Ross</w:t>
            </w: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3"/>
        </w:trPr>
        <w:tc>
          <w:tcPr>
            <w:tcW w:w="45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/s/ P. Emery Covington</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61"/>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 Emery Covington</w:t>
            </w: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72"/>
        </w:trPr>
        <w:tc>
          <w:tcPr>
            <w:tcW w:w="45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/s/ Hurley Doddy</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61"/>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Hurley Doddy</w:t>
            </w: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/s/ Michael Fishman</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61"/>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Michael Fishman</w:t>
            </w: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/s/ Jennifer Gordon</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61"/>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Jennifer Gordon</w:t>
            </w: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 Richard A. Higginbotham</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61"/>
        </w:trPr>
        <w:tc>
          <w:tcPr>
            <w:tcW w:w="454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Richard A. Higginbotham</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 Judy Slotkin</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61"/>
        </w:trPr>
        <w:tc>
          <w:tcPr>
            <w:tcW w:w="454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Judy Slotkin</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 David Stiepleman</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61"/>
        </w:trPr>
        <w:tc>
          <w:tcPr>
            <w:tcW w:w="454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David Stiepleman</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352"/>
        </w:trPr>
        <w:tc>
          <w:tcPr>
            <w:tcW w:w="4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 Ronald K. Tanemura</w:t>
            </w:r>
          </w:p>
        </w:tc>
        <w:tc>
          <w:tcPr>
            <w:tcW w:w="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r>
      <w:tr>
        <w:trPr>
          <w:trHeight w:val="261"/>
        </w:trPr>
        <w:tc>
          <w:tcPr>
            <w:tcW w:w="454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Ronald K. Tanemura</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6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92</w:t>
      </w:r>
    </w:p>
    <w:sectPr>
      <w:pgSz w:w="12240" w:h="15840" w:orient="portrait"/>
      <w:cols w:equalWidth="0" w:num="1">
        <w:col w:w="10800"/>
      </w:cols>
      <w:pgMar w:left="720" w:top="926" w:right="720" w:bottom="1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4"/>
      <w:numFmt w:val="bullet"/>
      <w:start w:val="1"/>
    </w:lvl>
  </w:abstractNum>
  <w:abstractNum w:abstractNumId="1">
    <w:nsid w:val="275AC794"/>
    <w:multiLevelType w:val="hybridMultilevel"/>
    <w:lvl w:ilvl="0">
      <w:lvlJc w:val="left"/>
      <w:lvlText w:val="%5"/>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1)"/>
      <w:numFmt w:val="decimal"/>
      <w:start w:val="1"/>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1)"/>
      <w:numFmt w:val="decimal"/>
      <w:start w:val="2"/>
    </w:lvl>
  </w:abstractNum>
  <w:abstractNum w:abstractNumId="16">
    <w:nsid w:val="579BE4F1"/>
    <w:multiLevelType w:val="hybridMultilevel"/>
    <w:lvl w:ilvl="0">
      <w:lvlJc w:val="left"/>
      <w:lvlText w:val="(%1)"/>
      <w:numFmt w:val="decimal"/>
      <w:start w:val="1"/>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1)"/>
      <w:numFmt w:val="lowerRoman"/>
      <w:start w:val="2"/>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1)"/>
      <w:numFmt w:val="lowerRoman"/>
      <w:start w:val="1"/>
    </w:lvl>
  </w:abstractNum>
  <w:abstractNum w:abstractNumId="22">
    <w:nsid w:val="4AD084E9"/>
    <w:multiLevelType w:val="hybridMultilevel"/>
    <w:lvl w:ilvl="0">
      <w:lvlJc w:val="left"/>
      <w:lvlText w:val="(%1)"/>
      <w:numFmt w:val="lowerRoman"/>
      <w:start w:val="2"/>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lvl w:ilvl="1">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1)"/>
      <w:numFmt w:val="decimal"/>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1)"/>
      <w:numFmt w:val="decimal"/>
      <w:start w:val="1"/>
    </w:lvl>
  </w:abstractNum>
  <w:abstractNum w:abstractNumId="55">
    <w:nsid w:val="1A27709E"/>
    <w:multiLevelType w:val="hybridMultilevel"/>
    <w:lvl w:ilvl="0">
      <w:lvlJc w:val="left"/>
      <w:lvlText w:val="(%1)"/>
      <w:numFmt w:val="decimal"/>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1)"/>
      <w:numFmt w:val="decimal"/>
      <w:start w:val="1"/>
    </w:lvl>
  </w:abstractNum>
  <w:abstractNum w:abstractNumId="62">
    <w:nsid w:val="885E1B"/>
    <w:multiLevelType w:val="hybridMultilevel"/>
    <w:lvl w:ilvl="0">
      <w:lvlJc w:val="left"/>
      <w:lvlText w:val="(%1)"/>
      <w:numFmt w:val="decimal"/>
      <w:start w:val="1"/>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1"/>
      <w:numFmt w:val="decimal"/>
      <w:start w:val="1"/>
    </w:lvl>
    <w:lvl w:ilvl="1">
      <w:lvlJc w:val="left"/>
      <w:lvlText w:val="%2)"/>
      <w:numFmt w:val="lowerLetter"/>
      <w:start w:val="1"/>
    </w:lvl>
  </w:abstractNum>
  <w:abstractNum w:abstractNumId="71">
    <w:nsid w:val="46B7D447"/>
    <w:multiLevelType w:val="hybridMultilevel"/>
    <w:lvl w:ilvl="0">
      <w:lvlJc w:val="left"/>
      <w:lvlText w:val="(%1)"/>
      <w:numFmt w:val="decimal"/>
      <w:start w:val="1"/>
    </w:lvl>
    <w:lvl w:ilvl="1">
      <w:lvlJc w:val="left"/>
      <w:lvlText w:val="%2"/>
      <w:numFmt w:val="lowerLetter"/>
      <w:start w:val="1"/>
    </w:lvl>
  </w:abstractNum>
  <w:abstractNum w:abstractNumId="72">
    <w:nsid w:val="4A2AC315"/>
    <w:multiLevelType w:val="hybridMultilevel"/>
    <w:lvl w:ilvl="0">
      <w:lvlJc w:val="left"/>
      <w:lvlText w:val="(%1)"/>
      <w:numFmt w:val="decimal"/>
      <w:start w:val="5"/>
    </w:lvl>
  </w:abstractNum>
  <w:abstractNum w:abstractNumId="73">
    <w:nsid w:val="39EE015C"/>
    <w:multiLevelType w:val="hybridMultilevel"/>
    <w:lvl w:ilvl="0">
      <w:lvlJc w:val="left"/>
      <w:lvlText w:val="%1"/>
      <w:numFmt w:val="decimal"/>
      <w:start w:val="1"/>
    </w:lvl>
    <w:lvl w:ilvl="1">
      <w:lvlJc w:val="left"/>
      <w:lvlText w:val="(%2)"/>
      <w:numFmt w:val="lowerLetter"/>
      <w:start w:val="1"/>
    </w:lvl>
  </w:abstractNum>
  <w:abstractNum w:abstractNumId="74">
    <w:nsid w:val="57FC4FBB"/>
    <w:multiLevelType w:val="hybridMultilevel"/>
    <w:lvl w:ilvl="0">
      <w:lvlJc w:val="left"/>
      <w:lvlText w:val="(%1)"/>
      <w:numFmt w:val="decimal"/>
      <w:start w:val="7"/>
    </w:lvl>
    <w:lvl w:ilvl="1">
      <w:lvlJc w:val="left"/>
      <w:lvlText w:val="%2"/>
      <w:numFmt w:val="lowerLetter"/>
      <w:start w:val="1"/>
    </w:lvl>
  </w:abstractNum>
  <w:abstractNum w:abstractNumId="75">
    <w:nsid w:val="CC1016F"/>
    <w:multiLevelType w:val="hybridMultilevel"/>
    <w:lvl w:ilvl="0">
      <w:lvlJc w:val="left"/>
      <w:lvlText w:val="%1"/>
      <w:numFmt w:val="decimal"/>
      <w:start w:val="1"/>
    </w:lvl>
    <w:lvl w:ilvl="1">
      <w:lvlJc w:val="left"/>
      <w:lvlText w:val="(%2)"/>
      <w:numFmt w:val="lowerLetter"/>
      <w:start w:val="1"/>
    </w:lvl>
  </w:abstractNum>
  <w:abstractNum w:abstractNumId="76">
    <w:nsid w:val="43F18422"/>
    <w:multiLevelType w:val="hybridMultilevel"/>
    <w:lvl w:ilvl="0">
      <w:lvlJc w:val="left"/>
      <w:lvlText w:val="(%1)"/>
      <w:numFmt w:val="decimal"/>
      <w:start w:val="1"/>
    </w:lvl>
    <w:lvl w:ilvl="1">
      <w:lvlJc w:val="left"/>
      <w:lvlText w:val="%2"/>
      <w:numFmt w:val="lowerLetter"/>
      <w:start w:val="1"/>
    </w:lvl>
  </w:abstractNum>
  <w:abstractNum w:abstractNumId="77">
    <w:nsid w:val="60EF0119"/>
    <w:multiLevelType w:val="hybridMultilevel"/>
    <w:lvl w:ilvl="0">
      <w:lvlJc w:val="left"/>
      <w:lvlText w:val="%1"/>
      <w:numFmt w:val="decimal"/>
      <w:start w:val="1"/>
    </w:lvl>
    <w:lvl w:ilvl="1">
      <w:lvlJc w:val="left"/>
      <w:lvlText w:val="(%2)"/>
      <w:numFmt w:val="lowerLetter"/>
      <w:start w:val="1"/>
    </w:lvl>
  </w:abstractNum>
  <w:abstractNum w:abstractNumId="78">
    <w:nsid w:val="26F324BA"/>
    <w:multiLevelType w:val="hybridMultilevel"/>
    <w:lvl w:ilvl="0">
      <w:lvlJc w:val="left"/>
      <w:lvlText w:val="(%1)"/>
      <w:numFmt w:val="decimal"/>
      <w:start w:val="7"/>
    </w:lvl>
    <w:lvl w:ilvl="1">
      <w:lvlJc w:val="left"/>
      <w:lvlText w:val="%2"/>
      <w:numFmt w:val="lowerLetter"/>
      <w:start w:val="1"/>
    </w:lvl>
  </w:abstractNum>
  <w:abstractNum w:abstractNumId="79">
    <w:nsid w:val="7F01579B"/>
    <w:multiLevelType w:val="hybridMultilevel"/>
    <w:lvl w:ilvl="0">
      <w:lvlJc w:val="left"/>
      <w:lvlText w:val="%1"/>
      <w:numFmt w:val="decimal"/>
      <w:start w:val="1"/>
    </w:lvl>
    <w:lvl w:ilvl="1">
      <w:lvlJc w:val="left"/>
      <w:lvlText w:val="(%2)"/>
      <w:numFmt w:val="lowerLetter"/>
      <w:start w:val="1"/>
    </w:lvl>
  </w:abstractNum>
  <w:abstractNum w:abstractNumId="80">
    <w:nsid w:val="49DA307D"/>
    <w:multiLevelType w:val="hybridMultilevel"/>
    <w:lvl w:ilvl="0">
      <w:lvlJc w:val="left"/>
      <w:lvlText w:val="(%1)"/>
      <w:numFmt w:val="decimal"/>
      <w:start w:val="8"/>
    </w:lvl>
    <w:lvl w:ilvl="1">
      <w:lvlJc w:val="left"/>
      <w:lvlText w:val="%2"/>
      <w:numFmt w:val="lowerLetter"/>
      <w:start w:val="1"/>
    </w:lvl>
  </w:abstractNum>
  <w:abstractNum w:abstractNumId="81">
    <w:nsid w:val="7055A5F5"/>
    <w:multiLevelType w:val="hybridMultilevel"/>
    <w:lvl w:ilvl="0">
      <w:lvlJc w:val="left"/>
      <w:lvlText w:val="(%1)"/>
      <w:numFmt w:val="decimal"/>
      <w:start w:val="1"/>
    </w:lvl>
  </w:abstractNum>
  <w:abstractNum w:abstractNumId="82">
    <w:nsid w:val="5FB8370B"/>
    <w:multiLevelType w:val="hybridMultilevel"/>
    <w:lvl w:ilvl="0">
      <w:lvlJc w:val="left"/>
      <w:lvlText w:val="%1."/>
      <w:numFmt w:val="decimal"/>
      <w:start w:val="1"/>
    </w:lvl>
  </w:abstractNum>
  <w:abstractNum w:abstractNumId="83">
    <w:nsid w:val="50801EE1"/>
    <w:multiLevelType w:val="hybridMultilevel"/>
    <w:lvl w:ilvl="0">
      <w:lvlJc w:val="left"/>
      <w:lvlText w:val="%1."/>
      <w:numFmt w:val="decimal"/>
      <w:start w:val="2"/>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1."/>
      <w:numFmt w:val="decimal"/>
      <w:start w:val="3"/>
    </w:lvl>
  </w:abstractNum>
  <w:abstractNum w:abstractNumId="88">
    <w:nsid w:val="6FC75AF8"/>
    <w:multiLevelType w:val="hybridMultilevel"/>
    <w:lvl w:ilvl="0">
      <w:lvlJc w:val="left"/>
      <w:lvlText w:val="%1."/>
      <w:numFmt w:val="decimal"/>
      <w:start w:val="1"/>
    </w:lvl>
  </w:abstractNum>
  <w:abstractNum w:abstractNumId="89">
    <w:nsid w:val="6A5F7029"/>
    <w:multiLevelType w:val="hybridMultilevel"/>
    <w:lvl w:ilvl="0">
      <w:lvlJc w:val="left"/>
      <w:lvlText w:val="(%1)"/>
      <w:numFmt w:val="decimal"/>
      <w:start w:val="1"/>
    </w:lvl>
  </w:abstractNum>
  <w:abstractNum w:abstractNumId="90">
    <w:nsid w:val="7D5E18F8"/>
    <w:multiLevelType w:val="hybridMultilevel"/>
    <w:lvl w:ilvl="0">
      <w:lvlJc w:val="left"/>
      <w:lvlText w:val="%1"/>
      <w:numFmt w:val="decimal"/>
      <w:start w:val="1"/>
    </w:lvl>
    <w:lvl w:ilvl="1">
      <w:lvlJc w:val="left"/>
      <w:lvlText w:val="(%2)"/>
      <w:numFmt w:val="decimal"/>
      <w:start w:val="1"/>
    </w:lvl>
  </w:abstractNum>
  <w:abstractNum w:abstractNumId="91">
    <w:nsid w:val="5F3534A4"/>
    <w:multiLevelType w:val="hybridMultilevel"/>
    <w:lvl w:ilvl="0">
      <w:lvlJc w:val="left"/>
      <w:lvlText w:val="%1."/>
      <w:numFmt w:val="decimal"/>
      <w:start w:val="5"/>
    </w:lvl>
    <w:lvl w:ilvl="1">
      <w:lvlJc w:val="left"/>
      <w:lvlText w:val="%2"/>
      <w:numFmt w:val="decimal"/>
      <w:start w:val="1"/>
    </w:lvl>
  </w:abstractNum>
  <w:abstractNum w:abstractNumId="92">
    <w:nsid w:val="73A1821B"/>
    <w:multiLevelType w:val="hybridMultilevel"/>
    <w:lvl w:ilvl="0">
      <w:lvlJc w:val="left"/>
      <w:lvlText w:val="(%1)"/>
      <w:numFmt w:val="decimal"/>
      <w:start w:val="1"/>
    </w:lvl>
  </w:abstractNum>
  <w:abstractNum w:abstractNumId="93">
    <w:nsid w:val="7DE67713"/>
    <w:multiLevelType w:val="hybridMultilevel"/>
    <w:lvl w:ilvl="0">
      <w:lvlJc w:val="left"/>
      <w:lvlText w:val="(%1)"/>
      <w:numFmt w:val="decimal"/>
      <w:start w:val="1"/>
    </w:lvl>
  </w:abstractNum>
  <w:abstractNum w:abstractNumId="94">
    <w:nsid w:val="555C55B5"/>
    <w:multiLevelType w:val="hybridMultilevel"/>
    <w:lvl w:ilvl="0">
      <w:lvlJc w:val="left"/>
      <w:lvlText w:val="%1."/>
      <w:numFmt w:val="decimal"/>
      <w:start w:val="6"/>
    </w:lvl>
  </w:abstractNum>
  <w:abstractNum w:abstractNumId="95">
    <w:nsid w:val="3FA62ACA"/>
    <w:multiLevelType w:val="hybridMultilevel"/>
    <w:lvl w:ilvl="0">
      <w:lvlJc w:val="left"/>
      <w:lvlText w:val="(%1)"/>
      <w:numFmt w:val="decimal"/>
      <w:start w:val="1"/>
    </w:lvl>
  </w:abstractNum>
  <w:abstractNum w:abstractNumId="96">
    <w:nsid w:val="14FCE74E"/>
    <w:multiLevelType w:val="hybridMultilevel"/>
    <w:lvl w:ilvl="0">
      <w:lvlJc w:val="left"/>
      <w:lvlText w:val="(%1)"/>
      <w:numFmt w:val="decimal"/>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decimal"/>
      <w:start w:val="8"/>
    </w:lvl>
  </w:abstractNum>
  <w:abstractNum w:abstractNumId="101">
    <w:nsid w:val="1FBFE8E0"/>
    <w:multiLevelType w:val="hybridMultilevel"/>
    <w:lvl w:ilvl="0">
      <w:lvlJc w:val="left"/>
      <w:lvlText w:val="(%1)"/>
      <w:numFmt w:val="decimal"/>
      <w:start w:val="1"/>
    </w:lvl>
  </w:abstractNum>
  <w:abstractNum w:abstractNumId="102">
    <w:nsid w:val="5092CA79"/>
    <w:multiLevelType w:val="hybridMultilevel"/>
    <w:lvl w:ilvl="0">
      <w:lvlJc w:val="left"/>
      <w:lvlText w:val="(%1)"/>
      <w:numFmt w:val="decimal"/>
      <w:start w:val="2"/>
    </w:lvl>
  </w:abstractNum>
  <w:abstractNum w:abstractNumId="103">
    <w:nsid w:val="1D545C4D"/>
    <w:multiLevelType w:val="hybridMultilevel"/>
    <w:lvl w:ilvl="0">
      <w:lvlJc w:val="left"/>
      <w:lvlText w:val="(%1)"/>
      <w:numFmt w:val="lowerRoman"/>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decimal"/>
      <w:start w:val="1"/>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2024-04-12T16:08:47Z</dcterms:created>
  <dcterms:modified xsi:type="dcterms:W3CDTF">2024-04-12T16:08:47Z</dcterms:modified>
</cp:coreProperties>
</file>