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8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001-36364</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080" w:type="dxa"/>
            <w:vAlign w:val="bottom"/>
          </w:tcPr>
          <w:p>
            <w:pPr>
              <w:jc w:val="center"/>
              <w:ind w:right="22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8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80" w:type="dxa"/>
            <w:vAlign w:val="bottom"/>
          </w:tcPr>
          <w:p>
            <w:pPr>
              <w:jc w:val="center"/>
              <w:ind w:left="1179"/>
              <w:spacing w:after="0"/>
              <w:rPr>
                <w:sz w:val="20"/>
                <w:szCs w:val="20"/>
                <w:color w:val="auto"/>
              </w:rPr>
            </w:pPr>
            <w:r>
              <w:rPr>
                <w:rFonts w:ascii="Arial" w:cs="Arial" w:eastAsia="Arial" w:hAnsi="Arial"/>
                <w:sz w:val="18"/>
                <w:szCs w:val="18"/>
                <w:b w:val="1"/>
                <w:bCs w:val="1"/>
                <w:color w:val="auto"/>
                <w:w w:val="89"/>
              </w:rPr>
              <w:t>301 Commerce Street, Suite 3300</w:t>
            </w: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80" w:type="dxa"/>
            <w:vAlign w:val="bottom"/>
          </w:tcPr>
          <w:p>
            <w:pPr>
              <w:jc w:val="center"/>
              <w:ind w:left="1199"/>
              <w:spacing w:after="0"/>
              <w:rPr>
                <w:sz w:val="20"/>
                <w:szCs w:val="20"/>
                <w:color w:val="auto"/>
              </w:rPr>
            </w:pPr>
            <w:r>
              <w:rPr>
                <w:rFonts w:ascii="Arial" w:cs="Arial" w:eastAsia="Arial" w:hAnsi="Arial"/>
                <w:sz w:val="18"/>
                <w:szCs w:val="18"/>
                <w:b w:val="1"/>
                <w:bCs w:val="1"/>
                <w:color w:val="auto"/>
                <w:w w:val="99"/>
              </w:rPr>
              <w:t>Fort Worth, TX</w:t>
            </w:r>
          </w:p>
        </w:tc>
        <w:tc>
          <w:tcPr>
            <w:tcW w:w="228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080" w:type="dxa"/>
            <w:vAlign w:val="bottom"/>
          </w:tcPr>
          <w:p>
            <w:pPr>
              <w:jc w:val="center"/>
              <w:ind w:left="11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8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October 25, 2019, TPG Specialty Lending, Inc. (the “Company”) entered into an underwriting agreement (the “Underwriting Agreement”) by and among the Company, TSL Advisers, LLC (the “Adviser”) and BofA Securities, Inc., as representative of the several underwriters named in Schedule I thereto (the “Underwriters”), in connection with the issuance and sale of $300,000,000 aggregate principal amount of the Company’s 3.875% Notes due 2024 (the “Offering”).</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Offering was made pursuant to the Company’s effective shelf registration statement on Form N-2 (Registration No. 333-231271) previously filed with the Securities and Exchange Commission, as supplemented by a preliminary prospectus supplement dated October 25, 2019 and a final prospectus supplement dated October 25, 2019.</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full text of the Underwriting Agreement filed with this report as Exhibit 1.1 and which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0100" w:type="dxa"/>
            <w:vAlign w:val="bottom"/>
            <w:gridSpan w:val="2"/>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5"/>
                <w:szCs w:val="15"/>
                <w:color w:val="auto"/>
              </w:rPr>
            </w:pPr>
          </w:p>
        </w:tc>
        <w:tc>
          <w:tcPr>
            <w:tcW w:w="101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3"/>
                <w:szCs w:val="23"/>
                <w:color w:val="auto"/>
              </w:rPr>
            </w:pPr>
          </w:p>
        </w:tc>
        <w:tc>
          <w:tcPr>
            <w:tcW w:w="824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Underwriting Agreement, dated October 25, 2019, by and among the Company, the Adviser and the Underwriters.</w:t>
              </w:r>
            </w:hyperlink>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jc w:val="center"/>
        <w:ind w:left="288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9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October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4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3.875% Notes due 2024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October 25,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TPG Specialty Lending, Inc., a Delaware corporation (the “Company”), proposes, subject to the terms and conditions stated herein, to issue and sell to the several Underwriters listed in Schedule 1 hereto (the “Underwriters”), for whom you are acting as representative (in such capacity, the “Representative”), $300,000,000 aggregate principal amount of 3.875% Notes due 2024 of the Company (the “Securities”).</w:t>
      </w:r>
    </w:p>
    <w:p>
      <w:pPr>
        <w:spacing w:after="0" w:line="166"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Securities will be issued under an indenture, dated as of January 22, 2018 (the “Base Indenture”), as supplemented by the Second Supplemental Indenture, to be dated as of the Closing Date (the “Second Supplemental Indenture” and, together with the Base Indenture, the “Indenture”), between the Company and Wells Fargo Bank, National Association, as trustee (the “Trustee”). The Securities will be issued in book-entry form to Cede &amp; Co. as nominee of the Depository Trust Company (“DTC”) pursuant to a blanket letter of representations, dated as of March 24, 2014, between the Company and DTC.</w:t>
      </w:r>
    </w:p>
    <w:p>
      <w:pPr>
        <w:spacing w:after="0" w:line="18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 deems advisable after this Agreement has been executed and delivered.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hereby confirms its agreement with the several Underwriters concerning the purchase and sale of the Securities, as follows:</w:t>
      </w:r>
    </w:p>
    <w:p>
      <w:pPr>
        <w:spacing w:after="0" w:line="129" w:lineRule="exact"/>
        <w:rPr>
          <w:sz w:val="20"/>
          <w:szCs w:val="20"/>
          <w:color w:val="auto"/>
        </w:rPr>
      </w:pPr>
    </w:p>
    <w:p>
      <w:pPr>
        <w:ind w:right="120" w:firstLine="444"/>
        <w:spacing w:after="0" w:line="264" w:lineRule="auto"/>
        <w:tabs>
          <w:tab w:leader="none" w:pos="621"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333-231271), relating to the Securities and</w:t>
      </w:r>
    </w:p>
    <w:p>
      <w:pPr>
        <w:sectPr>
          <w:pgSz w:w="11900" w:h="16838" w:orient="portrait"/>
          <w:cols w:equalWidth="0" w:num="1">
            <w:col w:w="11020"/>
          </w:cols>
          <w:pgMar w:left="440" w:top="121" w:right="439" w:bottom="1440" w:gutter="0" w:footer="0" w:header="0"/>
        </w:sectPr>
      </w:pPr>
    </w:p>
    <w:bookmarkStart w:id="4" w:name="page5"/>
    <w:bookmarkEnd w:id="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of the Company’s other securities, which registration statement became effective upon filing with the Commission on May 7, 2019. The Company has also prepared and filed with the Commission a preliminary prospectus supplement, dated October 25, 2019, as such prospectus may be amended (the “Preliminary Prospectus Supplement”), which contains a base prospectus, dated May 7, 2019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or Rule 430C (“Rule 430C”) promulgated under the Securities Act and Rule 497 (“Rule 497”). The information included or incorporated by reference in such prospectus that was omitted from such registration statement at the time it became effective but that is deemed to be part of such registration statement pursuant to Rule 430C is referred to as “Rule 430C Information” and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or Rule 430C Information contained in a prospectus subsequently filed with the Commission pursuant to Rule 497 under the Securities Act and deemed to be part of the registration statement and also including any registration statement filed pursuant to Rule 462(b) promulgated under the Securities Act, is herein called the “Registration Statement.” The final prospectus to be filed with the Commission pursuant to Rule 497 after the Applicable Time (as defined below) and to be used to confirm sales of the Securities, which will include the Base Prospectus, together with a final prospectus supplement, is hereinafter referred to as the “Prospectus.” Any reference herein to the Registration Statement, the Preliminary Prospectus and the Prospectus shall be deemed to refer to and include all financial statements and other information incorporated or deemed to be incorporated therein by reference pursuant to the Small Business Credit Availability Act (the “SBCAA”) or the rules of the Commission promulgated under the Securities Act, as of any specified date. All references in this Agreement to amendments or supplements to the Registration Statement or the Prospectus, including those made pursuant to Rule 497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in or otherwise deemed under the SBCAA or the rules of the Commission promulgated thereunder or otherwise to be a part of or included in the Registration Statement or the Prospectus, as the case may be, as of any specified date.</w:t>
      </w:r>
    </w:p>
    <w:p>
      <w:pPr>
        <w:spacing w:after="0" w:line="396"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ind w:right="8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entered into an Amended and Restated Investment Advisory and Management Agreement, dated as of December 12,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 Company has also entered into an Amended and Restated Administration Agreement, dated as of February 22, 2017 (the “Administration Agreement”) with the Adviser.</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At or prior to the Applicable Time, the Company had prepared the Preliminary Prospectus, which together with the information set forth on Schedule 2 hereto, comprises the “Pricing Disclosure Package.”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Time” means 1:00 P.M., New York City time, on October 25, 2019.</w:t>
      </w:r>
    </w:p>
    <w:p>
      <w:pPr>
        <w:spacing w:after="0" w:line="225" w:lineRule="exact"/>
        <w:rPr>
          <w:sz w:val="20"/>
          <w:szCs w:val="20"/>
          <w:color w:val="auto"/>
        </w:rPr>
      </w:pPr>
    </w:p>
    <w:p>
      <w:pPr>
        <w:ind w:left="620" w:hanging="176"/>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Purchase of the Securities by the Underwriters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20" w:firstLine="428"/>
        <w:spacing w:after="0" w:line="259" w:lineRule="auto"/>
        <w:tabs>
          <w:tab w:leader="none" w:pos="110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aggregate principal amount of Securities set forth opposite such Underwriter’s name in Schedule 1 hereto at the price (the “Purchase Price”) set forth in Schedule 1 hereto.</w:t>
      </w:r>
    </w:p>
    <w:p>
      <w:pPr>
        <w:spacing w:after="0" w:line="78" w:lineRule="exact"/>
        <w:rPr>
          <w:rFonts w:ascii="Arial" w:cs="Arial" w:eastAsia="Arial" w:hAnsi="Arial"/>
          <w:sz w:val="18"/>
          <w:szCs w:val="18"/>
          <w:color w:val="auto"/>
        </w:rPr>
      </w:pPr>
    </w:p>
    <w:p>
      <w:pPr>
        <w:jc w:val="both"/>
        <w:ind w:left="440" w:right="120" w:firstLine="428"/>
        <w:spacing w:after="0" w:line="264" w:lineRule="auto"/>
        <w:tabs>
          <w:tab w:leader="none" w:pos="111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offer the Securities for resale on the terms set forth in the Pricing Disclosure Package and the Prospectus, as in the judgment of the Representative is advisable. The Company acknowledges and agrees that the Underwriters may offer and sell Securities to or through any affiliate of an Underwriter.</w:t>
      </w:r>
    </w:p>
    <w:p>
      <w:pPr>
        <w:spacing w:after="0" w:line="73" w:lineRule="exact"/>
        <w:rPr>
          <w:rFonts w:ascii="Arial" w:cs="Arial" w:eastAsia="Arial" w:hAnsi="Arial"/>
          <w:sz w:val="18"/>
          <w:szCs w:val="18"/>
          <w:color w:val="auto"/>
        </w:rPr>
      </w:pPr>
    </w:p>
    <w:p>
      <w:pPr>
        <w:ind w:left="440" w:right="20" w:firstLine="428"/>
        <w:spacing w:after="0" w:line="257" w:lineRule="auto"/>
        <w:tabs>
          <w:tab w:leader="none" w:pos="1108" w:val="left"/>
        </w:tabs>
        <w:numPr>
          <w:ilvl w:val="1"/>
          <w:numId w:val="3"/>
        </w:numPr>
        <w:rPr>
          <w:rFonts w:ascii="Arial" w:cs="Arial" w:eastAsia="Arial" w:hAnsi="Arial"/>
          <w:sz w:val="18"/>
          <w:szCs w:val="18"/>
          <w:color w:val="auto"/>
        </w:rPr>
      </w:pPr>
      <w:r>
        <w:rPr>
          <w:rFonts w:ascii="Arial" w:cs="Arial" w:eastAsia="Arial" w:hAnsi="Arial"/>
          <w:sz w:val="18"/>
          <w:szCs w:val="18"/>
          <w:color w:val="auto"/>
        </w:rPr>
        <w:t>Payment for the Securities shall be made by wire transfer in immediately available funds to the account specified by the Company to the Representative, at the offices of Ropes &amp; Gray LLP, 1211 Avenue of the Americas, New York, NY 10036, at 10:00 A.M., New York City time, on November 1, 2019, or at such other time or place on the same or such other date, not later than the fifth business day thereafter, as the Representative and the Company may agree upon in writing. The time and date of such payment for the Securities is referred to herein as the “Closing Date.”</w:t>
      </w:r>
    </w:p>
    <w:p>
      <w:pPr>
        <w:spacing w:after="0" w:line="80" w:lineRule="exact"/>
        <w:rPr>
          <w:sz w:val="20"/>
          <w:szCs w:val="20"/>
          <w:color w:val="auto"/>
        </w:rPr>
      </w:pPr>
    </w:p>
    <w:p>
      <w:pPr>
        <w:ind w:left="440" w:firstLine="423"/>
        <w:spacing w:after="0" w:line="312" w:lineRule="auto"/>
        <w:rPr>
          <w:sz w:val="20"/>
          <w:szCs w:val="20"/>
          <w:color w:val="auto"/>
        </w:rPr>
      </w:pPr>
      <w:r>
        <w:rPr>
          <w:rFonts w:ascii="Arial" w:cs="Arial" w:eastAsia="Arial" w:hAnsi="Arial"/>
          <w:sz w:val="16"/>
          <w:szCs w:val="16"/>
          <w:color w:val="auto"/>
        </w:rPr>
        <w:t>Payment for the Securities shall be made against delivery to the Representative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 shall otherwise instruct.</w:t>
      </w:r>
    </w:p>
    <w:p>
      <w:pPr>
        <w:spacing w:after="0" w:line="39" w:lineRule="exact"/>
        <w:rPr>
          <w:sz w:val="20"/>
          <w:szCs w:val="20"/>
          <w:color w:val="auto"/>
        </w:rPr>
      </w:pPr>
    </w:p>
    <w:p>
      <w:pPr>
        <w:ind w:left="1120" w:hanging="252"/>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w:t>
      </w:r>
    </w:p>
    <w:p>
      <w:pPr>
        <w:spacing w:after="0" w:line="34" w:lineRule="exact"/>
        <w:rPr>
          <w:rFonts w:ascii="Arial" w:cs="Arial" w:eastAsia="Arial" w:hAnsi="Arial"/>
          <w:sz w:val="17"/>
          <w:szCs w:val="17"/>
          <w:color w:val="auto"/>
        </w:rPr>
      </w:pPr>
    </w:p>
    <w:p>
      <w:pPr>
        <w:ind w:left="440" w:right="160"/>
        <w:spacing w:after="0" w:line="261" w:lineRule="auto"/>
        <w:rPr>
          <w:rFonts w:ascii="Arial" w:cs="Arial" w:eastAsia="Arial" w:hAnsi="Arial"/>
          <w:sz w:val="17"/>
          <w:szCs w:val="17"/>
          <w:color w:val="auto"/>
        </w:rPr>
      </w:pPr>
      <w:r>
        <w:rPr>
          <w:rFonts w:ascii="Arial" w:cs="Arial" w:eastAsia="Arial" w:hAnsi="Arial"/>
          <w:sz w:val="18"/>
          <w:szCs w:val="18"/>
          <w:color w:val="auto"/>
        </w:rPr>
        <w:t>counterparty to the Company with respect to the offering of Securities contemplated hereby (including in connection with determining the terms of the offering) and not as a financial advisor or a fiduciary to, or an agent of, the Company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58" w:lineRule="exact"/>
        <w:rPr>
          <w:sz w:val="20"/>
          <w:szCs w:val="20"/>
          <w:color w:val="auto"/>
        </w:rPr>
      </w:pPr>
    </w:p>
    <w:p>
      <w:pPr>
        <w:ind w:left="620" w:hanging="176"/>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and agrees with, each Underwriter that:</w:t>
      </w:r>
    </w:p>
    <w:p>
      <w:pPr>
        <w:spacing w:after="0" w:line="128" w:lineRule="exact"/>
        <w:rPr>
          <w:rFonts w:ascii="Arial" w:cs="Arial" w:eastAsia="Arial" w:hAnsi="Arial"/>
          <w:sz w:val="17"/>
          <w:szCs w:val="17"/>
          <w:color w:val="auto"/>
        </w:rPr>
      </w:pPr>
    </w:p>
    <w:p>
      <w:pPr>
        <w:ind w:left="440" w:right="80" w:firstLine="428"/>
        <w:spacing w:after="0" w:line="271" w:lineRule="auto"/>
        <w:tabs>
          <w:tab w:leader="none" w:pos="1108"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the Preliminary Prospectus has been issued by the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the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70" w:lineRule="exact"/>
        <w:rPr>
          <w:rFonts w:ascii="Arial" w:cs="Arial" w:eastAsia="Arial" w:hAnsi="Arial"/>
          <w:sz w:val="17"/>
          <w:szCs w:val="17"/>
          <w:color w:val="auto"/>
        </w:rPr>
      </w:pPr>
    </w:p>
    <w:p>
      <w:pPr>
        <w:ind w:left="440" w:right="60" w:firstLine="428"/>
        <w:spacing w:after="0" w:line="287" w:lineRule="auto"/>
        <w:tabs>
          <w:tab w:leader="none" w:pos="1118"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Pricing Disclosure Package and Marketing Materials</w:t>
      </w:r>
      <w:r>
        <w:rPr>
          <w:rFonts w:ascii="Arial" w:cs="Arial" w:eastAsia="Arial" w:hAnsi="Arial"/>
          <w:sz w:val="16"/>
          <w:szCs w:val="16"/>
          <w:color w:val="auto"/>
        </w:rPr>
        <w:t>. The Pricing Disclosure Package and any Marketing Materials (as defined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considered together with the Pricing Disclosure Package, as of the Applicable Time did not, and the Pricing Disclosure Package and any Marketing Materials, considered together with the Pricing Disclosure Package,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or Marketing Materials, it being understood and agreed that the only such information furnished by any Underwriter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ind w:firstLine="428"/>
        <w:spacing w:after="0" w:line="286" w:lineRule="auto"/>
        <w:tabs>
          <w:tab w:leader="none" w:pos="668"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Free Writing Prospectus</w:t>
      </w:r>
      <w:r>
        <w:rPr>
          <w:rFonts w:ascii="Arial" w:cs="Arial" w:eastAsia="Arial" w:hAnsi="Arial"/>
          <w:sz w:val="16"/>
          <w:szCs w:val="16"/>
          <w:color w:val="auto"/>
        </w:rPr>
        <w:t>. The Company (including its agents and representatives, other than the Underwriters in their capacity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has not made, used, prepared,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w:t>
      </w:r>
    </w:p>
    <w:p>
      <w:pPr>
        <w:spacing w:after="0" w:line="1" w:lineRule="exact"/>
        <w:rPr>
          <w:rFonts w:ascii="Arial" w:cs="Arial" w:eastAsia="Arial" w:hAnsi="Arial"/>
          <w:sz w:val="16"/>
          <w:szCs w:val="16"/>
          <w:color w:val="auto"/>
        </w:rPr>
      </w:pPr>
    </w:p>
    <w:p>
      <w:pPr>
        <w:ind w:right="40" w:firstLine="4"/>
        <w:spacing w:after="0" w:line="267"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below) an “Issuer Free Writing Prospectus”) other than (i) any document not constituting a prospectus pursuant to Section 2(a)(10)(a) of the Securities Act or Rule 134 under the Securities Act, (ii) the Registration Statement, (iii) the Preliminary Prospectus, (iv) the Prospectus, (v) the documents listed on Schedule 2 hereto, including a Pricing Term Sheet substantially in the form of Annex A hereto and (vi) any electronic road show or other written communications, in each case approved in writing in advance by the Representative, such approval not to be unreasonably withheld. Each such Issuer Free Writing Prospectus, if any,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Section 8(b) hereof.</w:t>
      </w:r>
    </w:p>
    <w:p>
      <w:pPr>
        <w:spacing w:after="0" w:line="75" w:lineRule="exact"/>
        <w:rPr>
          <w:rFonts w:ascii="Arial" w:cs="Arial" w:eastAsia="Arial" w:hAnsi="Arial"/>
          <w:sz w:val="17"/>
          <w:szCs w:val="17"/>
          <w:color w:val="auto"/>
        </w:rPr>
      </w:pPr>
    </w:p>
    <w:p>
      <w:pPr>
        <w:ind w:firstLine="428"/>
        <w:spacing w:after="0" w:line="264" w:lineRule="auto"/>
        <w:tabs>
          <w:tab w:leader="none" w:pos="678"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Documents Incorporated by Reference</w:t>
      </w:r>
      <w:r>
        <w:rPr>
          <w:rFonts w:ascii="Arial" w:cs="Arial" w:eastAsia="Arial" w:hAnsi="Arial"/>
          <w:sz w:val="18"/>
          <w:szCs w:val="18"/>
          <w:color w:val="auto"/>
        </w:rPr>
        <w:t>. The documents incorporated by reference in each of the Registration Statement,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Preliminary Prospectus, when they became effective or were filed with the Commission, as the case may be, conformed or will conform in all material respects to the requirements of the Exchange Act.</w:t>
      </w:r>
    </w:p>
    <w:p>
      <w:pPr>
        <w:spacing w:after="0" w:line="73" w:lineRule="exact"/>
        <w:rPr>
          <w:rFonts w:ascii="Arial" w:cs="Arial" w:eastAsia="Arial" w:hAnsi="Arial"/>
          <w:sz w:val="18"/>
          <w:szCs w:val="18"/>
          <w:color w:val="auto"/>
        </w:rPr>
      </w:pPr>
    </w:p>
    <w:p>
      <w:pPr>
        <w:ind w:right="40" w:firstLine="428"/>
        <w:spacing w:after="0" w:line="269" w:lineRule="auto"/>
        <w:tabs>
          <w:tab w:leader="none" w:pos="668"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Registration Statement and Prospectus</w:t>
      </w:r>
      <w:r>
        <w:rPr>
          <w:rFonts w:ascii="Arial" w:cs="Arial" w:eastAsia="Arial" w:hAnsi="Arial"/>
          <w:sz w:val="17"/>
          <w:szCs w:val="17"/>
          <w:color w:val="auto"/>
        </w:rPr>
        <w:t>. The Company is eligible to use Form N-2. The Registration Statement became effective upon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filing with 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8" w:name="page9"/>
    <w:bookmarkEnd w:id="8"/>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64" w:lineRule="exact"/>
        <w:rPr>
          <w:sz w:val="20"/>
          <w:szCs w:val="20"/>
          <w:color w:val="auto"/>
        </w:rPr>
      </w:pPr>
    </w:p>
    <w:p>
      <w:pPr>
        <w:ind w:right="20" w:firstLine="428"/>
        <w:spacing w:after="0" w:line="270" w:lineRule="auto"/>
        <w:tabs>
          <w:tab w:leader="none" w:pos="648"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or 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(“U.S.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69" w:lineRule="exact"/>
        <w:rPr>
          <w:rFonts w:ascii="Arial" w:cs="Arial" w:eastAsia="Arial" w:hAnsi="Arial"/>
          <w:sz w:val="17"/>
          <w:szCs w:val="17"/>
          <w:color w:val="auto"/>
        </w:rPr>
      </w:pPr>
    </w:p>
    <w:p>
      <w:pPr>
        <w:ind w:firstLine="428"/>
        <w:spacing w:after="0" w:line="268" w:lineRule="auto"/>
        <w:tabs>
          <w:tab w:leader="none" w:pos="678"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Except as disclosed in the Registration Statement, the Pricing Disclosure Package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since the date of the most recent financial statements of the Company included or incorporated by reference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232,427 shares of common stock of the Company issued on July 15, 2019, 22,656 shares of common stock of the Company issued on September 30, 2019 and 187,202 shares of common stock of the Company issued on October 15, 2019, all of which were issued pursuant to the Company’s dividend reinvestment plan),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74" w:right="439" w:bottom="1440" w:gutter="0" w:footer="0" w:header="0"/>
        </w:sectPr>
      </w:pPr>
    </w:p>
    <w:bookmarkStart w:id="9" w:name="page10"/>
    <w:bookmarkEnd w:id="9"/>
    <w:p>
      <w:pPr>
        <w:ind w:right="40" w:firstLine="428"/>
        <w:spacing w:after="0" w:line="289" w:lineRule="auto"/>
        <w:tabs>
          <w:tab w:leader="none" w:pos="67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Organization and Good Standing. </w:t>
      </w:r>
      <w:r>
        <w:rPr>
          <w:rFonts w:ascii="Arial" w:cs="Arial" w:eastAsia="Arial" w:hAnsi="Arial"/>
          <w:sz w:val="16"/>
          <w:szCs w:val="16"/>
          <w:color w:val="auto"/>
        </w:rPr>
        <w:t>The Company and each of its subsidiaries have been duly organized and are validly existing and in</w:t>
      </w:r>
      <w:r>
        <w:rPr>
          <w:rFonts w:ascii="Arial" w:cs="Arial" w:eastAsia="Arial" w:hAnsi="Arial"/>
          <w:sz w:val="16"/>
          <w:szCs w:val="16"/>
          <w:i w:val="1"/>
          <w:iCs w:val="1"/>
          <w:color w:val="auto"/>
        </w:rPr>
        <w:t xml:space="preserve"> </w:t>
      </w:r>
      <w:r>
        <w:rPr>
          <w:rFonts w:ascii="Arial" w:cs="Arial" w:eastAsia="Arial" w:hAnsi="Arial"/>
          <w:sz w:val="16"/>
          <w:szCs w:val="16"/>
          <w:color w:val="auto"/>
        </w:rPr>
        <w:t>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 “Material Adverse Effect”). The subsidiaries listed in Schedule 3 to this Agreement are the only subsidiaries of the Company.</w:t>
      </w:r>
    </w:p>
    <w:p>
      <w:pPr>
        <w:spacing w:after="0" w:line="58" w:lineRule="exact"/>
        <w:rPr>
          <w:rFonts w:ascii="Arial" w:cs="Arial" w:eastAsia="Arial" w:hAnsi="Arial"/>
          <w:sz w:val="16"/>
          <w:szCs w:val="16"/>
          <w:color w:val="auto"/>
        </w:rPr>
      </w:pPr>
    </w:p>
    <w:p>
      <w:pPr>
        <w:ind w:firstLine="428"/>
        <w:spacing w:after="0" w:line="286" w:lineRule="auto"/>
        <w:tabs>
          <w:tab w:leader="none" w:pos="63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June 30, 2019, the Company had authorized and outstanding capital stock and material indebtedness as set forth in</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the Pricing Disclosure Package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66" w:lineRule="exact"/>
        <w:rPr>
          <w:rFonts w:ascii="Arial" w:cs="Arial" w:eastAsia="Arial" w:hAnsi="Arial"/>
          <w:sz w:val="16"/>
          <w:szCs w:val="16"/>
          <w:color w:val="auto"/>
        </w:rPr>
      </w:pPr>
    </w:p>
    <w:p>
      <w:pPr>
        <w:ind w:left="640" w:hanging="2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Company has not granted, and has no policy or expectation of granting stock options.</w:t>
      </w:r>
    </w:p>
    <w:p>
      <w:pPr>
        <w:spacing w:after="0" w:line="117" w:lineRule="exact"/>
        <w:rPr>
          <w:rFonts w:ascii="Arial" w:cs="Arial" w:eastAsia="Arial" w:hAnsi="Arial"/>
          <w:sz w:val="18"/>
          <w:szCs w:val="18"/>
          <w:color w:val="auto"/>
        </w:rPr>
      </w:pPr>
    </w:p>
    <w:p>
      <w:pPr>
        <w:ind w:right="220" w:firstLine="428"/>
        <w:spacing w:after="0" w:line="259" w:lineRule="auto"/>
        <w:tabs>
          <w:tab w:leader="none" w:pos="67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corporate power and authority to execute and deliver this Agreement, the Second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and the Securities, and at the applicable time had corporate power and authority to execute and deliver the Base Indenture, the Investment Management Agreement and the Administration Agreement and to perform its obligations hereunder and thereunder; and all action required to be taken for the due and proper</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0" w:name="page11"/>
    <w:bookmarkEnd w:id="10"/>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execution and delivery by it of this Agreement, the Second Supplemental Indenture, the Base Indenture, the Securities and each of the Investment Management Agreement and the Administration Agreement and the consummation by it of the transactions contemplated hereby and thereby has been duly and validly taken.</w:t>
      </w:r>
    </w:p>
    <w:p>
      <w:pPr>
        <w:spacing w:after="0" w:line="73" w:lineRule="exact"/>
        <w:rPr>
          <w:sz w:val="20"/>
          <w:szCs w:val="20"/>
          <w:color w:val="auto"/>
        </w:rPr>
      </w:pPr>
    </w:p>
    <w:p>
      <w:pPr>
        <w:ind w:left="640" w:hanging="21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28"/>
        <w:spacing w:after="0" w:line="279" w:lineRule="auto"/>
        <w:tabs>
          <w:tab w:leader="none" w:pos="72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Investment Management Agreement and Administration Agreement. </w:t>
      </w:r>
      <w:r>
        <w:rPr>
          <w:rFonts w:ascii="Arial" w:cs="Arial" w:eastAsia="Arial" w:hAnsi="Arial"/>
          <w:sz w:val="17"/>
          <w:szCs w:val="17"/>
          <w:color w:val="auto"/>
        </w:rPr>
        <w:t>The Investment Management Agreement and the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63" w:lineRule="exact"/>
        <w:rPr>
          <w:rFonts w:ascii="Arial" w:cs="Arial" w:eastAsia="Arial" w:hAnsi="Arial"/>
          <w:sz w:val="17"/>
          <w:szCs w:val="17"/>
          <w:color w:val="auto"/>
        </w:rPr>
      </w:pPr>
    </w:p>
    <w:p>
      <w:pPr>
        <w:ind w:right="280" w:firstLine="428"/>
        <w:spacing w:after="0" w:line="312" w:lineRule="auto"/>
        <w:tabs>
          <w:tab w:leader="none" w:pos="67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Base Indenture. </w:t>
      </w:r>
      <w:r>
        <w:rPr>
          <w:rFonts w:ascii="Arial" w:cs="Arial" w:eastAsia="Arial" w:hAnsi="Arial"/>
          <w:sz w:val="16"/>
          <w:szCs w:val="16"/>
          <w:color w:val="auto"/>
        </w:rPr>
        <w:t>The Base Indenture has been duly authorized, executed and delivered by the Company and constitutes a valid and</w:t>
      </w:r>
      <w:r>
        <w:rPr>
          <w:rFonts w:ascii="Arial" w:cs="Arial" w:eastAsia="Arial" w:hAnsi="Arial"/>
          <w:sz w:val="16"/>
          <w:szCs w:val="16"/>
          <w:i w:val="1"/>
          <w:iCs w:val="1"/>
          <w:color w:val="auto"/>
        </w:rPr>
        <w:t xml:space="preserve"> </w:t>
      </w:r>
      <w:r>
        <w:rPr>
          <w:rFonts w:ascii="Arial" w:cs="Arial" w:eastAsia="Arial" w:hAnsi="Arial"/>
          <w:sz w:val="16"/>
          <w:szCs w:val="16"/>
          <w:color w:val="auto"/>
        </w:rPr>
        <w:t>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38" w:lineRule="exact"/>
        <w:rPr>
          <w:rFonts w:ascii="Arial" w:cs="Arial" w:eastAsia="Arial" w:hAnsi="Arial"/>
          <w:sz w:val="16"/>
          <w:szCs w:val="16"/>
          <w:color w:val="auto"/>
        </w:rPr>
      </w:pPr>
    </w:p>
    <w:p>
      <w:pPr>
        <w:ind w:right="160" w:firstLine="428"/>
        <w:spacing w:after="0" w:line="279" w:lineRule="auto"/>
        <w:tabs>
          <w:tab w:leader="none" w:pos="67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Second Supplemental Indenture</w:t>
      </w:r>
      <w:r>
        <w:rPr>
          <w:rFonts w:ascii="Arial" w:cs="Arial" w:eastAsia="Arial" w:hAnsi="Arial"/>
          <w:sz w:val="17"/>
          <w:szCs w:val="17"/>
          <w:color w:val="auto"/>
        </w:rPr>
        <w:t>. The Second Supplemental Indenture has been duly authorized, and, on the Closing Date, will be duly</w:t>
      </w:r>
      <w:r>
        <w:rPr>
          <w:rFonts w:ascii="Arial" w:cs="Arial" w:eastAsia="Arial" w:hAnsi="Arial"/>
          <w:sz w:val="17"/>
          <w:szCs w:val="17"/>
          <w:i w:val="1"/>
          <w:iCs w:val="1"/>
          <w:color w:val="auto"/>
        </w:rPr>
        <w:t xml:space="preserve"> </w:t>
      </w:r>
      <w:r>
        <w:rPr>
          <w:rFonts w:ascii="Arial" w:cs="Arial" w:eastAsia="Arial" w:hAnsi="Arial"/>
          <w:sz w:val="17"/>
          <w:szCs w:val="17"/>
          <w:color w:val="auto"/>
        </w:rPr>
        <w:t>executed and 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63" w:lineRule="exact"/>
        <w:rPr>
          <w:rFonts w:ascii="Arial" w:cs="Arial" w:eastAsia="Arial" w:hAnsi="Arial"/>
          <w:sz w:val="17"/>
          <w:szCs w:val="17"/>
          <w:color w:val="auto"/>
        </w:rPr>
      </w:pPr>
    </w:p>
    <w:p>
      <w:pPr>
        <w:ind w:left="680" w:hanging="252"/>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Indenture has been qualified under the TIA.</w:t>
      </w:r>
    </w:p>
    <w:p>
      <w:pPr>
        <w:spacing w:after="0" w:line="117" w:lineRule="exact"/>
        <w:rPr>
          <w:rFonts w:ascii="Arial" w:cs="Arial" w:eastAsia="Arial" w:hAnsi="Arial"/>
          <w:sz w:val="18"/>
          <w:szCs w:val="18"/>
          <w:color w:val="auto"/>
        </w:rPr>
      </w:pPr>
    </w:p>
    <w:p>
      <w:pPr>
        <w:ind w:firstLine="428"/>
        <w:spacing w:after="0" w:line="255" w:lineRule="auto"/>
        <w:tabs>
          <w:tab w:leader="none" w:pos="67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The Securities to be issued and sold by the Company hereunder have been duly authorized and, when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Securities and the Indenture conform in all material respects to the statements relating thereto contained in the Registration Statement, the Pricing Disclosure Package and the Prospectus.</w:t>
      </w:r>
    </w:p>
    <w:p>
      <w:pPr>
        <w:spacing w:after="0" w:line="81" w:lineRule="exact"/>
        <w:rPr>
          <w:rFonts w:ascii="Arial" w:cs="Arial" w:eastAsia="Arial" w:hAnsi="Arial"/>
          <w:sz w:val="18"/>
          <w:szCs w:val="18"/>
          <w:color w:val="auto"/>
        </w:rPr>
      </w:pPr>
    </w:p>
    <w:p>
      <w:pPr>
        <w:ind w:right="180" w:firstLine="428"/>
        <w:spacing w:after="0" w:line="264"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11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880" w:top="274" w:right="519" w:bottom="1440" w:gutter="0" w:footer="0" w:header="0"/>
        </w:sectPr>
      </w:pPr>
    </w:p>
    <w:bookmarkStart w:id="11" w:name="page12"/>
    <w:bookmarkEnd w:id="11"/>
    <w:p>
      <w:pPr>
        <w:ind w:firstLine="428"/>
        <w:spacing w:after="0" w:line="253" w:lineRule="auto"/>
        <w:tabs>
          <w:tab w:leader="none" w:pos="65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Violation or Default. </w:t>
      </w:r>
      <w:r>
        <w:rPr>
          <w:rFonts w:ascii="Arial" w:cs="Arial" w:eastAsia="Arial" w:hAnsi="Arial"/>
          <w:sz w:val="18"/>
          <w:szCs w:val="18"/>
          <w:color w:val="auto"/>
        </w:rPr>
        <w:t>Neither the Company nor any of its subsidiaries is (i) in violation of its charter or by-laws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documents, each as amended or supplemented as of the date of this Agreement;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89" w:lineRule="exact"/>
        <w:rPr>
          <w:rFonts w:ascii="Arial" w:cs="Arial" w:eastAsia="Arial" w:hAnsi="Arial"/>
          <w:sz w:val="18"/>
          <w:szCs w:val="18"/>
          <w:color w:val="auto"/>
        </w:rPr>
      </w:pPr>
    </w:p>
    <w:p>
      <w:pPr>
        <w:ind w:firstLine="428"/>
        <w:spacing w:after="0" w:line="269" w:lineRule="auto"/>
        <w:tabs>
          <w:tab w:leader="none" w:pos="63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Company of this Agreement and the Indenture, the issuance and sale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71" w:lineRule="exact"/>
        <w:rPr>
          <w:rFonts w:ascii="Arial" w:cs="Arial" w:eastAsia="Arial" w:hAnsi="Arial"/>
          <w:sz w:val="17"/>
          <w:szCs w:val="17"/>
          <w:color w:val="auto"/>
        </w:rPr>
      </w:pPr>
    </w:p>
    <w:p>
      <w:pPr>
        <w:ind w:firstLine="428"/>
        <w:spacing w:after="0" w:line="270" w:lineRule="auto"/>
        <w:tabs>
          <w:tab w:leader="none" w:pos="67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order, license, registration or qualification of or with any court or arbitrator</w:t>
      </w:r>
      <w:r>
        <w:rPr>
          <w:rFonts w:ascii="Arial" w:cs="Arial" w:eastAsia="Arial" w:hAnsi="Arial"/>
          <w:sz w:val="17"/>
          <w:szCs w:val="17"/>
          <w:i w:val="1"/>
          <w:iCs w:val="1"/>
          <w:color w:val="auto"/>
        </w:rPr>
        <w:t xml:space="preserve"> </w:t>
      </w:r>
      <w:r>
        <w:rPr>
          <w:rFonts w:ascii="Arial" w:cs="Arial" w:eastAsia="Arial" w:hAnsi="Arial"/>
          <w:sz w:val="17"/>
          <w:szCs w:val="17"/>
          <w:color w:val="auto"/>
        </w:rPr>
        <w:t>or governmental or regulatory authority is required for the execution, delivery and performance by the Company of this Agreement and the Indenture, the issuance and sale of the Securities and the consummation of the transactions contemplated by this Agreement and the Indenture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the qualification of the Indenture under the TIA, (iv) such consents, approvals, authorizations, orders and registrations or qualifications as may be required by the Financial Industry Regulatory Authority, Inc. (“FINRA”) or under applicable state securities laws in connection with the purchase and distribution of the Securities by the Underwriters and (v) where the failure to obtain any such consent, approval, authorization, order, license, registration or qualification would not reasonably be expected, individually or in the aggregate, to have a Material Adverse Effect.</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2" w:name="page13"/>
    <w:bookmarkEnd w:id="12"/>
    <w:p>
      <w:pPr>
        <w:ind w:firstLine="428"/>
        <w:spacing w:after="0" w:line="287" w:lineRule="auto"/>
        <w:tabs>
          <w:tab w:leader="none" w:pos="678"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Legal Proceedings. </w:t>
      </w:r>
      <w:r>
        <w:rPr>
          <w:rFonts w:ascii="Arial" w:cs="Arial" w:eastAsia="Arial" w:hAnsi="Arial"/>
          <w:sz w:val="16"/>
          <w:szCs w:val="16"/>
          <w:color w:val="auto"/>
        </w:rPr>
        <w:t>Except as described in the Registration Statement, the Pricing Disclosure Package and the Prospectus, there are no</w:t>
      </w:r>
      <w:r>
        <w:rPr>
          <w:rFonts w:ascii="Arial" w:cs="Arial" w:eastAsia="Arial" w:hAnsi="Arial"/>
          <w:sz w:val="16"/>
          <w:szCs w:val="16"/>
          <w:i w:val="1"/>
          <w:iCs w:val="1"/>
          <w:color w:val="auto"/>
        </w:rPr>
        <w:t xml:space="preserve"> </w:t>
      </w:r>
      <w:r>
        <w:rPr>
          <w:rFonts w:ascii="Arial" w:cs="Arial" w:eastAsia="Arial" w:hAnsi="Arial"/>
          <w:sz w:val="16"/>
          <w:szCs w:val="16"/>
          <w:color w:val="auto"/>
        </w:rPr>
        <w:t>legal, 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64" w:lineRule="exact"/>
        <w:rPr>
          <w:rFonts w:ascii="Arial" w:cs="Arial" w:eastAsia="Arial" w:hAnsi="Arial"/>
          <w:sz w:val="16"/>
          <w:szCs w:val="16"/>
          <w:color w:val="auto"/>
        </w:rPr>
      </w:pPr>
    </w:p>
    <w:p>
      <w:pPr>
        <w:ind w:right="100" w:firstLine="428"/>
        <w:spacing w:after="0" w:line="259" w:lineRule="auto"/>
        <w:tabs>
          <w:tab w:leader="none" w:pos="71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stated 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100" w:firstLine="428"/>
        <w:spacing w:after="0" w:line="290" w:lineRule="auto"/>
        <w:tabs>
          <w:tab w:leader="none" w:pos="678"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Election to be Treated as a Business Development Company</w:t>
      </w:r>
      <w:r>
        <w:rPr>
          <w:rFonts w:ascii="Arial" w:cs="Arial" w:eastAsia="Arial" w:hAnsi="Arial"/>
          <w:sz w:val="16"/>
          <w:szCs w:val="16"/>
          <w:color w:val="auto"/>
        </w:rPr>
        <w:t>. (A) The Company has duly elected to be treated by the Commission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the sale of the Securities and as of the Closing Date, the operations of the Company are in compliance in all material respects with the provisions of the Investment Company Act applicable to business development companies.</w:t>
      </w:r>
    </w:p>
    <w:p>
      <w:pPr>
        <w:spacing w:after="0" w:line="58" w:lineRule="exact"/>
        <w:rPr>
          <w:rFonts w:ascii="Arial" w:cs="Arial" w:eastAsia="Arial" w:hAnsi="Arial"/>
          <w:sz w:val="16"/>
          <w:szCs w:val="16"/>
          <w:color w:val="auto"/>
        </w:rPr>
      </w:pPr>
    </w:p>
    <w:p>
      <w:pPr>
        <w:ind w:firstLine="428"/>
        <w:spacing w:after="0" w:line="286" w:lineRule="auto"/>
        <w:tabs>
          <w:tab w:leader="none" w:pos="67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3" w:name="page14"/>
    <w:bookmarkEnd w:id="13"/>
    <w:p>
      <w:pPr>
        <w:ind w:right="160" w:firstLine="428"/>
        <w:spacing w:after="0" w:line="255" w:lineRule="auto"/>
        <w:tabs>
          <w:tab w:leader="none" w:pos="66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Title to Real and Personal Property</w:t>
      </w:r>
      <w:r>
        <w:rPr>
          <w:rFonts w:ascii="Arial" w:cs="Arial" w:eastAsia="Arial" w:hAnsi="Arial"/>
          <w:sz w:val="18"/>
          <w:szCs w:val="18"/>
          <w:color w:val="auto"/>
        </w:rPr>
        <w:t>. Except as would not reasonably be expected, individually or in the aggregate, to have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3(aa))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81" w:lineRule="exact"/>
        <w:rPr>
          <w:sz w:val="20"/>
          <w:szCs w:val="20"/>
          <w:color w:val="auto"/>
        </w:rPr>
      </w:pPr>
    </w:p>
    <w:p>
      <w:pPr>
        <w:ind w:right="120" w:firstLine="428"/>
        <w:spacing w:after="0" w:line="286" w:lineRule="auto"/>
        <w:tabs>
          <w:tab w:leader="none" w:pos="748"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w:t>
      </w:r>
    </w:p>
    <w:p>
      <w:pPr>
        <w:spacing w:after="0" w:line="1" w:lineRule="exact"/>
        <w:rPr>
          <w:rFonts w:ascii="Arial" w:cs="Arial" w:eastAsia="Arial" w:hAnsi="Arial"/>
          <w:sz w:val="16"/>
          <w:szCs w:val="16"/>
          <w:color w:val="auto"/>
        </w:rPr>
      </w:pPr>
    </w:p>
    <w:p>
      <w:pPr>
        <w:ind w:right="60" w:firstLine="4"/>
        <w:spacing w:after="0" w:line="273"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68" w:lineRule="exact"/>
        <w:rPr>
          <w:rFonts w:ascii="Arial" w:cs="Arial" w:eastAsia="Arial" w:hAnsi="Arial"/>
          <w:sz w:val="17"/>
          <w:szCs w:val="17"/>
          <w:color w:val="auto"/>
        </w:rPr>
      </w:pPr>
    </w:p>
    <w:p>
      <w:pPr>
        <w:ind w:right="60" w:firstLine="428"/>
        <w:spacing w:after="0" w:line="259" w:lineRule="auto"/>
        <w:tabs>
          <w:tab w:leader="none" w:pos="768"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one 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right="240" w:firstLine="428"/>
        <w:spacing w:after="0" w:line="255" w:lineRule="auto"/>
        <w:tabs>
          <w:tab w:leader="none" w:pos="748"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its subsidiaries are not, and, after giving effect to the offering and sale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85" w:lineRule="exact"/>
        <w:rPr>
          <w:rFonts w:ascii="Arial" w:cs="Arial" w:eastAsia="Arial" w:hAnsi="Arial"/>
          <w:sz w:val="18"/>
          <w:szCs w:val="18"/>
          <w:color w:val="auto"/>
        </w:rPr>
      </w:pPr>
    </w:p>
    <w:p>
      <w:pPr>
        <w:jc w:val="both"/>
        <w:ind w:firstLine="428"/>
        <w:spacing w:after="0" w:line="288" w:lineRule="auto"/>
        <w:tabs>
          <w:tab w:leader="none" w:pos="768"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(or caused to be paid) all federal, state, local and foreign taxes required by law to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w:t>
      </w: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4" w:name="page15"/>
    <w:bookmarkEnd w:id="14"/>
    <w:p>
      <w:pPr>
        <w:ind w:right="40" w:firstLine="428"/>
        <w:spacing w:after="0" w:line="289" w:lineRule="auto"/>
        <w:tabs>
          <w:tab w:leader="none" w:pos="74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Licenses and Permits. </w:t>
      </w:r>
      <w:r>
        <w:rPr>
          <w:rFonts w:ascii="Arial" w:cs="Arial" w:eastAsia="Arial" w:hAnsi="Arial"/>
          <w:sz w:val="16"/>
          <w:szCs w:val="16"/>
          <w:color w:val="auto"/>
        </w:rPr>
        <w:t>The Company and its subsidiaries possess all licenses, certificates, permits and other authorizations issued by,</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58" w:lineRule="exact"/>
        <w:rPr>
          <w:rFonts w:ascii="Arial" w:cs="Arial" w:eastAsia="Arial" w:hAnsi="Arial"/>
          <w:sz w:val="16"/>
          <w:szCs w:val="16"/>
          <w:color w:val="auto"/>
        </w:rPr>
      </w:pPr>
    </w:p>
    <w:p>
      <w:pPr>
        <w:ind w:firstLine="428"/>
        <w:spacing w:after="0" w:line="255"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maintains an effective system of “disclosure controls and procedures” (as defined in Rule 13a-15(e)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81" w:lineRule="exact"/>
        <w:rPr>
          <w:rFonts w:ascii="Arial" w:cs="Arial" w:eastAsia="Arial" w:hAnsi="Arial"/>
          <w:sz w:val="18"/>
          <w:szCs w:val="18"/>
          <w:color w:val="auto"/>
        </w:rPr>
      </w:pPr>
    </w:p>
    <w:p>
      <w:pPr>
        <w:ind w:right="60" w:firstLine="428"/>
        <w:spacing w:after="0" w:line="269" w:lineRule="auto"/>
        <w:tabs>
          <w:tab w:leader="none" w:pos="76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Accounting Controls</w:t>
      </w:r>
      <w:r>
        <w:rPr>
          <w:rFonts w:ascii="Arial" w:cs="Arial" w:eastAsia="Arial" w:hAnsi="Arial"/>
          <w:sz w:val="17"/>
          <w:szCs w:val="17"/>
          <w:color w:val="auto"/>
        </w:rPr>
        <w:t>. The Company maintains a system of “internal control over financial reporting” (as defined in Rule 13a-15(f) of</w:t>
      </w:r>
      <w:r>
        <w:rPr>
          <w:rFonts w:ascii="Arial" w:cs="Arial" w:eastAsia="Arial" w:hAnsi="Arial"/>
          <w:sz w:val="17"/>
          <w:szCs w:val="17"/>
          <w:i w:val="1"/>
          <w:iCs w:val="1"/>
          <w:color w:val="auto"/>
        </w:rPr>
        <w:t xml:space="preserve"> </w:t>
      </w:r>
      <w:r>
        <w:rPr>
          <w:rFonts w:ascii="Arial" w:cs="Arial" w:eastAsia="Arial" w:hAnsi="Arial"/>
          <w:sz w:val="17"/>
          <w:szCs w:val="17"/>
          <w:color w:val="auto"/>
        </w:rPr>
        <w:t>the 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U.S. GAAP,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15" w:name="page16"/>
    <w:bookmarkEnd w:id="15"/>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5" w:lineRule="exact"/>
        <w:rPr>
          <w:sz w:val="20"/>
          <w:szCs w:val="20"/>
          <w:color w:val="auto"/>
        </w:rPr>
      </w:pPr>
    </w:p>
    <w:p>
      <w:pPr>
        <w:ind w:firstLine="428"/>
        <w:spacing w:after="0" w:line="291" w:lineRule="auto"/>
        <w:tabs>
          <w:tab w:leader="none" w:pos="768"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59" w:lineRule="exact"/>
        <w:rPr>
          <w:rFonts w:ascii="Arial" w:cs="Arial" w:eastAsia="Arial" w:hAnsi="Arial"/>
          <w:sz w:val="16"/>
          <w:szCs w:val="16"/>
          <w:color w:val="auto"/>
        </w:rPr>
      </w:pPr>
    </w:p>
    <w:p>
      <w:pPr>
        <w:ind w:right="60" w:firstLine="428"/>
        <w:spacing w:after="0" w:line="286" w:lineRule="auto"/>
        <w:tabs>
          <w:tab w:leader="none" w:pos="688"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Company nor any of its subsidiaries nor any director, officer, or employee of the Company or any of</w:t>
      </w:r>
      <w:r>
        <w:rPr>
          <w:rFonts w:ascii="Arial" w:cs="Arial" w:eastAsia="Arial" w:hAnsi="Arial"/>
          <w:sz w:val="16"/>
          <w:szCs w:val="16"/>
          <w:i w:val="1"/>
          <w:iCs w:val="1"/>
          <w:color w:val="auto"/>
        </w:rPr>
        <w:t xml:space="preserve"> </w:t>
      </w:r>
      <w:r>
        <w:rPr>
          <w:rFonts w:ascii="Arial" w:cs="Arial" w:eastAsia="Arial" w:hAnsi="Arial"/>
          <w:sz w:val="16"/>
          <w:szCs w:val="16"/>
          <w:color w:val="auto"/>
        </w:rPr>
        <w:t>its 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66" w:lineRule="exact"/>
        <w:rPr>
          <w:rFonts w:ascii="Arial" w:cs="Arial" w:eastAsia="Arial" w:hAnsi="Arial"/>
          <w:sz w:val="16"/>
          <w:szCs w:val="16"/>
          <w:color w:val="auto"/>
        </w:rPr>
      </w:pPr>
    </w:p>
    <w:p>
      <w:pPr>
        <w:ind w:right="80" w:firstLine="428"/>
        <w:spacing w:after="0" w:line="264" w:lineRule="auto"/>
        <w:tabs>
          <w:tab w:leader="none" w:pos="68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Compliance with Money Laundering Laws</w:t>
      </w:r>
      <w:r>
        <w:rPr>
          <w:rFonts w:ascii="Arial" w:cs="Arial" w:eastAsia="Arial" w:hAnsi="Arial"/>
          <w:sz w:val="18"/>
          <w:szCs w:val="18"/>
          <w:color w:val="auto"/>
        </w:rPr>
        <w:t>. The operations of the Company and its subsidiaries are and have been conducted at all times</w:t>
      </w:r>
      <w:r>
        <w:rPr>
          <w:rFonts w:ascii="Arial" w:cs="Arial" w:eastAsia="Arial" w:hAnsi="Arial"/>
          <w:sz w:val="18"/>
          <w:szCs w:val="18"/>
          <w:i w:val="1"/>
          <w:iCs w:val="1"/>
          <w:color w:val="auto"/>
        </w:rPr>
        <w:t xml:space="preserve"> </w:t>
      </w:r>
      <w:r>
        <w:rPr>
          <w:rFonts w:ascii="Arial" w:cs="Arial" w:eastAsia="Arial" w:hAnsi="Arial"/>
          <w:sz w:val="18"/>
          <w:szCs w:val="18"/>
          <w:color w:val="auto"/>
        </w:rPr>
        <w:t>in compliance with applicable financial recordkeeping and reporting requirements, including those of the Currency and Foreign Transactions Reporting Act of 1970, as amended, the applicable money laundering statutes, the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16" w:name="page17"/>
    <w:bookmarkEnd w:id="16"/>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64" w:lineRule="exact"/>
        <w:rPr>
          <w:sz w:val="20"/>
          <w:szCs w:val="20"/>
          <w:color w:val="auto"/>
        </w:rPr>
      </w:pPr>
    </w:p>
    <w:p>
      <w:pPr>
        <w:ind w:firstLine="428"/>
        <w:spacing w:after="0" w:line="268" w:lineRule="auto"/>
        <w:tabs>
          <w:tab w:leader="none" w:pos="768"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Company nor any of its subsidiaries, directors, officers or employees, nor,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Sudan and Syria,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75" w:lineRule="exact"/>
        <w:rPr>
          <w:rFonts w:ascii="Arial" w:cs="Arial" w:eastAsia="Arial" w:hAnsi="Arial"/>
          <w:sz w:val="17"/>
          <w:szCs w:val="17"/>
          <w:color w:val="auto"/>
        </w:rPr>
      </w:pPr>
    </w:p>
    <w:p>
      <w:pPr>
        <w:ind w:right="260" w:firstLine="428"/>
        <w:spacing w:after="0" w:line="264" w:lineRule="auto"/>
        <w:tabs>
          <w:tab w:leader="none" w:pos="68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Company Not Ineligible Issuer and is a Well-Known Seasoned Issuer</w:t>
      </w:r>
      <w:r>
        <w:rPr>
          <w:rFonts w:ascii="Arial" w:cs="Arial" w:eastAsia="Arial" w:hAnsi="Arial"/>
          <w:sz w:val="18"/>
          <w:szCs w:val="18"/>
          <w:color w:val="auto"/>
        </w:rPr>
        <w:t>. The Company is not an ineligible issuer and is a well-known</w:t>
      </w:r>
      <w:r>
        <w:rPr>
          <w:rFonts w:ascii="Arial" w:cs="Arial" w:eastAsia="Arial" w:hAnsi="Arial"/>
          <w:sz w:val="18"/>
          <w:szCs w:val="18"/>
          <w:i w:val="1"/>
          <w:iCs w:val="1"/>
          <w:color w:val="auto"/>
        </w:rPr>
        <w:t xml:space="preserve"> </w:t>
      </w:r>
      <w:r>
        <w:rPr>
          <w:rFonts w:ascii="Arial" w:cs="Arial" w:eastAsia="Arial" w:hAnsi="Arial"/>
          <w:sz w:val="18"/>
          <w:szCs w:val="18"/>
          <w:color w:val="auto"/>
        </w:rPr>
        <w:t>seasoned issuer, in each case as defined under the Securities Act, in each case at the times specified in the Securities Act in connection with the offering of the Securities.</w:t>
      </w:r>
    </w:p>
    <w:p>
      <w:pPr>
        <w:spacing w:after="0" w:line="73" w:lineRule="exact"/>
        <w:rPr>
          <w:rFonts w:ascii="Arial" w:cs="Arial" w:eastAsia="Arial" w:hAnsi="Arial"/>
          <w:sz w:val="18"/>
          <w:szCs w:val="18"/>
          <w:color w:val="auto"/>
        </w:rPr>
      </w:pPr>
    </w:p>
    <w:p>
      <w:pPr>
        <w:ind w:right="100" w:firstLine="428"/>
        <w:spacing w:after="0" w:line="257" w:lineRule="auto"/>
        <w:tabs>
          <w:tab w:leader="none" w:pos="86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17" w:name="page18"/>
    <w:bookmarkEnd w:id="17"/>
    <w:p>
      <w:pPr>
        <w:ind w:right="200" w:firstLine="428"/>
        <w:spacing w:after="0" w:line="286" w:lineRule="auto"/>
        <w:tabs>
          <w:tab w:leader="none" w:pos="768"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Broker’s Fees. </w:t>
      </w:r>
      <w:r>
        <w:rPr>
          <w:rFonts w:ascii="Arial" w:cs="Arial" w:eastAsia="Arial" w:hAnsi="Arial"/>
          <w:sz w:val="17"/>
          <w:szCs w:val="17"/>
          <w:color w:val="auto"/>
        </w:rPr>
        <w:t>Neither the Company nor any of its subsidiaries is a party to any contract, agreement or understanding with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57" w:lineRule="exact"/>
        <w:rPr>
          <w:rFonts w:ascii="Arial" w:cs="Arial" w:eastAsia="Arial" w:hAnsi="Arial"/>
          <w:sz w:val="17"/>
          <w:szCs w:val="17"/>
          <w:color w:val="auto"/>
        </w:rPr>
      </w:pPr>
    </w:p>
    <w:p>
      <w:pPr>
        <w:ind w:right="20" w:firstLine="428"/>
        <w:spacing w:after="0" w:line="264" w:lineRule="auto"/>
        <w:tabs>
          <w:tab w:leader="none" w:pos="768"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or Manipulation. </w:t>
      </w:r>
      <w:r>
        <w:rPr>
          <w:rFonts w:ascii="Arial" w:cs="Arial" w:eastAsia="Arial" w:hAnsi="Arial"/>
          <w:sz w:val="18"/>
          <w:szCs w:val="18"/>
          <w:color w:val="auto"/>
        </w:rPr>
        <w:t>The Company has not taken, directly or indirectly, without giving effect to any activities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any action designed, or that would reasonably be expected, to cause or result in any stabilization or manipulation of the price of the Securities.</w:t>
      </w:r>
    </w:p>
    <w:p>
      <w:pPr>
        <w:spacing w:after="0" w:line="73" w:lineRule="exact"/>
        <w:rPr>
          <w:rFonts w:ascii="Arial" w:cs="Arial" w:eastAsia="Arial" w:hAnsi="Arial"/>
          <w:sz w:val="18"/>
          <w:szCs w:val="18"/>
          <w:color w:val="auto"/>
        </w:rPr>
      </w:pPr>
    </w:p>
    <w:p>
      <w:pPr>
        <w:ind w:firstLine="428"/>
        <w:spacing w:after="0" w:line="264" w:lineRule="auto"/>
        <w:tabs>
          <w:tab w:leader="none" w:pos="768"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contained in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right="300" w:firstLine="428"/>
        <w:spacing w:after="0" w:line="286" w:lineRule="auto"/>
        <w:tabs>
          <w:tab w:leader="none" w:pos="768"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Statistical and Market Data. </w:t>
      </w:r>
      <w:r>
        <w:rPr>
          <w:rFonts w:ascii="Arial" w:cs="Arial" w:eastAsia="Arial" w:hAnsi="Arial"/>
          <w:sz w:val="17"/>
          <w:szCs w:val="17"/>
          <w:color w:val="auto"/>
        </w:rPr>
        <w:t>Nothing has come to the attention of the Company that has caused the Company to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statistical and market-related data included or incorporated by reference in the Registration Statement, the Pricing Disclosure Package and the Prospectus is not based on or derived from sources that are reasonably reliable and accurate in all material respects.</w:t>
      </w:r>
    </w:p>
    <w:p>
      <w:pPr>
        <w:spacing w:after="0" w:line="57" w:lineRule="exact"/>
        <w:rPr>
          <w:rFonts w:ascii="Arial" w:cs="Arial" w:eastAsia="Arial" w:hAnsi="Arial"/>
          <w:sz w:val="17"/>
          <w:szCs w:val="17"/>
          <w:color w:val="auto"/>
        </w:rPr>
      </w:pPr>
    </w:p>
    <w:p>
      <w:pPr>
        <w:ind w:right="180" w:firstLine="428"/>
        <w:spacing w:after="0" w:line="259"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to the knowledge of the Company,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jc w:val="both"/>
        <w:ind w:right="200" w:firstLine="428"/>
        <w:spacing w:after="0" w:line="312" w:lineRule="auto"/>
        <w:tabs>
          <w:tab w:leader="none" w:pos="728"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Rule 38a-1 Compliance</w:t>
      </w:r>
      <w:r>
        <w:rPr>
          <w:rFonts w:ascii="Arial" w:cs="Arial" w:eastAsia="Arial" w:hAnsi="Arial"/>
          <w:sz w:val="16"/>
          <w:szCs w:val="16"/>
          <w:color w:val="auto"/>
        </w:rPr>
        <w:t>. The Company has adopted and implemented written policies and procedures reasonably designed to prevent</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38" w:lineRule="exact"/>
        <w:rPr>
          <w:rFonts w:ascii="Arial" w:cs="Arial" w:eastAsia="Arial" w:hAnsi="Arial"/>
          <w:sz w:val="16"/>
          <w:szCs w:val="16"/>
          <w:color w:val="auto"/>
        </w:rPr>
      </w:pPr>
    </w:p>
    <w:p>
      <w:pPr>
        <w:ind w:right="380" w:firstLine="428"/>
        <w:spacing w:after="0" w:line="259" w:lineRule="auto"/>
        <w:tabs>
          <w:tab w:leader="none" w:pos="688"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Regulated Investment Company</w:t>
      </w:r>
      <w:r>
        <w:rPr>
          <w:rFonts w:ascii="Arial" w:cs="Arial" w:eastAsia="Arial" w:hAnsi="Arial"/>
          <w:sz w:val="18"/>
          <w:szCs w:val="18"/>
          <w:color w:val="auto"/>
        </w:rPr>
        <w:t>. The Company has elected to be treated, and has operated, and intends to continue to operate, 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78" w:lineRule="exact"/>
        <w:rPr>
          <w:rFonts w:ascii="Arial" w:cs="Arial" w:eastAsia="Arial" w:hAnsi="Arial"/>
          <w:sz w:val="18"/>
          <w:szCs w:val="18"/>
          <w:color w:val="auto"/>
        </w:rPr>
      </w:pPr>
    </w:p>
    <w:p>
      <w:pPr>
        <w:ind w:left="180" w:hanging="176"/>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rFonts w:ascii="Arial" w:cs="Arial" w:eastAsia="Arial" w:hAnsi="Arial"/>
          <w:sz w:val="18"/>
          <w:szCs w:val="18"/>
          <w:color w:val="auto"/>
        </w:rPr>
      </w:pPr>
    </w:p>
    <w:p>
      <w:pPr>
        <w:jc w:val="both"/>
        <w:ind w:right="80" w:firstLine="428"/>
        <w:spacing w:after="0" w:line="259" w:lineRule="auto"/>
        <w:tabs>
          <w:tab w:leader="none" w:pos="668"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disclosed in the Registration Statement, the Pricing Disclosure Package and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since the date of the most recent financial statements of the Company included or incorporated by reference in the Registration Statement, the Pricing Disclosure Package and the Prospectus, (i) there has not been any material adverse change, or any development that would reasonably be expected to result in a material adverse</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880" w:top="274" w:right="49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80" w:lineRule="exact"/>
        <w:rPr>
          <w:sz w:val="20"/>
          <w:szCs w:val="20"/>
          <w:color w:val="auto"/>
        </w:rPr>
      </w:pPr>
    </w:p>
    <w:p>
      <w:pPr>
        <w:ind w:right="20" w:firstLine="428"/>
        <w:spacing w:after="0" w:line="290" w:lineRule="auto"/>
        <w:tabs>
          <w:tab w:leader="none" w:pos="678"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The Adviser and each of its subsidiaries have been duly organized and are validly existing and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58" w:lineRule="exact"/>
        <w:rPr>
          <w:rFonts w:ascii="Arial" w:cs="Arial" w:eastAsia="Arial" w:hAnsi="Arial"/>
          <w:sz w:val="16"/>
          <w:szCs w:val="16"/>
          <w:color w:val="auto"/>
        </w:rPr>
      </w:pPr>
    </w:p>
    <w:p>
      <w:pPr>
        <w:ind w:right="100" w:firstLine="428"/>
        <w:spacing w:after="0" w:line="297" w:lineRule="auto"/>
        <w:tabs>
          <w:tab w:leader="none" w:pos="668"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Registration as an Investment Adviser</w:t>
      </w:r>
      <w:r>
        <w:rPr>
          <w:rFonts w:ascii="Arial" w:cs="Arial" w:eastAsia="Arial" w:hAnsi="Arial"/>
          <w:sz w:val="16"/>
          <w:szCs w:val="16"/>
          <w:color w:val="auto"/>
        </w:rPr>
        <w:t>. The Adviser is duly registered with the Commission as an investment adviser under the Advisers</w:t>
      </w:r>
      <w:r>
        <w:rPr>
          <w:rFonts w:ascii="Arial" w:cs="Arial" w:eastAsia="Arial" w:hAnsi="Arial"/>
          <w:sz w:val="16"/>
          <w:szCs w:val="16"/>
          <w:i w:val="1"/>
          <w:iCs w:val="1"/>
          <w:color w:val="auto"/>
        </w:rPr>
        <w:t xml:space="preserve"> </w:t>
      </w:r>
      <w:r>
        <w:rPr>
          <w:rFonts w:ascii="Arial" w:cs="Arial" w:eastAsia="Arial" w:hAnsi="Arial"/>
          <w:sz w:val="16"/>
          <w:szCs w:val="16"/>
          <w:color w:val="auto"/>
        </w:rPr>
        <w:t>Act 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50" w:lineRule="exact"/>
        <w:rPr>
          <w:rFonts w:ascii="Arial" w:cs="Arial" w:eastAsia="Arial" w:hAnsi="Arial"/>
          <w:sz w:val="16"/>
          <w:szCs w:val="16"/>
          <w:color w:val="auto"/>
        </w:rPr>
      </w:pPr>
    </w:p>
    <w:p>
      <w:pPr>
        <w:ind w:left="680" w:hanging="25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17" w:lineRule="exact"/>
        <w:rPr>
          <w:rFonts w:ascii="Arial" w:cs="Arial" w:eastAsia="Arial" w:hAnsi="Arial"/>
          <w:sz w:val="18"/>
          <w:szCs w:val="18"/>
          <w:color w:val="auto"/>
        </w:rPr>
      </w:pPr>
    </w:p>
    <w:p>
      <w:pPr>
        <w:ind w:right="60" w:firstLine="428"/>
        <w:spacing w:after="0" w:line="279" w:lineRule="auto"/>
        <w:tabs>
          <w:tab w:leader="none" w:pos="668"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Investment Management Agreement and the Administration Agreement. </w:t>
      </w:r>
      <w:r>
        <w:rPr>
          <w:rFonts w:ascii="Arial" w:cs="Arial" w:eastAsia="Arial" w:hAnsi="Arial"/>
          <w:sz w:val="17"/>
          <w:szCs w:val="17"/>
          <w:color w:val="auto"/>
        </w:rPr>
        <w:t>The Investment Management Agreement and the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63" w:lineRule="exact"/>
        <w:rPr>
          <w:rFonts w:ascii="Arial" w:cs="Arial" w:eastAsia="Arial" w:hAnsi="Arial"/>
          <w:sz w:val="17"/>
          <w:szCs w:val="17"/>
          <w:color w:val="auto"/>
        </w:rPr>
      </w:pPr>
    </w:p>
    <w:p>
      <w:pPr>
        <w:ind w:firstLine="428"/>
        <w:spacing w:after="0" w:line="302" w:lineRule="auto"/>
        <w:tabs>
          <w:tab w:leader="none" w:pos="648"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No Violation or Default. </w:t>
      </w:r>
      <w:r>
        <w:rPr>
          <w:rFonts w:ascii="Arial" w:cs="Arial" w:eastAsia="Arial" w:hAnsi="Arial"/>
          <w:sz w:val="16"/>
          <w:szCs w:val="16"/>
          <w:color w:val="auto"/>
        </w:rPr>
        <w:t>Neither the Adviser nor any of its subsidiaries is (i) in violation of its charter or by-laws or similar organizational</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19" w:name="page20"/>
    <w:bookmarkEnd w:id="19"/>
    <w:p>
      <w:pPr>
        <w:ind w:right="1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46" w:lineRule="exact"/>
        <w:rPr>
          <w:sz w:val="20"/>
          <w:szCs w:val="20"/>
          <w:color w:val="auto"/>
        </w:rPr>
      </w:pPr>
    </w:p>
    <w:p>
      <w:pPr>
        <w:ind w:firstLine="428"/>
        <w:spacing w:after="0" w:line="269" w:lineRule="auto"/>
        <w:tabs>
          <w:tab w:leader="none" w:pos="678"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Adviser of this Agreement and the performance by the Adviser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74" w:lineRule="exact"/>
        <w:rPr>
          <w:rFonts w:ascii="Arial" w:cs="Arial" w:eastAsia="Arial" w:hAnsi="Arial"/>
          <w:sz w:val="17"/>
          <w:szCs w:val="17"/>
          <w:color w:val="auto"/>
        </w:rPr>
      </w:pPr>
    </w:p>
    <w:p>
      <w:pPr>
        <w:ind w:right="120" w:firstLine="428"/>
        <w:spacing w:after="0" w:line="255" w:lineRule="auto"/>
        <w:tabs>
          <w:tab w:leader="none" w:pos="67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w:t>
      </w:r>
      <w:r>
        <w:rPr>
          <w:rFonts w:ascii="Arial" w:cs="Arial" w:eastAsia="Arial" w:hAnsi="Arial"/>
          <w:sz w:val="18"/>
          <w:szCs w:val="18"/>
          <w:i w:val="1"/>
          <w:iCs w:val="1"/>
          <w:color w:val="auto"/>
        </w:rPr>
        <w:t xml:space="preserve"> </w:t>
      </w:r>
      <w:r>
        <w:rPr>
          <w:rFonts w:ascii="Arial" w:cs="Arial" w:eastAsia="Arial" w:hAnsi="Arial"/>
          <w:sz w:val="18"/>
          <w:szCs w:val="18"/>
          <w:color w:val="auto"/>
        </w:rPr>
        <w:t>or 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85" w:lineRule="exact"/>
        <w:rPr>
          <w:rFonts w:ascii="Arial" w:cs="Arial" w:eastAsia="Arial" w:hAnsi="Arial"/>
          <w:sz w:val="18"/>
          <w:szCs w:val="18"/>
          <w:color w:val="auto"/>
        </w:rPr>
      </w:pPr>
    </w:p>
    <w:p>
      <w:pPr>
        <w:ind w:right="80" w:firstLine="428"/>
        <w:spacing w:after="0" w:line="270" w:lineRule="auto"/>
        <w:tabs>
          <w:tab w:leader="none" w:pos="638"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w:t>
      </w:r>
      <w:r>
        <w:rPr>
          <w:rFonts w:ascii="Arial" w:cs="Arial" w:eastAsia="Arial" w:hAnsi="Arial"/>
          <w:sz w:val="17"/>
          <w:szCs w:val="17"/>
          <w:i w:val="1"/>
          <w:iCs w:val="1"/>
          <w:color w:val="auto"/>
        </w:rPr>
        <w:t xml:space="preserve"> </w:t>
      </w:r>
      <w:r>
        <w:rPr>
          <w:rFonts w:ascii="Arial" w:cs="Arial" w:eastAsia="Arial" w:hAnsi="Arial"/>
          <w:sz w:val="17"/>
          <w:szCs w:val="17"/>
          <w:color w:val="auto"/>
        </w:rPr>
        <w:t>legal, 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80" w:top="274" w:right="439" w:bottom="1440" w:gutter="0" w:footer="0" w:header="0"/>
        </w:sectPr>
      </w:pPr>
    </w:p>
    <w:bookmarkStart w:id="20" w:name="page21"/>
    <w:bookmarkEnd w:id="20"/>
    <w:p>
      <w:pPr>
        <w:ind w:firstLine="428"/>
        <w:spacing w:after="0" w:line="289" w:lineRule="auto"/>
        <w:tabs>
          <w:tab w:leader="none" w:pos="638"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Licenses and Permits. </w:t>
      </w:r>
      <w:r>
        <w:rPr>
          <w:rFonts w:ascii="Arial" w:cs="Arial" w:eastAsia="Arial" w:hAnsi="Arial"/>
          <w:sz w:val="16"/>
          <w:szCs w:val="16"/>
          <w:color w:val="auto"/>
        </w:rPr>
        <w:t>The Adviser and its subsidiaries possess all licenses, certificates, permits and other authorizations issued by, and</w:t>
      </w:r>
      <w:r>
        <w:rPr>
          <w:rFonts w:ascii="Arial" w:cs="Arial" w:eastAsia="Arial" w:hAnsi="Arial"/>
          <w:sz w:val="16"/>
          <w:szCs w:val="16"/>
          <w:i w:val="1"/>
          <w:iCs w:val="1"/>
          <w:color w:val="auto"/>
        </w:rPr>
        <w:t xml:space="preserve"> </w:t>
      </w:r>
      <w:r>
        <w:rPr>
          <w:rFonts w:ascii="Arial" w:cs="Arial" w:eastAsia="Arial" w:hAnsi="Arial"/>
          <w:sz w:val="16"/>
          <w:szCs w:val="16"/>
          <w:color w:val="auto"/>
        </w:rPr>
        <w:t>have 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58" w:lineRule="exact"/>
        <w:rPr>
          <w:rFonts w:ascii="Arial" w:cs="Arial" w:eastAsia="Arial" w:hAnsi="Arial"/>
          <w:sz w:val="16"/>
          <w:szCs w:val="16"/>
          <w:color w:val="auto"/>
        </w:rPr>
      </w:pPr>
    </w:p>
    <w:p>
      <w:pPr>
        <w:ind w:right="300" w:firstLine="428"/>
        <w:spacing w:after="0" w:line="259" w:lineRule="auto"/>
        <w:tabs>
          <w:tab w:leader="none" w:pos="678"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Description of the Adviser</w:t>
      </w:r>
      <w:r>
        <w:rPr>
          <w:rFonts w:ascii="Arial" w:cs="Arial" w:eastAsia="Arial" w:hAnsi="Arial"/>
          <w:sz w:val="18"/>
          <w:szCs w:val="18"/>
          <w:color w:val="auto"/>
        </w:rPr>
        <w:t>. The description of the Adviser and its respective principals and business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100" w:firstLine="428"/>
        <w:spacing w:after="0" w:line="264" w:lineRule="auto"/>
        <w:tabs>
          <w:tab w:leader="none" w:pos="638"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73" w:lineRule="exact"/>
        <w:rPr>
          <w:rFonts w:ascii="Arial" w:cs="Arial" w:eastAsia="Arial" w:hAnsi="Arial"/>
          <w:sz w:val="18"/>
          <w:szCs w:val="18"/>
          <w:color w:val="auto"/>
        </w:rPr>
      </w:pPr>
    </w:p>
    <w:p>
      <w:pPr>
        <w:ind w:left="740" w:hanging="312"/>
        <w:spacing w:after="0"/>
        <w:tabs>
          <w:tab w:leader="none" w:pos="740"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Internal Controls</w:t>
      </w:r>
      <w:r>
        <w:rPr>
          <w:rFonts w:ascii="Arial" w:cs="Arial" w:eastAsia="Arial" w:hAnsi="Arial"/>
          <w:sz w:val="17"/>
          <w:szCs w:val="17"/>
          <w:color w:val="auto"/>
        </w:rPr>
        <w:t>. The Adviser maintains a system of internal accounting controls sufficient to provide reasonable assurance that</w:t>
      </w:r>
    </w:p>
    <w:p>
      <w:pPr>
        <w:spacing w:after="0" w:line="34" w:lineRule="exact"/>
        <w:rPr>
          <w:rFonts w:ascii="Arial" w:cs="Arial" w:eastAsia="Arial" w:hAnsi="Arial"/>
          <w:sz w:val="17"/>
          <w:szCs w:val="17"/>
          <w:color w:val="auto"/>
        </w:rPr>
      </w:pPr>
    </w:p>
    <w:p>
      <w:pPr>
        <w:ind w:firstLine="4"/>
        <w:spacing w:after="0" w:line="252"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U.S. GAAP,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84" w:lineRule="exact"/>
        <w:rPr>
          <w:rFonts w:ascii="Arial" w:cs="Arial" w:eastAsia="Arial" w:hAnsi="Arial"/>
          <w:sz w:val="18"/>
          <w:szCs w:val="18"/>
          <w:color w:val="auto"/>
        </w:rPr>
      </w:pPr>
    </w:p>
    <w:p>
      <w:pPr>
        <w:jc w:val="both"/>
        <w:ind w:right="60" w:firstLine="428"/>
        <w:spacing w:after="0" w:line="259" w:lineRule="auto"/>
        <w:tabs>
          <w:tab w:leader="none" w:pos="678"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No Unlawful Payments</w:t>
      </w:r>
      <w:r>
        <w:rPr>
          <w:rFonts w:ascii="Arial" w:cs="Arial" w:eastAsia="Arial" w:hAnsi="Arial"/>
          <w:sz w:val="18"/>
          <w:szCs w:val="18"/>
          <w:color w:val="auto"/>
        </w:rPr>
        <w:t>. Neither the Adviser nor any of its subsidiaries nor any director, officer, or employee of the Adviser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880" w:top="274" w:right="439" w:bottom="1440" w:gutter="0" w:footer="0" w:header="0"/>
        </w:sectPr>
      </w:pPr>
    </w:p>
    <w:bookmarkStart w:id="21" w:name="page22"/>
    <w:bookmarkEnd w:id="21"/>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70" w:lineRule="exact"/>
        <w:rPr>
          <w:sz w:val="20"/>
          <w:szCs w:val="20"/>
          <w:color w:val="auto"/>
        </w:rPr>
      </w:pPr>
    </w:p>
    <w:p>
      <w:pPr>
        <w:ind w:right="20" w:firstLine="428"/>
        <w:spacing w:after="0" w:line="297" w:lineRule="auto"/>
        <w:tabs>
          <w:tab w:leader="none" w:pos="67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Laws</w:t>
      </w:r>
      <w:r>
        <w:rPr>
          <w:rFonts w:ascii="Arial" w:cs="Arial" w:eastAsia="Arial" w:hAnsi="Arial"/>
          <w:sz w:val="16"/>
          <w:szCs w:val="16"/>
          <w:color w:val="auto"/>
        </w:rPr>
        <w:t>. The operations of the Adviser and its subsidiaries are and have been conducted at all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50" w:lineRule="exact"/>
        <w:rPr>
          <w:rFonts w:ascii="Arial" w:cs="Arial" w:eastAsia="Arial" w:hAnsi="Arial"/>
          <w:sz w:val="16"/>
          <w:szCs w:val="16"/>
          <w:color w:val="auto"/>
        </w:rPr>
      </w:pPr>
    </w:p>
    <w:p>
      <w:pPr>
        <w:ind w:right="40" w:firstLine="428"/>
        <w:spacing w:after="0" w:line="297" w:lineRule="auto"/>
        <w:tabs>
          <w:tab w:leader="none" w:pos="67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Adviser nor any of its subsidiaries, directors, officers or employees, nor, to the knowledge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50" w:lineRule="exact"/>
        <w:rPr>
          <w:rFonts w:ascii="Arial" w:cs="Arial" w:eastAsia="Arial" w:hAnsi="Arial"/>
          <w:sz w:val="16"/>
          <w:szCs w:val="16"/>
          <w:color w:val="auto"/>
        </w:rPr>
      </w:pPr>
    </w:p>
    <w:p>
      <w:pPr>
        <w:ind w:right="260" w:firstLine="428"/>
        <w:spacing w:after="0" w:line="264" w:lineRule="auto"/>
        <w:tabs>
          <w:tab w:leader="none" w:pos="67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or Manipulation. </w:t>
      </w:r>
      <w:r>
        <w:rPr>
          <w:rFonts w:ascii="Arial" w:cs="Arial" w:eastAsia="Arial" w:hAnsi="Arial"/>
          <w:sz w:val="18"/>
          <w:szCs w:val="18"/>
          <w:color w:val="auto"/>
        </w:rPr>
        <w:t>The Adviser has not taken, directly or indirectly, without giving effect to any activities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any action designed to or that would reasonably be expected to cause or result in any stabilization or manipulation of the price of the Securities.</w:t>
      </w:r>
    </w:p>
    <w:p>
      <w:pPr>
        <w:spacing w:after="0" w:line="73" w:lineRule="exact"/>
        <w:rPr>
          <w:rFonts w:ascii="Arial" w:cs="Arial" w:eastAsia="Arial" w:hAnsi="Arial"/>
          <w:sz w:val="18"/>
          <w:szCs w:val="18"/>
          <w:color w:val="auto"/>
        </w:rPr>
      </w:pPr>
    </w:p>
    <w:p>
      <w:pPr>
        <w:ind w:right="200" w:firstLine="428"/>
        <w:spacing w:after="0" w:line="302"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Key Employees. </w:t>
      </w:r>
      <w:r>
        <w:rPr>
          <w:rFonts w:ascii="Arial" w:cs="Arial" w:eastAsia="Arial" w:hAnsi="Arial"/>
          <w:sz w:val="16"/>
          <w:szCs w:val="16"/>
          <w:color w:val="auto"/>
        </w:rPr>
        <w:t>The Adviser is not aware that (i) any of its executives, key employees or significant group of employees plans to</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46" w:lineRule="exact"/>
        <w:rPr>
          <w:rFonts w:ascii="Arial" w:cs="Arial" w:eastAsia="Arial" w:hAnsi="Arial"/>
          <w:sz w:val="16"/>
          <w:szCs w:val="16"/>
          <w:color w:val="auto"/>
        </w:rPr>
      </w:pPr>
    </w:p>
    <w:p>
      <w:pPr>
        <w:ind w:firstLine="428"/>
        <w:spacing w:after="0" w:line="259" w:lineRule="auto"/>
        <w:tabs>
          <w:tab w:leader="none" w:pos="65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4" w:right="439" w:bottom="1440" w:gutter="0" w:footer="0" w:header="0"/>
        </w:sectPr>
      </w:pPr>
    </w:p>
    <w:bookmarkStart w:id="22" w:name="page23"/>
    <w:bookmarkEnd w:id="22"/>
    <w:p>
      <w:pPr>
        <w:ind w:left="180" w:hanging="176"/>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right="80" w:firstLine="428"/>
        <w:spacing w:after="0" w:line="254" w:lineRule="auto"/>
        <w:tabs>
          <w:tab w:leader="none" w:pos="66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 Rule 497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 430B or Rule 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w:t>
      </w:r>
    </w:p>
    <w:p>
      <w:pPr>
        <w:spacing w:after="0" w:line="84" w:lineRule="exact"/>
        <w:rPr>
          <w:rFonts w:ascii="Arial" w:cs="Arial" w:eastAsia="Arial" w:hAnsi="Arial"/>
          <w:sz w:val="18"/>
          <w:szCs w:val="18"/>
          <w:color w:val="auto"/>
        </w:rPr>
      </w:pPr>
    </w:p>
    <w:p>
      <w:pPr>
        <w:ind w:firstLine="428"/>
        <w:spacing w:after="0" w:line="255" w:lineRule="auto"/>
        <w:tabs>
          <w:tab w:leader="none" w:pos="67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Copies. </w:t>
      </w:r>
      <w:r>
        <w:rPr>
          <w:rFonts w:ascii="Arial" w:cs="Arial" w:eastAsia="Arial" w:hAnsi="Arial"/>
          <w:sz w:val="18"/>
          <w:szCs w:val="18"/>
          <w:color w:val="auto"/>
        </w:rPr>
        <w:t>The Company will deliver, without charge, (i) to the Representative, electronic signed copies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81" w:lineRule="exact"/>
        <w:rPr>
          <w:rFonts w:ascii="Arial" w:cs="Arial" w:eastAsia="Arial" w:hAnsi="Arial"/>
          <w:sz w:val="18"/>
          <w:szCs w:val="18"/>
          <w:color w:val="auto"/>
        </w:rPr>
      </w:pPr>
    </w:p>
    <w:p>
      <w:pPr>
        <w:ind w:firstLine="428"/>
        <w:spacing w:after="0" w:line="259" w:lineRule="auto"/>
        <w:tabs>
          <w:tab w:leader="none" w:pos="66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w:t>
      </w:r>
    </w:p>
    <w:p>
      <w:pPr>
        <w:spacing w:after="0" w:line="78" w:lineRule="exact"/>
        <w:rPr>
          <w:rFonts w:ascii="Arial" w:cs="Arial" w:eastAsia="Arial" w:hAnsi="Arial"/>
          <w:sz w:val="18"/>
          <w:szCs w:val="18"/>
          <w:color w:val="auto"/>
        </w:rPr>
      </w:pPr>
    </w:p>
    <w:p>
      <w:pPr>
        <w:ind w:right="40" w:firstLine="428"/>
        <w:spacing w:after="0" w:line="264" w:lineRule="auto"/>
        <w:tabs>
          <w:tab w:leader="none" w:pos="67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Marketing Materials</w:t>
      </w:r>
      <w:r>
        <w:rPr>
          <w:rFonts w:ascii="Arial" w:cs="Arial" w:eastAsia="Arial" w:hAnsi="Arial"/>
          <w:sz w:val="18"/>
          <w:szCs w:val="18"/>
          <w:color w:val="auto"/>
        </w:rPr>
        <w:t>. Before using, authorizing, approving, referring to or distributing any Marketing Materials,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furnish to the Representative and counsel for the Underwriters a copy of such materials for review and will not use, authorize, approve, refer to or distribute any such materials to which the Representative reasonably objects in a timely manner.</w:t>
      </w:r>
    </w:p>
    <w:p>
      <w:pPr>
        <w:spacing w:after="0" w:line="73" w:lineRule="exact"/>
        <w:rPr>
          <w:rFonts w:ascii="Arial" w:cs="Arial" w:eastAsia="Arial" w:hAnsi="Arial"/>
          <w:sz w:val="18"/>
          <w:szCs w:val="18"/>
          <w:color w:val="auto"/>
        </w:rPr>
      </w:pPr>
    </w:p>
    <w:p>
      <w:pPr>
        <w:jc w:val="both"/>
        <w:ind w:right="200" w:firstLine="428"/>
        <w:spacing w:after="0" w:line="259" w:lineRule="auto"/>
        <w:tabs>
          <w:tab w:leader="none" w:pos="66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Notice to the Representative. </w:t>
      </w:r>
      <w:r>
        <w:rPr>
          <w:rFonts w:ascii="Arial" w:cs="Arial" w:eastAsia="Arial" w:hAnsi="Arial"/>
          <w:sz w:val="18"/>
          <w:szCs w:val="18"/>
          <w:color w:val="auto"/>
        </w:rPr>
        <w:t>The Company will advise the Representative promptly, and confirm such advice in writing, (i) when any</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40"/>
          </w:cols>
          <w:pgMar w:left="880" w:top="274" w:right="479" w:bottom="1440" w:gutter="0" w:footer="0" w:header="0"/>
        </w:sectPr>
      </w:pPr>
    </w:p>
    <w:bookmarkStart w:id="23" w:name="page24"/>
    <w:bookmarkEnd w:id="2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any Marketing Materials or the Prospectus or the initiation or threatening of any proceeding for that purpose or pursuant to Section 8A of the Securities Act; (v) 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 the Prospectus or suspending any such qualification of the Securities and, if any such order is issued, will use commercially reasonable efforts to obtain as soon as possible the withdrawal thereof.</w:t>
      </w:r>
    </w:p>
    <w:p>
      <w:pPr>
        <w:spacing w:after="0" w:line="80" w:lineRule="exact"/>
        <w:rPr>
          <w:sz w:val="20"/>
          <w:szCs w:val="20"/>
          <w:color w:val="auto"/>
        </w:rPr>
      </w:pPr>
    </w:p>
    <w:p>
      <w:pPr>
        <w:ind w:firstLine="428"/>
        <w:spacing w:after="0" w:line="285"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 exist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24" w:name="page25"/>
    <w:bookmarkEnd w:id="24"/>
    <w:p>
      <w:pPr>
        <w:jc w:val="both"/>
        <w:ind w:right="360" w:firstLine="428"/>
        <w:spacing w:after="0" w:line="288" w:lineRule="auto"/>
        <w:tabs>
          <w:tab w:leader="none" w:pos="678"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Blue Sky Compliance. </w:t>
      </w:r>
      <w:r>
        <w:rPr>
          <w:rFonts w:ascii="Arial" w:cs="Arial" w:eastAsia="Arial" w:hAnsi="Arial"/>
          <w:sz w:val="16"/>
          <w:szCs w:val="16"/>
          <w:color w:val="auto"/>
        </w:rPr>
        <w:t>The Company will use commercially reasonable efforts, in cooperation with the Representative, to qualify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for offer and sale under the securities or Blue Sky laws of such jurisdictions as the Representative shall reasonably request and will continue such qualifications in effect so long as required for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w:t>
      </w:r>
    </w:p>
    <w:p>
      <w:pPr>
        <w:ind w:right="80" w:firstLine="4"/>
        <w:spacing w:after="0" w:line="255"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2" w:lineRule="exact"/>
        <w:rPr>
          <w:rFonts w:ascii="Arial" w:cs="Arial" w:eastAsia="Arial" w:hAnsi="Arial"/>
          <w:sz w:val="18"/>
          <w:szCs w:val="18"/>
          <w:color w:val="auto"/>
        </w:rPr>
      </w:pPr>
    </w:p>
    <w:p>
      <w:pPr>
        <w:ind w:right="180" w:firstLine="428"/>
        <w:spacing w:after="0" w:line="276" w:lineRule="auto"/>
        <w:tabs>
          <w:tab w:leader="none" w:pos="678"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Earning Statement. </w:t>
      </w:r>
      <w:r>
        <w:rPr>
          <w:rFonts w:ascii="Arial" w:cs="Arial" w:eastAsia="Arial" w:hAnsi="Arial"/>
          <w:sz w:val="17"/>
          <w:szCs w:val="17"/>
          <w:color w:val="auto"/>
        </w:rPr>
        <w:t>The Company will make generally available to its security holders and the Representative as soon as practicable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earning 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w:t>
      </w:r>
      <w:r>
        <w:rPr>
          <w:rFonts w:ascii="Arial" w:cs="Arial" w:eastAsia="Arial" w:hAnsi="Arial"/>
          <w:sz w:val="17"/>
          <w:szCs w:val="17"/>
          <w:color w:val="auto"/>
        </w:rPr>
        <w:t>the Company will be deemed to have complied with such requirement by filing such an earning statement on the Commission’s Electronic</w:t>
      </w:r>
      <w:r>
        <w:rPr>
          <w:rFonts w:ascii="Arial" w:cs="Arial" w:eastAsia="Arial" w:hAnsi="Arial"/>
          <w:sz w:val="17"/>
          <w:szCs w:val="17"/>
          <w:i w:val="1"/>
          <w:iCs w:val="1"/>
          <w:color w:val="auto"/>
        </w:rPr>
        <w:t xml:space="preserve"> </w:t>
      </w:r>
      <w:r>
        <w:rPr>
          <w:rFonts w:ascii="Arial" w:cs="Arial" w:eastAsia="Arial" w:hAnsi="Arial"/>
          <w:sz w:val="17"/>
          <w:szCs w:val="17"/>
          <w:color w:val="auto"/>
        </w:rPr>
        <w:t>Data Gathering, Analysis, and Retrieval system (or any successor system) (“EDGAR”).</w:t>
      </w:r>
    </w:p>
    <w:p>
      <w:pPr>
        <w:spacing w:after="0" w:line="64" w:lineRule="exact"/>
        <w:rPr>
          <w:rFonts w:ascii="Arial" w:cs="Arial" w:eastAsia="Arial" w:hAnsi="Arial"/>
          <w:sz w:val="17"/>
          <w:szCs w:val="17"/>
          <w:color w:val="auto"/>
        </w:rPr>
      </w:pPr>
    </w:p>
    <w:p>
      <w:pPr>
        <w:ind w:right="60" w:firstLine="428"/>
        <w:spacing w:after="0" w:line="254" w:lineRule="auto"/>
        <w:tabs>
          <w:tab w:leader="none" w:pos="63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Through the Closing Date, the Company will not (i) offer, pledge, sell, contract to sell, sell any option or contract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Underwriters, other than the Securities to be sold hereunder for purposes of interest rate hedging.</w:t>
      </w:r>
    </w:p>
    <w:p>
      <w:pPr>
        <w:spacing w:after="0" w:line="84" w:lineRule="exact"/>
        <w:rPr>
          <w:rFonts w:ascii="Arial" w:cs="Arial" w:eastAsia="Arial" w:hAnsi="Arial"/>
          <w:sz w:val="18"/>
          <w:szCs w:val="18"/>
          <w:color w:val="auto"/>
        </w:rPr>
      </w:pPr>
    </w:p>
    <w:p>
      <w:pPr>
        <w:ind w:right="420" w:firstLine="428"/>
        <w:spacing w:after="0" w:line="277" w:lineRule="auto"/>
        <w:tabs>
          <w:tab w:leader="none" w:pos="63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apply the net proceeds from the sale of the Securities in all material respects as described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Disclosure Package and the Prospectus under the heading “Use of Proceeds.”</w:t>
      </w:r>
    </w:p>
    <w:p>
      <w:pPr>
        <w:spacing w:after="0" w:line="62" w:lineRule="exact"/>
        <w:rPr>
          <w:rFonts w:ascii="Arial" w:cs="Arial" w:eastAsia="Arial" w:hAnsi="Arial"/>
          <w:sz w:val="18"/>
          <w:szCs w:val="18"/>
          <w:color w:val="auto"/>
        </w:rPr>
      </w:pPr>
    </w:p>
    <w:p>
      <w:pPr>
        <w:ind w:right="80" w:firstLine="428"/>
        <w:spacing w:after="0" w:line="264" w:lineRule="auto"/>
        <w:tabs>
          <w:tab w:leader="none" w:pos="67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or Manipulation. </w:t>
      </w:r>
      <w:r>
        <w:rPr>
          <w:rFonts w:ascii="Arial" w:cs="Arial" w:eastAsia="Arial" w:hAnsi="Arial"/>
          <w:sz w:val="18"/>
          <w:szCs w:val="18"/>
          <w:color w:val="auto"/>
        </w:rPr>
        <w:t>The Company will not take, directly or indirectly, without giving effect to any activities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any action designed, or that would reasonably be expected, to cause or result in any stabilization or manipulation of the price of the Securities.</w:t>
      </w:r>
    </w:p>
    <w:p>
      <w:pPr>
        <w:spacing w:after="0" w:line="73" w:lineRule="exact"/>
        <w:rPr>
          <w:rFonts w:ascii="Arial" w:cs="Arial" w:eastAsia="Arial" w:hAnsi="Arial"/>
          <w:sz w:val="18"/>
          <w:szCs w:val="18"/>
          <w:color w:val="auto"/>
        </w:rPr>
      </w:pPr>
    </w:p>
    <w:p>
      <w:pPr>
        <w:ind w:firstLine="428"/>
        <w:spacing w:after="0" w:line="257" w:lineRule="auto"/>
        <w:tabs>
          <w:tab w:leader="none" w:pos="63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Securities are outstanding, the Company will furnish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 to the extent they are filed on EDGAR.</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80" w:top="274" w:right="439" w:bottom="1440" w:gutter="0" w:footer="0" w:header="0"/>
        </w:sectPr>
      </w:pPr>
    </w:p>
    <w:bookmarkStart w:id="25" w:name="page26"/>
    <w:bookmarkEnd w:id="25"/>
    <w:p>
      <w:pPr>
        <w:ind w:right="680" w:firstLine="428"/>
        <w:spacing w:after="0" w:line="257" w:lineRule="auto"/>
        <w:tabs>
          <w:tab w:leader="none" w:pos="72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Development Company</w:t>
      </w:r>
      <w:r>
        <w:rPr>
          <w:rFonts w:ascii="Arial" w:cs="Arial" w:eastAsia="Arial" w:hAnsi="Arial"/>
          <w:sz w:val="18"/>
          <w:szCs w:val="18"/>
          <w:color w:val="auto"/>
        </w:rPr>
        <w:t>. The Company, during a period of twelve months from the date of the Prospectus, will use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commercially reasonable efforts to maintain its status as a business development company under the Investment Company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change the nature of its business so as to cease to be, or withdraw its election to be treated as,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company with the approval of its Board of Directors and a vote of stockholders as required by Section 58 of the Investment Company Act.</w:t>
      </w:r>
    </w:p>
    <w:p>
      <w:pPr>
        <w:spacing w:after="0" w:line="80" w:lineRule="exact"/>
        <w:rPr>
          <w:rFonts w:ascii="Arial" w:cs="Arial" w:eastAsia="Arial" w:hAnsi="Arial"/>
          <w:sz w:val="18"/>
          <w:szCs w:val="18"/>
          <w:color w:val="auto"/>
        </w:rPr>
      </w:pPr>
    </w:p>
    <w:p>
      <w:pPr>
        <w:ind w:right="460" w:firstLine="428"/>
        <w:spacing w:after="0" w:line="264" w:lineRule="auto"/>
        <w:tabs>
          <w:tab w:leader="none" w:pos="67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to be treated as a regulated investment company under Subchapter M of the Code for each taxable year during which it is a business development company under the Investment Company Act.</w:t>
      </w:r>
    </w:p>
    <w:p>
      <w:pPr>
        <w:spacing w:after="0" w:line="73" w:lineRule="exact"/>
        <w:rPr>
          <w:rFonts w:ascii="Arial" w:cs="Arial" w:eastAsia="Arial" w:hAnsi="Arial"/>
          <w:sz w:val="18"/>
          <w:szCs w:val="18"/>
          <w:color w:val="auto"/>
        </w:rPr>
      </w:pPr>
    </w:p>
    <w:p>
      <w:pPr>
        <w:ind w:right="80" w:firstLine="428"/>
        <w:spacing w:after="0" w:line="257" w:lineRule="auto"/>
        <w:tabs>
          <w:tab w:leader="none" w:pos="67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80" w:lineRule="exact"/>
        <w:rPr>
          <w:rFonts w:ascii="Arial" w:cs="Arial" w:eastAsia="Arial" w:hAnsi="Arial"/>
          <w:sz w:val="18"/>
          <w:szCs w:val="18"/>
          <w:color w:val="auto"/>
        </w:rPr>
      </w:pPr>
    </w:p>
    <w:p>
      <w:pPr>
        <w:ind w:firstLine="428"/>
        <w:spacing w:after="0" w:line="254" w:lineRule="auto"/>
        <w:tabs>
          <w:tab w:leader="none" w:pos="67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w:t>
      </w:r>
      <w:r>
        <w:rPr>
          <w:rFonts w:ascii="Arial" w:cs="Arial" w:eastAsia="Arial" w:hAnsi="Arial"/>
          <w:sz w:val="18"/>
          <w:szCs w:val="18"/>
          <w:color w:val="auto"/>
        </w:rPr>
        <w:t>. The Company represents and agrees that, without the prior consent of the Representative (i) it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any offering material other than the Registration Statement, the Pricing Disclosure Package, the Prospectus or the information set forth on Schedule 2 hereto, and (ii) it has not made and will not make any offer 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92" w:lineRule="exact"/>
        <w:rPr>
          <w:rFonts w:ascii="Arial" w:cs="Arial" w:eastAsia="Arial" w:hAnsi="Arial"/>
          <w:sz w:val="18"/>
          <w:szCs w:val="18"/>
          <w:color w:val="auto"/>
        </w:rPr>
      </w:pPr>
    </w:p>
    <w:p>
      <w:pPr>
        <w:ind w:left="180" w:hanging="176"/>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rFonts w:ascii="Arial" w:cs="Arial" w:eastAsia="Arial" w:hAnsi="Arial"/>
          <w:sz w:val="18"/>
          <w:szCs w:val="18"/>
          <w:color w:val="auto"/>
        </w:rPr>
      </w:pPr>
    </w:p>
    <w:p>
      <w:pPr>
        <w:ind w:firstLine="428"/>
        <w:spacing w:after="0" w:line="259" w:lineRule="auto"/>
        <w:tabs>
          <w:tab w:leader="none" w:pos="6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80" w:top="274" w:right="439" w:bottom="1440" w:gutter="0" w:footer="0" w:header="0"/>
        </w:sectPr>
      </w:pPr>
    </w:p>
    <w:bookmarkStart w:id="26" w:name="page27"/>
    <w:bookmarkEnd w:id="26"/>
    <w:p>
      <w:pPr>
        <w:ind w:left="380" w:right="440" w:firstLine="428"/>
        <w:spacing w:after="0" w:line="342" w:lineRule="auto"/>
        <w:tabs>
          <w:tab w:leader="none" w:pos="1058"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23" w:lineRule="exact"/>
        <w:rPr>
          <w:rFonts w:ascii="Arial" w:cs="Arial" w:eastAsia="Arial" w:hAnsi="Arial"/>
          <w:sz w:val="16"/>
          <w:szCs w:val="16"/>
          <w:color w:val="auto"/>
        </w:rPr>
      </w:pPr>
    </w:p>
    <w:p>
      <w:pPr>
        <w:ind w:left="-60" w:right="40" w:firstLine="444"/>
        <w:spacing w:after="0" w:line="308" w:lineRule="auto"/>
        <w:tabs>
          <w:tab w:leader="none" w:pos="56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xml:space="preserve"> The obligation of each Underwriter to purchase the Securities on the Closing Date as provided herein is subject to the performance by the Company of its covenants and other obligations hereunder and to the following additional conditions:</w:t>
      </w:r>
    </w:p>
    <w:p>
      <w:pPr>
        <w:spacing w:after="0" w:line="38" w:lineRule="exact"/>
        <w:rPr>
          <w:rFonts w:ascii="Arial" w:cs="Arial" w:eastAsia="Arial" w:hAnsi="Arial"/>
          <w:sz w:val="17"/>
          <w:szCs w:val="17"/>
          <w:color w:val="auto"/>
        </w:rPr>
      </w:pPr>
    </w:p>
    <w:p>
      <w:pPr>
        <w:ind w:left="380" w:right="360" w:firstLine="428"/>
        <w:spacing w:after="0" w:line="257" w:lineRule="auto"/>
        <w:tabs>
          <w:tab w:leader="none" w:pos="1048"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Compliance; No Stop Order. </w:t>
      </w:r>
      <w:r>
        <w:rPr>
          <w:rFonts w:ascii="Arial" w:cs="Arial" w:eastAsia="Arial" w:hAnsi="Arial"/>
          <w:sz w:val="18"/>
          <w:szCs w:val="18"/>
          <w:color w:val="auto"/>
        </w:rPr>
        <w:t>No order suspending the effectiveness of the Registration Statement or any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thereto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w:t>
      </w:r>
    </w:p>
    <w:p>
      <w:pPr>
        <w:spacing w:after="0" w:line="80" w:lineRule="exact"/>
        <w:rPr>
          <w:rFonts w:ascii="Arial" w:cs="Arial" w:eastAsia="Arial" w:hAnsi="Arial"/>
          <w:sz w:val="18"/>
          <w:szCs w:val="18"/>
          <w:color w:val="auto"/>
        </w:rPr>
      </w:pPr>
    </w:p>
    <w:p>
      <w:pPr>
        <w:ind w:left="380" w:firstLine="428"/>
        <w:spacing w:after="0" w:line="264" w:lineRule="auto"/>
        <w:tabs>
          <w:tab w:leader="none" w:pos="1058"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and the statements of the Company and its officers made in any certificates delivered pursuant to this Agreement shall be true and correct on and as of the Closing Date.</w:t>
      </w:r>
    </w:p>
    <w:p>
      <w:pPr>
        <w:spacing w:after="0" w:line="73" w:lineRule="exact"/>
        <w:rPr>
          <w:rFonts w:ascii="Arial" w:cs="Arial" w:eastAsia="Arial" w:hAnsi="Arial"/>
          <w:sz w:val="18"/>
          <w:szCs w:val="18"/>
          <w:color w:val="auto"/>
        </w:rPr>
      </w:pPr>
    </w:p>
    <w:p>
      <w:pPr>
        <w:ind w:left="380" w:right="20" w:firstLine="428"/>
        <w:spacing w:after="0" w:line="257" w:lineRule="auto"/>
        <w:tabs>
          <w:tab w:leader="none" w:pos="1048"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3(g) and Section 4(a) hereof shall have occurred 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on the terms and in the manner contemplated by this Agreement, the Pricing Disclosure Package and the Prospectus.</w:t>
      </w:r>
    </w:p>
    <w:p>
      <w:pPr>
        <w:spacing w:after="0" w:line="80" w:lineRule="exact"/>
        <w:rPr>
          <w:rFonts w:ascii="Arial" w:cs="Arial" w:eastAsia="Arial" w:hAnsi="Arial"/>
          <w:sz w:val="18"/>
          <w:szCs w:val="18"/>
          <w:color w:val="auto"/>
        </w:rPr>
      </w:pPr>
    </w:p>
    <w:p>
      <w:pPr>
        <w:ind w:left="380" w:right="40" w:firstLine="428"/>
        <w:spacing w:after="0" w:line="285" w:lineRule="auto"/>
        <w:tabs>
          <w:tab w:leader="none" w:pos="1058"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Company’s Officer’s Certificate. </w:t>
      </w:r>
      <w:r>
        <w:rPr>
          <w:rFonts w:ascii="Arial" w:cs="Arial" w:eastAsia="Arial" w:hAnsi="Arial"/>
          <w:sz w:val="16"/>
          <w:szCs w:val="16"/>
          <w:color w:val="auto"/>
        </w:rPr>
        <w:t>The Representative shall have received on and as of the Closing Date a certificate, which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on 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Registration Statement, the Pricing Disclosure Package and the Prospectus, (ii) confirming that, to the knowledge of such officers, the representations and warranties of the Company in Sections 3(b), 3(c) and 3(e) hereof are true and correct,</w:t>
      </w:r>
    </w:p>
    <w:p>
      <w:pPr>
        <w:spacing w:after="0" w:line="2" w:lineRule="exact"/>
        <w:rPr>
          <w:rFonts w:ascii="Arial" w:cs="Arial" w:eastAsia="Arial" w:hAnsi="Arial"/>
          <w:sz w:val="16"/>
          <w:szCs w:val="16"/>
          <w:color w:val="auto"/>
        </w:rPr>
      </w:pPr>
    </w:p>
    <w:p>
      <w:pPr>
        <w:ind w:left="380" w:right="40"/>
        <w:spacing w:after="0" w:line="254" w:lineRule="auto"/>
        <w:rPr>
          <w:rFonts w:ascii="Arial" w:cs="Arial" w:eastAsia="Arial" w:hAnsi="Arial"/>
          <w:sz w:val="16"/>
          <w:szCs w:val="16"/>
          <w:color w:val="auto"/>
        </w:rPr>
      </w:pPr>
      <w:r>
        <w:rPr>
          <w:rFonts w:ascii="Arial" w:cs="Arial" w:eastAsia="Arial" w:hAnsi="Arial"/>
          <w:sz w:val="18"/>
          <w:szCs w:val="18"/>
          <w:color w:val="auto"/>
        </w:rPr>
        <w:t>(iii)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to the effect set forth in paragraph (a) above and, with respect to the Company and its subsidiaries, to the effect set forth in paragraph (c) above.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500" w:top="274" w:right="479" w:bottom="1440" w:gutter="0" w:footer="0" w:header="0"/>
        </w:sectPr>
      </w:pPr>
    </w:p>
    <w:bookmarkStart w:id="27" w:name="page28"/>
    <w:bookmarkEnd w:id="27"/>
    <w:p>
      <w:pPr>
        <w:ind w:right="180" w:firstLine="428"/>
        <w:spacing w:after="0" w:line="297" w:lineRule="auto"/>
        <w:tabs>
          <w:tab w:leader="none" w:pos="668"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Adviser’s Officer’s Certificate. </w:t>
      </w:r>
      <w:r>
        <w:rPr>
          <w:rFonts w:ascii="Arial" w:cs="Arial" w:eastAsia="Arial" w:hAnsi="Arial"/>
          <w:sz w:val="16"/>
          <w:szCs w:val="16"/>
          <w:color w:val="auto"/>
        </w:rPr>
        <w:t>The Representative shall have received on and as of the Closing Date a certificate, which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 (ii) with respect to the Adviser and its subsidiaries, to the effect set forth in paragraph (c) above.</w:t>
      </w:r>
    </w:p>
    <w:p>
      <w:pPr>
        <w:spacing w:after="0" w:line="50" w:lineRule="exact"/>
        <w:rPr>
          <w:rFonts w:ascii="Arial" w:cs="Arial" w:eastAsia="Arial" w:hAnsi="Arial"/>
          <w:sz w:val="16"/>
          <w:szCs w:val="16"/>
          <w:color w:val="auto"/>
        </w:rPr>
      </w:pPr>
    </w:p>
    <w:p>
      <w:pPr>
        <w:ind w:right="20" w:firstLine="428"/>
        <w:spacing w:after="0" w:line="273" w:lineRule="auto"/>
        <w:tabs>
          <w:tab w:leader="none" w:pos="648"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Comfort Letters. </w:t>
      </w:r>
      <w:r>
        <w:rPr>
          <w:rFonts w:ascii="Arial" w:cs="Arial" w:eastAsia="Arial" w:hAnsi="Arial"/>
          <w:sz w:val="17"/>
          <w:szCs w:val="17"/>
          <w:color w:val="auto"/>
        </w:rPr>
        <w:t>On the date of this Agreement and on the Closing Date KPMG LLP shall have furnished to the Representative,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shall use a “cut-off” date no more than three business days prior to the Closing Date.</w:t>
      </w:r>
    </w:p>
    <w:p>
      <w:pPr>
        <w:spacing w:after="0" w:line="70" w:lineRule="exact"/>
        <w:rPr>
          <w:rFonts w:ascii="Arial" w:cs="Arial" w:eastAsia="Arial" w:hAnsi="Arial"/>
          <w:sz w:val="17"/>
          <w:szCs w:val="17"/>
          <w:color w:val="auto"/>
        </w:rPr>
      </w:pPr>
    </w:p>
    <w:p>
      <w:pPr>
        <w:ind w:firstLine="428"/>
        <w:spacing w:after="0" w:line="270" w:lineRule="auto"/>
        <w:tabs>
          <w:tab w:leader="none" w:pos="678"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Company and Adviser. </w:t>
      </w:r>
      <w:r>
        <w:rPr>
          <w:rFonts w:ascii="Arial" w:cs="Arial" w:eastAsia="Arial" w:hAnsi="Arial"/>
          <w:sz w:val="17"/>
          <w:szCs w:val="17"/>
          <w:color w:val="auto"/>
        </w:rPr>
        <w:t>Cleary Gottlieb Steen &amp; Hamilton LLP, counsel for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Adviser, shall have furnished to the Representative, at the request of the Company and the Adviser, their written opinions and 10b-5 letter, dated the Closing Date and addressed to the Underwriters, in form and substance reasonably satisfactory to the Representative. Schulte Roth &amp; Zabel LLP, Investment Company Act counsel for the Company and Advisers Act counsel for the Adviser, shall have furnished to the Representative, at the request of the Company and the Adviser, their written opinion, dated the Closing Date and addressed to the Underwriters,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and addressed to the Underwriters, in form and substance reasonably satisfactory to the Representative. In-house counsel to the Company and the Adviser, shall have furnished to the Representative its written opinion, dated the Closing Date and addressed to the Underwriters, in form and substance reasonably satisfactory to the Representative.</w:t>
      </w:r>
    </w:p>
    <w:p>
      <w:pPr>
        <w:spacing w:after="0" w:line="69" w:lineRule="exact"/>
        <w:rPr>
          <w:rFonts w:ascii="Arial" w:cs="Arial" w:eastAsia="Arial" w:hAnsi="Arial"/>
          <w:sz w:val="17"/>
          <w:szCs w:val="17"/>
          <w:color w:val="auto"/>
        </w:rPr>
      </w:pPr>
    </w:p>
    <w:p>
      <w:pPr>
        <w:ind w:right="120" w:firstLine="428"/>
        <w:spacing w:after="0" w:line="259" w:lineRule="auto"/>
        <w:tabs>
          <w:tab w:leader="none" w:pos="67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 shall have received on and as of the Closing Date an</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and 10b-5 statement of Ropes &amp; Gray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78" w:lineRule="exact"/>
        <w:rPr>
          <w:rFonts w:ascii="Arial" w:cs="Arial" w:eastAsia="Arial" w:hAnsi="Arial"/>
          <w:sz w:val="18"/>
          <w:szCs w:val="18"/>
          <w:color w:val="auto"/>
        </w:rPr>
      </w:pPr>
    </w:p>
    <w:p>
      <w:pPr>
        <w:ind w:firstLine="428"/>
        <w:spacing w:after="0" w:line="259" w:lineRule="auto"/>
        <w:tabs>
          <w:tab w:leader="none" w:pos="63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w:t>
      </w:r>
      <w:r>
        <w:rPr>
          <w:rFonts w:ascii="Arial" w:cs="Arial" w:eastAsia="Arial" w:hAnsi="Arial"/>
          <w:sz w:val="18"/>
          <w:szCs w:val="18"/>
          <w:color w:val="auto"/>
        </w:rPr>
        <w:t>No action shall have been taken and no statute, rule, regulation or order shall have been enacted,</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or issued by any federal, state or foreign governmental or regulatory authority that would, as of the Closing Date, prevent the issuance and sale of the Securities; and no injunction or order of any federal, state or foreign court shall have been issued that would, as of the Closing Date, prevent the issuance and sale of the Securities.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880" w:top="274" w:right="439" w:bottom="1440" w:gutter="0" w:footer="0" w:header="0"/>
        </w:sectPr>
      </w:pPr>
    </w:p>
    <w:bookmarkStart w:id="28" w:name="page29"/>
    <w:bookmarkEnd w:id="28"/>
    <w:p>
      <w:pPr>
        <w:ind w:left="440" w:right="320" w:firstLine="428"/>
        <w:spacing w:after="0" w:line="259" w:lineRule="auto"/>
        <w:tabs>
          <w:tab w:leader="none" w:pos="107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Standing</w:t>
      </w:r>
      <w:r>
        <w:rPr>
          <w:rFonts w:ascii="Arial" w:cs="Arial" w:eastAsia="Arial" w:hAnsi="Arial"/>
          <w:sz w:val="18"/>
          <w:szCs w:val="18"/>
          <w:color w:val="auto"/>
        </w:rPr>
        <w:t>. The Representative shall have received on and as of the Closing Date reasonably satisfactory evidence of the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78" w:lineRule="exact"/>
        <w:rPr>
          <w:rFonts w:ascii="Arial" w:cs="Arial" w:eastAsia="Arial" w:hAnsi="Arial"/>
          <w:sz w:val="18"/>
          <w:szCs w:val="18"/>
          <w:color w:val="auto"/>
        </w:rPr>
      </w:pPr>
    </w:p>
    <w:p>
      <w:pPr>
        <w:ind w:left="440" w:right="240" w:firstLine="428"/>
        <w:spacing w:after="0" w:line="277" w:lineRule="auto"/>
        <w:tabs>
          <w:tab w:leader="none" w:pos="111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Second Supplemental Indenture and Securities</w:t>
      </w:r>
      <w:r>
        <w:rPr>
          <w:rFonts w:ascii="Arial" w:cs="Arial" w:eastAsia="Arial" w:hAnsi="Arial"/>
          <w:sz w:val="18"/>
          <w:szCs w:val="18"/>
          <w:color w:val="auto"/>
        </w:rPr>
        <w:t>. On or prior to the Closing Date, the Company and the Trustee shall have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the Second Supplemental Indenture and the Securities.</w:t>
      </w:r>
    </w:p>
    <w:p>
      <w:pPr>
        <w:spacing w:after="0" w:line="62" w:lineRule="exact"/>
        <w:rPr>
          <w:rFonts w:ascii="Arial" w:cs="Arial" w:eastAsia="Arial" w:hAnsi="Arial"/>
          <w:sz w:val="18"/>
          <w:szCs w:val="18"/>
          <w:color w:val="auto"/>
        </w:rPr>
      </w:pPr>
    </w:p>
    <w:p>
      <w:pPr>
        <w:ind w:left="440" w:right="200" w:firstLine="428"/>
        <w:spacing w:after="0" w:line="255" w:lineRule="auto"/>
        <w:tabs>
          <w:tab w:leader="none" w:pos="107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No Downgrade</w:t>
      </w:r>
      <w:r>
        <w:rPr>
          <w:rFonts w:ascii="Arial" w:cs="Arial" w:eastAsia="Arial" w:hAnsi="Arial"/>
          <w:sz w:val="18"/>
          <w:szCs w:val="18"/>
          <w:color w:val="auto"/>
        </w:rPr>
        <w:t>. Subsequent to the earlier of (A) the Applicable Time and (B) the execution and delivery of this Agreement, if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any 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85" w:lineRule="exact"/>
        <w:rPr>
          <w:rFonts w:ascii="Arial" w:cs="Arial" w:eastAsia="Arial" w:hAnsi="Arial"/>
          <w:sz w:val="18"/>
          <w:szCs w:val="18"/>
          <w:color w:val="auto"/>
        </w:rPr>
      </w:pPr>
    </w:p>
    <w:p>
      <w:pPr>
        <w:ind w:left="440" w:right="40" w:firstLine="428"/>
        <w:spacing w:after="0" w:line="277" w:lineRule="auto"/>
        <w:tabs>
          <w:tab w:leader="none" w:pos="116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the Company shall have furnished to the Representative such further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documents as the Representative may reasonably request.</w:t>
      </w:r>
    </w:p>
    <w:p>
      <w:pPr>
        <w:spacing w:after="0" w:line="170"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20" w:hanging="17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69" w:lineRule="auto"/>
        <w:tabs>
          <w:tab w:leader="none" w:pos="1108"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9" w:name="page30"/>
    <w:bookmarkEnd w:id="29"/>
    <w:p>
      <w:pPr>
        <w:ind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w:t>
      </w:r>
    </w:p>
    <w:p>
      <w:pPr>
        <w:spacing w:after="0" w:line="80" w:lineRule="exact"/>
        <w:rPr>
          <w:sz w:val="20"/>
          <w:szCs w:val="20"/>
          <w:color w:val="auto"/>
        </w:rPr>
      </w:pPr>
    </w:p>
    <w:p>
      <w:pPr>
        <w:ind w:firstLine="428"/>
        <w:spacing w:after="0" w:line="287" w:lineRule="auto"/>
        <w:tabs>
          <w:tab w:leader="none" w:pos="678"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Issuer Free Writing Prospectus, any road show, any Marketing Materials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the sixth paragraph and the information regarding stabilizing transactions contained in the eleventh, twelfth and thirteenth paragraphs.</w:t>
      </w:r>
    </w:p>
    <w:p>
      <w:pPr>
        <w:spacing w:after="0" w:line="64" w:lineRule="exact"/>
        <w:rPr>
          <w:rFonts w:ascii="Arial" w:cs="Arial" w:eastAsia="Arial" w:hAnsi="Arial"/>
          <w:sz w:val="16"/>
          <w:szCs w:val="16"/>
          <w:color w:val="auto"/>
        </w:rPr>
      </w:pPr>
    </w:p>
    <w:p>
      <w:pPr>
        <w:ind w:right="80" w:firstLine="428"/>
        <w:spacing w:after="0" w:line="268" w:lineRule="auto"/>
        <w:tabs>
          <w:tab w:leader="none" w:pos="668"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80"/>
          </w:cols>
          <w:pgMar w:left="880" w:top="274" w:right="439" w:bottom="1440" w:gutter="0" w:footer="0" w:header="0"/>
        </w:sectPr>
      </w:pPr>
    </w:p>
    <w:bookmarkStart w:id="30" w:name="page31"/>
    <w:bookmarkEnd w:id="3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74" w:lineRule="exact"/>
        <w:rPr>
          <w:sz w:val="20"/>
          <w:szCs w:val="20"/>
          <w:color w:val="auto"/>
        </w:rPr>
      </w:pPr>
    </w:p>
    <w:p>
      <w:pPr>
        <w:ind w:right="80" w:firstLine="428"/>
        <w:spacing w:after="0" w:line="270" w:lineRule="auto"/>
        <w:tabs>
          <w:tab w:leader="none" w:pos="678"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0"/>
          </w:cols>
          <w:pgMar w:left="880" w:top="274" w:right="439" w:bottom="1440" w:gutter="0" w:footer="0" w:header="0"/>
        </w:sectPr>
      </w:pPr>
    </w:p>
    <w:bookmarkStart w:id="31" w:name="page32"/>
    <w:bookmarkEnd w:id="31"/>
    <w:p>
      <w:pPr>
        <w:ind w:left="440"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84" w:lineRule="exact"/>
        <w:rPr>
          <w:sz w:val="20"/>
          <w:szCs w:val="20"/>
          <w:color w:val="auto"/>
        </w:rPr>
      </w:pPr>
    </w:p>
    <w:p>
      <w:pPr>
        <w:ind w:left="440" w:firstLine="428"/>
        <w:spacing w:after="0" w:line="269" w:lineRule="auto"/>
        <w:tabs>
          <w:tab w:leader="none" w:pos="1108"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paragraph (d) 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71" w:lineRule="exact"/>
        <w:rPr>
          <w:rFonts w:ascii="Arial" w:cs="Arial" w:eastAsia="Arial" w:hAnsi="Arial"/>
          <w:sz w:val="17"/>
          <w:szCs w:val="17"/>
          <w:color w:val="auto"/>
        </w:rPr>
      </w:pPr>
    </w:p>
    <w:p>
      <w:pPr>
        <w:ind w:left="440" w:right="80" w:firstLine="428"/>
        <w:spacing w:after="0" w:line="277"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or remedies which may otherwise be available to any Indemnified Person at law or in equity.</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80" w:firstLine="444"/>
        <w:spacing w:after="0" w:line="271" w:lineRule="auto"/>
        <w:tabs>
          <w:tab w:leader="none" w:pos="71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on the terms and in the manner contemplated by this Agreement, the Pricing Disclosure Package and the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2" w:name="page33"/>
    <w:bookmarkEnd w:id="32"/>
    <w:p>
      <w:pPr>
        <w:ind w:left="260" w:hanging="256"/>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Defaulting Underwriter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28"/>
        <w:spacing w:after="0" w:line="269" w:lineRule="auto"/>
        <w:tabs>
          <w:tab w:leader="none" w:pos="668"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71" w:lineRule="exact"/>
        <w:rPr>
          <w:rFonts w:ascii="Arial" w:cs="Arial" w:eastAsia="Arial" w:hAnsi="Arial"/>
          <w:sz w:val="17"/>
          <w:szCs w:val="17"/>
          <w:color w:val="auto"/>
        </w:rPr>
      </w:pPr>
    </w:p>
    <w:p>
      <w:pPr>
        <w:ind w:left="680" w:hanging="252"/>
        <w:spacing w:after="0"/>
        <w:tabs>
          <w:tab w:leader="none" w:pos="6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the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non-defaulting Underwriters and the Company as provided in paragraph (a) above, the aggregate principal amount of Securities that remain unpurchased on the Closing Date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w:t>
      </w:r>
    </w:p>
    <w:p>
      <w:pPr>
        <w:spacing w:after="0" w:line="86" w:lineRule="exact"/>
        <w:rPr>
          <w:sz w:val="20"/>
          <w:szCs w:val="20"/>
          <w:color w:val="auto"/>
        </w:rPr>
      </w:pPr>
    </w:p>
    <w:p>
      <w:pPr>
        <w:ind w:right="80" w:firstLine="428"/>
        <w:spacing w:after="0" w:line="272" w:lineRule="auto"/>
        <w:tabs>
          <w:tab w:leader="none" w:pos="668"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exceeds one-eleventh of the aggregate principal amount of Securities to be purchased on such date,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80" w:top="274" w:right="459" w:bottom="1440" w:gutter="0" w:footer="0" w:header="0"/>
        </w:sectPr>
      </w:pPr>
    </w:p>
    <w:bookmarkStart w:id="33" w:name="page34"/>
    <w:bookmarkEnd w:id="33"/>
    <w:p>
      <w:pPr>
        <w:ind w:left="440" w:right="540" w:firstLine="428"/>
        <w:spacing w:after="0" w:line="277" w:lineRule="auto"/>
        <w:tabs>
          <w:tab w:leader="none" w:pos="1118" w:val="left"/>
        </w:tabs>
        <w:numPr>
          <w:ilvl w:val="1"/>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contained herein shall relieve a defaulting Underwriter of any liability it may have to the Company or any non-defaulting Underwriter for damages caused by its default.</w:t>
      </w:r>
    </w:p>
    <w:p>
      <w:pPr>
        <w:spacing w:after="0" w:line="170" w:lineRule="exact"/>
        <w:rPr>
          <w:rFonts w:ascii="Arial" w:cs="Arial" w:eastAsia="Arial" w:hAnsi="Arial"/>
          <w:sz w:val="18"/>
          <w:szCs w:val="18"/>
          <w:color w:val="auto"/>
        </w:rPr>
      </w:pPr>
    </w:p>
    <w:p>
      <w:pPr>
        <w:ind w:left="720" w:hanging="27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440" w:right="40" w:firstLine="428"/>
        <w:spacing w:after="0" w:line="267" w:lineRule="auto"/>
        <w:tabs>
          <w:tab w:leader="none" w:pos="1108"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 (ii) the costs incident to the preparation, printing and filing under the Securities Act of the Registration Statement, the Preliminary Prospectus, any Pricing Disclosure Package, any Marketing Materials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Underwriters); (v) all filing fees and the reasonable fees and expenses incurred in connection with any filing with, and clearance of the offering by, FINRA (such fees and expenses pursuant to this clause (v) and clause (iv), in the aggregate, shall not exceed $15,000); (vi) all expenses incurred by the Company in connection with any “road show” presentation to potential investors,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Underwriters shall be responsible for 50% of the third party costs of any chartered private aircraft incurred in connection with such road show; and (vii) the fees and expenses of the Trustee with respect to the Securities.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 party costs of any chartered private aircraft incurred in connection with the road show and all travel, lodging and other expenses of the Underwriters incurred by them in connection with any road show.</w:t>
      </w:r>
    </w:p>
    <w:p>
      <w:pPr>
        <w:spacing w:after="0" w:line="83" w:lineRule="exact"/>
        <w:rPr>
          <w:rFonts w:ascii="Arial" w:cs="Arial" w:eastAsia="Arial" w:hAnsi="Arial"/>
          <w:sz w:val="17"/>
          <w:szCs w:val="17"/>
          <w:color w:val="auto"/>
        </w:rPr>
      </w:pPr>
    </w:p>
    <w:p>
      <w:pPr>
        <w:ind w:left="440" w:firstLine="428"/>
        <w:spacing w:after="0" w:line="293" w:lineRule="auto"/>
        <w:tabs>
          <w:tab w:leader="none" w:pos="1118" w:val="left"/>
        </w:tabs>
        <w:numPr>
          <w:ilvl w:val="1"/>
          <w:numId w:val="44"/>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64" w:lineRule="exact"/>
        <w:rPr>
          <w:rFonts w:ascii="Arial" w:cs="Arial" w:eastAsia="Arial" w:hAnsi="Arial"/>
          <w:sz w:val="16"/>
          <w:szCs w:val="16"/>
          <w:color w:val="auto"/>
        </w:rPr>
      </w:pPr>
    </w:p>
    <w:p>
      <w:pPr>
        <w:ind w:right="60" w:firstLine="444"/>
        <w:spacing w:after="0" w:line="302" w:lineRule="auto"/>
        <w:tabs>
          <w:tab w:leader="none" w:pos="71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Persons Entitled to Benefit of Agreement</w:t>
      </w:r>
      <w:r>
        <w:rPr>
          <w:rFonts w:ascii="Arial" w:cs="Arial" w:eastAsia="Arial" w:hAnsi="Arial"/>
          <w:sz w:val="16"/>
          <w:szCs w:val="16"/>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4" w:name="page35"/>
    <w:bookmarkEnd w:id="34"/>
    <w:p>
      <w:pPr>
        <w:jc w:val="both"/>
        <w:ind w:left="-60" w:right="80" w:firstLine="444"/>
        <w:spacing w:after="0" w:line="302" w:lineRule="auto"/>
        <w:tabs>
          <w:tab w:leader="none" w:pos="65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Survival</w:t>
      </w:r>
      <w:r>
        <w:rPr>
          <w:rFonts w:ascii="Arial" w:cs="Arial" w:eastAsia="Arial" w:hAnsi="Arial"/>
          <w:sz w:val="16"/>
          <w:szCs w:val="16"/>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54" w:lineRule="exact"/>
        <w:rPr>
          <w:rFonts w:ascii="Arial" w:cs="Arial" w:eastAsia="Arial" w:hAnsi="Arial"/>
          <w:sz w:val="16"/>
          <w:szCs w:val="16"/>
          <w:color w:val="auto"/>
        </w:rPr>
      </w:pPr>
    </w:p>
    <w:p>
      <w:pPr>
        <w:jc w:val="both"/>
        <w:ind w:left="-60" w:right="120" w:firstLine="444"/>
        <w:spacing w:after="0" w:line="286" w:lineRule="auto"/>
        <w:tabs>
          <w:tab w:leader="none" w:pos="65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660" w:hanging="27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80" w:right="20" w:firstLine="428"/>
        <w:spacing w:after="0" w:line="259" w:lineRule="auto"/>
        <w:tabs>
          <w:tab w:leader="none" w:pos="10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380" w:firstLine="428"/>
        <w:spacing w:after="0" w:line="259" w:lineRule="auto"/>
        <w:tabs>
          <w:tab w:leader="none" w:pos="10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380" w:firstLine="428"/>
        <w:spacing w:after="0" w:line="272" w:lineRule="auto"/>
        <w:tabs>
          <w:tab w:leader="none" w:pos="1048" w:val="left"/>
        </w:tabs>
        <w:numPr>
          <w:ilvl w:val="1"/>
          <w:numId w:val="45"/>
        </w:numPr>
        <w:rPr>
          <w:rFonts w:ascii="Arial" w:cs="Arial" w:eastAsia="Arial" w:hAnsi="Arial"/>
          <w:sz w:val="17"/>
          <w:szCs w:val="17"/>
          <w:color w:val="auto"/>
        </w:rPr>
      </w:pPr>
      <w:r>
        <w:rPr>
          <w:rFonts w:ascii="Arial" w:cs="Arial" w:eastAsia="Arial" w:hAnsi="Arial"/>
          <w:sz w:val="17"/>
          <w:szCs w:val="17"/>
          <w:color w:val="auto"/>
        </w:rPr>
        <w:t>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500" w:top="274" w:right="499" w:bottom="1440" w:gutter="0" w:footer="0" w:header="0"/>
        </w:sectPr>
      </w:pPr>
    </w:p>
    <w:bookmarkStart w:id="35" w:name="page36"/>
    <w:bookmarkEnd w:id="35"/>
    <w:p>
      <w:pPr>
        <w:ind w:left="720" w:hanging="27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28"/>
        <w:spacing w:after="0" w:line="276" w:lineRule="auto"/>
        <w:tabs>
          <w:tab w:leader="none" w:pos="1108" w:val="left"/>
        </w:tabs>
        <w:numPr>
          <w:ilvl w:val="1"/>
          <w:numId w:val="46"/>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hereunder shall be in writing and shall be deemed to have been duly given if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transmitted and confirmed by any standard form of telecommunication. Notices to the Underwriters shall be given to the Representative c/o BofA Securities, Inc. 50 Rockefeller Plaza, NY1-050-12-02, New York, New York 10020 Facsimile: (646) 855-5958 Attention: High Grade Transaction Management/Legal. Notices to the Company or the Adviser shall be given to either of them at TPG Specialty Lending, Inc., 345 California Street, Suite 3300, San Francisco, California 94104 (fax: (917) 463-0175), Attention: David Stiepleman.</w:t>
      </w:r>
    </w:p>
    <w:p>
      <w:pPr>
        <w:spacing w:after="0" w:line="64" w:lineRule="exact"/>
        <w:rPr>
          <w:rFonts w:ascii="Arial" w:cs="Arial" w:eastAsia="Arial" w:hAnsi="Arial"/>
          <w:sz w:val="17"/>
          <w:szCs w:val="17"/>
          <w:color w:val="auto"/>
        </w:rPr>
      </w:pPr>
    </w:p>
    <w:p>
      <w:pPr>
        <w:ind w:left="440" w:firstLine="428"/>
        <w:spacing w:after="0" w:line="286" w:lineRule="auto"/>
        <w:tabs>
          <w:tab w:leader="none" w:pos="1118" w:val="left"/>
        </w:tabs>
        <w:numPr>
          <w:ilvl w:val="1"/>
          <w:numId w:val="46"/>
        </w:numPr>
        <w:rPr>
          <w:rFonts w:ascii="Arial" w:cs="Arial" w:eastAsia="Arial" w:hAnsi="Arial"/>
          <w:sz w:val="17"/>
          <w:szCs w:val="17"/>
          <w:color w:val="auto"/>
        </w:rPr>
      </w:pPr>
      <w:r>
        <w:rPr>
          <w:rFonts w:ascii="Arial" w:cs="Arial" w:eastAsia="Arial" w:hAnsi="Arial"/>
          <w:sz w:val="17"/>
          <w:szCs w:val="17"/>
          <w:i w:val="1"/>
          <w:iCs w:val="1"/>
          <w:color w:val="auto"/>
        </w:rPr>
        <w:t>USA Patriot Act</w:t>
      </w:r>
      <w:r>
        <w:rPr>
          <w:rFonts w:ascii="Arial" w:cs="Arial" w:eastAsia="Arial" w:hAnsi="Arial"/>
          <w:sz w:val="17"/>
          <w:szCs w:val="17"/>
          <w:color w:val="auto"/>
        </w:rPr>
        <w:t>. In accordance with the requirements of the USA Patriot Act (Title III of Pub. L, 107-56 (signed into law October 26,</w:t>
      </w:r>
      <w:r>
        <w:rPr>
          <w:rFonts w:ascii="Arial" w:cs="Arial" w:eastAsia="Arial" w:hAnsi="Arial"/>
          <w:sz w:val="17"/>
          <w:szCs w:val="17"/>
          <w:i w:val="1"/>
          <w:iCs w:val="1"/>
          <w:color w:val="auto"/>
        </w:rPr>
        <w:t xml:space="preserve"> </w:t>
      </w:r>
      <w:r>
        <w:rPr>
          <w:rFonts w:ascii="Arial" w:cs="Arial" w:eastAsia="Arial" w:hAnsi="Arial"/>
          <w:sz w:val="17"/>
          <w:szCs w:val="17"/>
          <w:color w:val="auto"/>
        </w:rPr>
        <w:t>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57" w:lineRule="exact"/>
        <w:rPr>
          <w:rFonts w:ascii="Arial" w:cs="Arial" w:eastAsia="Arial" w:hAnsi="Arial"/>
          <w:sz w:val="17"/>
          <w:szCs w:val="17"/>
          <w:color w:val="auto"/>
        </w:rPr>
      </w:pPr>
    </w:p>
    <w:p>
      <w:pPr>
        <w:ind w:left="440" w:right="200" w:firstLine="428"/>
        <w:spacing w:after="0" w:line="342" w:lineRule="auto"/>
        <w:tabs>
          <w:tab w:leader="none" w:pos="1108"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Agreement and any claim, controversy or dispute arising under or related to this Agreement shall be governed by</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construed in accordance with the laws of the State of New York applicable to agreements made and to be performed in such state.</w:t>
      </w:r>
    </w:p>
    <w:p>
      <w:pPr>
        <w:spacing w:after="0" w:line="15" w:lineRule="exact"/>
        <w:rPr>
          <w:rFonts w:ascii="Arial" w:cs="Arial" w:eastAsia="Arial" w:hAnsi="Arial"/>
          <w:sz w:val="16"/>
          <w:szCs w:val="16"/>
          <w:color w:val="auto"/>
        </w:rPr>
      </w:pPr>
    </w:p>
    <w:p>
      <w:pPr>
        <w:ind w:left="440" w:right="580" w:firstLine="428"/>
        <w:spacing w:after="0" w:line="342" w:lineRule="auto"/>
        <w:tabs>
          <w:tab w:leader="none" w:pos="1118"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w:t>
      </w:r>
    </w:p>
    <w:p>
      <w:pPr>
        <w:spacing w:after="0" w:line="15" w:lineRule="exact"/>
        <w:rPr>
          <w:rFonts w:ascii="Arial" w:cs="Arial" w:eastAsia="Arial" w:hAnsi="Arial"/>
          <w:sz w:val="16"/>
          <w:szCs w:val="16"/>
          <w:color w:val="auto"/>
        </w:rPr>
      </w:pPr>
    </w:p>
    <w:p>
      <w:pPr>
        <w:ind w:left="440" w:right="360" w:firstLine="428"/>
        <w:spacing w:after="0" w:line="277" w:lineRule="auto"/>
        <w:tabs>
          <w:tab w:leader="none" w:pos="1108"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left="440" w:right="60" w:firstLine="428"/>
        <w:spacing w:after="0" w:line="277" w:lineRule="auto"/>
        <w:tabs>
          <w:tab w:leader="none" w:pos="1088"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or interpretation of, this Agreement.</w:t>
      </w:r>
    </w:p>
    <w:p>
      <w:pPr>
        <w:spacing w:after="0" w:line="62" w:lineRule="exact"/>
        <w:rPr>
          <w:rFonts w:ascii="Arial" w:cs="Arial" w:eastAsia="Arial" w:hAnsi="Arial"/>
          <w:sz w:val="18"/>
          <w:szCs w:val="18"/>
          <w:color w:val="auto"/>
        </w:rPr>
      </w:pPr>
    </w:p>
    <w:p>
      <w:pPr>
        <w:ind w:left="440" w:right="40" w:firstLine="428"/>
        <w:spacing w:after="0" w:line="264" w:lineRule="auto"/>
        <w:tabs>
          <w:tab w:leader="none" w:pos="1118"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Authority of the Representative</w:t>
      </w:r>
      <w:r>
        <w:rPr>
          <w:rFonts w:ascii="Arial" w:cs="Arial" w:eastAsia="Arial" w:hAnsi="Arial"/>
          <w:sz w:val="18"/>
          <w:szCs w:val="18"/>
          <w:color w:val="auto"/>
        </w:rPr>
        <w:t>. The Representative is duly authorized to act hereunder on behalf of the other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by the Underwriters hereunder may be taken by the Representative on behalf of the Underwriters, and any such action taken by the Representative shall be binding on all the Underwriters.</w:t>
      </w:r>
    </w:p>
    <w:p>
      <w:pPr>
        <w:spacing w:after="0" w:line="18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If the foregoing is in accordance with your understanding, please indicate your acceptance of this Agreement by signing in the space provided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6" w:name="page37"/>
    <w:bookmarkEnd w:id="3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TPG SPECIALTY LENDING, INC.</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Ian T. Simmonds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Ian T. Simmonds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019"/>
          </w:cols>
          <w:pgMar w:left="1440" w:top="274"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BOFA SECURITIES,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itself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 in Schedule 1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Andrew Karp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Andrew Karp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19"/>
          </w:cols>
          <w:pgMar w:left="440" w:top="274" w:right="1440" w:bottom="1440" w:gutter="0" w:footer="0" w:header="0"/>
        </w:sectPr>
      </w:pPr>
    </w:p>
    <w:bookmarkStart w:id="38" w:name="page39"/>
    <w:bookmarkEnd w:id="38"/>
    <w:p>
      <w:pPr>
        <w:ind w:left="102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for the Securities to be paid by the several Underwriters shall be 98.032% of the aggregate principal amount thereof.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3"/>
            <w:vMerge w:val="restart"/>
          </w:tcPr>
          <w:p>
            <w:pPr>
              <w:spacing w:after="0"/>
              <w:rPr>
                <w:sz w:val="20"/>
                <w:szCs w:val="20"/>
                <w:color w:val="auto"/>
              </w:rPr>
            </w:pPr>
            <w:r>
              <w:rPr>
                <w:rFonts w:ascii="Arial" w:cs="Arial" w:eastAsia="Arial" w:hAnsi="Arial"/>
                <w:sz w:val="14"/>
                <w:szCs w:val="14"/>
                <w:color w:val="auto"/>
              </w:rPr>
              <w:t>Underwriter</w:t>
            </w:r>
          </w:p>
        </w:tc>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Principal Amount of</w:t>
            </w:r>
          </w:p>
        </w:tc>
        <w:tc>
          <w:tcPr>
            <w:tcW w:w="0" w:type="dxa"/>
            <w:vAlign w:val="bottom"/>
          </w:tcPr>
          <w:p>
            <w:pPr>
              <w:spacing w:after="0"/>
              <w:rPr>
                <w:sz w:val="1"/>
                <w:szCs w:val="1"/>
                <w:color w:val="auto"/>
              </w:rPr>
            </w:pPr>
          </w:p>
        </w:tc>
      </w:tr>
      <w:tr>
        <w:trPr>
          <w:trHeight w:val="154"/>
        </w:trPr>
        <w:tc>
          <w:tcPr>
            <w:tcW w:w="4040" w:type="dxa"/>
            <w:vAlign w:val="bottom"/>
            <w:gridSpan w:val="3"/>
            <w:vMerge w:val="continue"/>
          </w:tcPr>
          <w:p>
            <w:pPr>
              <w:spacing w:after="0"/>
              <w:rPr>
                <w:sz w:val="13"/>
                <w:szCs w:val="13"/>
                <w:color w:val="auto"/>
              </w:rPr>
            </w:pPr>
          </w:p>
        </w:tc>
        <w:tc>
          <w:tcPr>
            <w:tcW w:w="7000" w:type="dxa"/>
            <w:vAlign w:val="bottom"/>
            <w:gridSpan w:val="4"/>
          </w:tcPr>
          <w:p>
            <w:pPr>
              <w:jc w:val="center"/>
              <w:ind w:left="5231"/>
              <w:spacing w:after="0" w:line="154" w:lineRule="exact"/>
              <w:rPr>
                <w:sz w:val="20"/>
                <w:szCs w:val="20"/>
                <w:color w:val="auto"/>
              </w:rPr>
            </w:pPr>
            <w:r>
              <w:rPr>
                <w:rFonts w:ascii="Arial" w:cs="Arial" w:eastAsia="Arial" w:hAnsi="Arial"/>
                <w:sz w:val="14"/>
                <w:szCs w:val="14"/>
                <w:color w:val="auto"/>
                <w:w w:val="90"/>
              </w:rPr>
              <w:t>Securities to be 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5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ICBC Standard Bank Plc</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5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540" w:type="dxa"/>
            <w:vAlign w:val="bottom"/>
            <w:gridSpan w:val="2"/>
          </w:tcPr>
          <w:p>
            <w:pPr>
              <w:jc w:val="right"/>
              <w:ind w:right="3785"/>
              <w:spacing w:after="0"/>
              <w:rPr>
                <w:sz w:val="20"/>
                <w:szCs w:val="20"/>
                <w:color w:val="auto"/>
              </w:rPr>
            </w:pPr>
            <w:r>
              <w:rPr>
                <w:rFonts w:ascii="Arial" w:cs="Arial" w:eastAsia="Arial" w:hAnsi="Arial"/>
                <w:sz w:val="18"/>
                <w:szCs w:val="18"/>
                <w:color w:val="auto"/>
              </w:rPr>
              <w:t>S-1-1</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52" w:lineRule="exact"/>
        <w:rPr>
          <w:sz w:val="20"/>
          <w:szCs w:val="20"/>
          <w:color w:val="auto"/>
        </w:rPr>
      </w:pPr>
    </w:p>
    <w:p>
      <w:pPr>
        <w:ind w:left="440" w:right="840" w:hanging="436"/>
        <w:spacing w:after="0" w:line="277"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Pricing Term Sheet, dated October 25, 2019, containing the terms governing the Securities, substantially in the form of Annex A to this Agreement, filed with the Commission on October 25, 2019 pursuant to Rule 433.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20"/>
          </w:cols>
          <w:pgMar w:left="440" w:top="274"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252" w:lineRule="exact"/>
        <w:rPr>
          <w:sz w:val="20"/>
          <w:szCs w:val="20"/>
          <w:color w:val="auto"/>
        </w:rPr>
      </w:pPr>
    </w:p>
    <w:p>
      <w:pPr>
        <w:ind w:left="440" w:hanging="436"/>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23" w:lineRule="exact"/>
        <w:rPr>
          <w:rFonts w:ascii="Arial" w:cs="Arial" w:eastAsia="Arial" w:hAnsi="Arial"/>
          <w:sz w:val="18"/>
          <w:szCs w:val="18"/>
          <w:color w:val="auto"/>
        </w:rPr>
      </w:pPr>
    </w:p>
    <w:p>
      <w:pPr>
        <w:ind w:left="440" w:hanging="436"/>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TSL MR,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20"/>
          </w:cols>
          <w:pgMar w:left="440" w:top="274"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October 25, 2019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 Preliminary Prospectus Supplement dated October 25, 2019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May 7, 2019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333-231271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3.875% Notes due 2024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25, 2019</w:t>
      </w:r>
    </w:p>
    <w:p>
      <w:pPr>
        <w:spacing w:after="0" w:line="21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The following sets forth the final terms of the 3.875% Notes due 2024 and should only be read together with the preliminary prospectus supplement dated October 25, 2019, together with the accompanying prospectus dated May 7, 2019,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440" w:top="270" w:right="439" w:bottom="1440" w:gutter="0" w:footer="0" w:header="0"/>
        </w:sect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TPG Specialty Lending, Inc. (“TSLX”)</w:t>
      </w:r>
    </w:p>
    <w:p>
      <w:pPr>
        <w:spacing w:after="0" w:line="129"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3.875% Notes due 2024</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Ratings (Moody’s/S&amp;P/Fitch)*: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[Reserved]</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$300,000,000</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November 1, 2024, unless earlier repurchased or redeemed</w:t>
      </w:r>
    </w:p>
    <w:p>
      <w:pPr>
        <w:spacing w:after="0" w:line="151"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25, 2019</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The Notes will be issued at a price of 99.032% of their principal amount, plus accrued interest, if any, from November 1, 2019</w:t>
      </w:r>
    </w:p>
    <w:p>
      <w:pPr>
        <w:spacing w:after="0" w:line="62"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3.875%</w:t>
      </w:r>
    </w:p>
    <w:p>
      <w:pPr>
        <w:spacing w:after="0" w:line="151"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4.091%</w:t>
      </w:r>
    </w:p>
    <w:p>
      <w:pPr>
        <w:spacing w:after="0" w:line="151"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+245 basis points</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1.500% due September 30, 2024</w:t>
      </w:r>
    </w:p>
    <w:p>
      <w:pPr>
        <w:spacing w:after="0" w:line="151"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99-10 3/4 / 1.641%</w:t>
      </w:r>
    </w:p>
    <w:p>
      <w:pPr>
        <w:spacing w:after="0" w:line="140" w:lineRule="exact"/>
        <w:rPr>
          <w:sz w:val="20"/>
          <w:szCs w:val="20"/>
          <w:color w:val="auto"/>
        </w:rPr>
      </w:pPr>
    </w:p>
    <w:p>
      <w:pPr>
        <w:sectPr>
          <w:pgSz w:w="11900" w:h="16838" w:orient="portrait"/>
          <w:cols w:equalWidth="0" w:num="2">
            <w:col w:w="2940" w:space="720"/>
            <w:col w:w="73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and May 1, commencing May 1, 2020</w:t>
      </w:r>
    </w:p>
    <w:p>
      <w:pPr>
        <w:sectPr>
          <w:pgSz w:w="11900" w:h="16838" w:orient="portrait"/>
          <w:cols w:equalWidth="0" w:num="2">
            <w:col w:w="2940" w:space="720"/>
            <w:col w:w="7360"/>
          </w:cols>
          <w:pgMar w:left="440" w:top="270" w:right="4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color w:val="auto"/>
        </w:rPr>
        <w:t>Make-Whole Redemption:</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Equal to the greater of the following amounts, plus, in each case, accrued and unpaid interest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-387985</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940" w:space="720"/>
            <w:col w:w="7320"/>
          </w:cols>
          <w:pgMar w:left="440" w:top="274" w:right="479" w:bottom="1440" w:gutter="0" w:footer="0" w:header="0"/>
        </w:sectPr>
      </w:pPr>
    </w:p>
    <w:p>
      <w:pPr>
        <w:ind w:left="3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the principal amount of the Notes to be redeemed, or</w:t>
      </w:r>
    </w:p>
    <w:p>
      <w:pPr>
        <w:spacing w:after="0" w:line="153" w:lineRule="exact"/>
        <w:rPr>
          <w:sz w:val="20"/>
          <w:szCs w:val="20"/>
          <w:color w:val="auto"/>
        </w:rPr>
      </w:pPr>
    </w:p>
    <w:p>
      <w:pPr>
        <w:sectPr>
          <w:pgSz w:w="11900" w:h="16838" w:orient="portrait"/>
          <w:cols w:equalWidth="0" w:num="2">
            <w:col w:w="3720" w:space="180"/>
            <w:col w:w="7080"/>
          </w:cols>
          <w:pgMar w:left="440" w:top="274" w:right="479" w:bottom="1440" w:gutter="0" w:footer="0" w:header="0"/>
          <w:type w:val="continuous"/>
        </w:sectPr>
      </w:pPr>
    </w:p>
    <w:p>
      <w:pPr>
        <w:ind w:left="3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15"/>
        <w:spacing w:after="0" w:line="271" w:lineRule="auto"/>
        <w:rPr>
          <w:sz w:val="20"/>
          <w:szCs w:val="20"/>
          <w:color w:val="auto"/>
        </w:rPr>
      </w:pPr>
      <w:r>
        <w:rPr>
          <w:rFonts w:ascii="Arial" w:cs="Arial" w:eastAsia="Arial" w:hAnsi="Arial"/>
          <w:sz w:val="17"/>
          <w:szCs w:val="17"/>
          <w:color w:val="auto"/>
        </w:rPr>
        <w:t xml:space="preserve">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40 basis points;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TSLX redeems any Notes on or after October 1, 2024 (the date falling one month</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maturity date of the Notes), the redemption price for the Notes will be equal to 100% of the principal amount of the Notes to be redeemed, plus accrued and unpaid interest, if any, to, but excluding, the date of redemption.</w:t>
      </w:r>
    </w:p>
    <w:p>
      <w:pPr>
        <w:spacing w:after="0" w:line="84" w:lineRule="exact"/>
        <w:rPr>
          <w:sz w:val="20"/>
          <w:szCs w:val="20"/>
          <w:color w:val="auto"/>
        </w:rPr>
      </w:pPr>
    </w:p>
    <w:p>
      <w:pPr>
        <w:sectPr>
          <w:pgSz w:w="11900" w:h="16838" w:orient="portrait"/>
          <w:cols w:equalWidth="0" w:num="2">
            <w:col w:w="3720" w:space="200"/>
            <w:col w:w="706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ind w:right="280"/>
        <w:spacing w:after="0" w:line="342" w:lineRule="auto"/>
        <w:rPr>
          <w:sz w:val="20"/>
          <w:szCs w:val="20"/>
          <w:color w:val="auto"/>
        </w:rPr>
      </w:pPr>
      <w:r>
        <w:rPr>
          <w:rFonts w:ascii="Arial" w:cs="Arial" w:eastAsia="Arial" w:hAnsi="Arial"/>
          <w:sz w:val="16"/>
          <w:szCs w:val="16"/>
          <w:color w:val="auto"/>
        </w:rPr>
        <w:t>Holders have the right to require TSLX to repurchase the Notes at 100% of their principal amount plus accrued and unpaid interest, if any, in the event of a change of control repurchase event.</w:t>
      </w:r>
    </w:p>
    <w:p>
      <w:pPr>
        <w:spacing w:after="0" w:line="16" w:lineRule="exact"/>
        <w:rPr>
          <w:sz w:val="20"/>
          <w:szCs w:val="20"/>
          <w:color w:val="auto"/>
        </w:rPr>
      </w:pPr>
    </w:p>
    <w:p>
      <w:pPr>
        <w:sectPr>
          <w:pgSz w:w="11900" w:h="16838" w:orient="portrait"/>
          <w:cols w:equalWidth="0" w:num="2">
            <w:col w:w="2940" w:space="720"/>
            <w:col w:w="73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2019 (T+5)</w:t>
      </w:r>
    </w:p>
    <w:p>
      <w:pPr>
        <w:spacing w:after="0" w:line="140" w:lineRule="exact"/>
        <w:rPr>
          <w:sz w:val="20"/>
          <w:szCs w:val="20"/>
          <w:color w:val="auto"/>
        </w:rPr>
      </w:pPr>
    </w:p>
    <w:p>
      <w:pPr>
        <w:sectPr>
          <w:pgSz w:w="11900" w:h="16838" w:orient="portrait"/>
          <w:cols w:equalWidth="0" w:num="2">
            <w:col w:w="2940" w:space="720"/>
            <w:col w:w="73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ectPr>
          <w:pgSz w:w="11900" w:h="16838" w:orient="portrait"/>
          <w:cols w:equalWidth="0" w:num="2">
            <w:col w:w="2940" w:space="720"/>
            <w:col w:w="73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87265K AF9</w:t>
      </w:r>
    </w:p>
    <w:p>
      <w:pPr>
        <w:spacing w:after="0" w:line="140" w:lineRule="exact"/>
        <w:rPr>
          <w:sz w:val="20"/>
          <w:szCs w:val="20"/>
          <w:color w:val="auto"/>
        </w:rPr>
      </w:pPr>
    </w:p>
    <w:p>
      <w:pPr>
        <w:sectPr>
          <w:pgSz w:w="11900" w:h="16838" w:orient="portrait"/>
          <w:cols w:equalWidth="0" w:num="2">
            <w:col w:w="2940" w:space="720"/>
            <w:col w:w="732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US87265KAF93</w:t>
      </w:r>
    </w:p>
    <w:p>
      <w:pPr>
        <w:spacing w:after="0" w:line="140" w:lineRule="exact"/>
        <w:rPr>
          <w:sz w:val="20"/>
          <w:szCs w:val="20"/>
          <w:color w:val="auto"/>
        </w:rPr>
      </w:pPr>
    </w:p>
    <w:p>
      <w:pPr>
        <w:sectPr>
          <w:pgSz w:w="11900" w:h="16838" w:orient="portrait"/>
          <w:cols w:equalWidth="0" w:num="2">
            <w:col w:w="2940" w:space="720"/>
            <w:col w:w="73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116" w:lineRule="exact"/>
        <w:rPr>
          <w:sz w:val="20"/>
          <w:szCs w:val="20"/>
          <w:color w:val="auto"/>
        </w:rPr>
      </w:pPr>
    </w:p>
    <w:p>
      <w:pPr>
        <w:sectPr>
          <w:pgSz w:w="11900" w:h="16838" w:orient="portrait"/>
          <w:cols w:equalWidth="0" w:num="2">
            <w:col w:w="2940" w:space="720"/>
            <w:col w:w="73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632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Raymond James &amp;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Santander Investment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197" w:lineRule="exact"/>
        <w:rPr>
          <w:sz w:val="20"/>
          <w:szCs w:val="20"/>
          <w:color w:val="auto"/>
        </w:rPr>
      </w:pPr>
    </w:p>
    <w:p>
      <w:pPr>
        <w:sectPr>
          <w:pgSz w:w="11900" w:h="16838" w:orient="portrait"/>
          <w:cols w:equalWidth="0" w:num="2">
            <w:col w:w="2940" w:space="720"/>
            <w:col w:w="732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color w:val="auto"/>
        </w:rPr>
        <w:t>*  Note: A securities rating is not a recommendation to buy, sell or hold securities and may be subject to revision or withdrawal at any time.</w:t>
      </w:r>
    </w:p>
    <w:p>
      <w:pPr>
        <w:spacing w:after="0" w:line="23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TPG Specialty Lending, Inc. expects that delivery of the Notes will be made to investors on or about November 1, 2019, which will be the fifth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0980"/>
          </w:cols>
          <w:pgMar w:left="440" w:top="274" w:right="479" w:bottom="1440" w:gutter="0" w:footer="0" w:header="0"/>
          <w:type w:val="continuous"/>
        </w:sectPr>
      </w:pPr>
    </w:p>
    <w:bookmarkStart w:id="43" w:name="page44"/>
    <w:bookmarkEnd w:id="43"/>
    <w:p>
      <w:pPr>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hereof will be required by virtue of the fact that the Notes initially settle in T+5, to specify an alternate settlement arrangement at the time of any such trade to prevent a failed settlement. Purchasers of the Notes who wish to trade the Notes on the date hereof should consult their advisors.</w:t>
      </w:r>
    </w:p>
    <w:p>
      <w:pPr>
        <w:spacing w:after="0" w:line="12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TSLX before investing. The Preliminary Prospectus, which has been filed with the Securities and Exchange Commission, contains this and other information about TSLX and should be read carefully before investing.</w:t>
      </w:r>
    </w:p>
    <w:p>
      <w:pPr>
        <w:spacing w:after="0" w:line="1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TSLX and are not soliciting an offer to buy such securities in any state or jurisdiction where such offer and sale is not permitted.</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calling BofA Securities, Inc. at 1-800-294-1322.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2"/>
    </w:lvl>
    <w:lvl w:ilvl="1">
      <w:lvlJc w:val="left"/>
      <w:lvlText w:val="(%2)"/>
      <w:numFmt w:val="lowerLetter"/>
      <w:start w:val="1"/>
    </w:lvl>
  </w:abstractNum>
  <w:abstractNum w:abstractNumId="3">
    <w:nsid w:val="B03E0C6"/>
    <w:multiLevelType w:val="hybridMultilevel"/>
    <w:lvl w:ilvl="0">
      <w:lvlJc w:val="left"/>
      <w:lvlText w:val="(%1)"/>
      <w:numFmt w:val="lowerLetter"/>
      <w:start w:val="4"/>
    </w:lvl>
  </w:abstractNum>
  <w:abstractNum w:abstractNumId="4">
    <w:nsid w:val="189A769B"/>
    <w:multiLevelType w:val="hybridMultilevel"/>
    <w:lvl w:ilvl="0">
      <w:lvlJc w:val="left"/>
      <w:lvlText w:val="%1."/>
      <w:numFmt w:val="decimal"/>
      <w:start w:val="3"/>
    </w:lvl>
    <w:lvl w:ilvl="1">
      <w:lvlJc w:val="left"/>
      <w:lvlText w:val="(%2)"/>
      <w:numFmt w:val="lowerLetter"/>
      <w:start w:val="1"/>
    </w:lvl>
  </w:abstractNum>
  <w:abstractNum w:abstractNumId="5">
    <w:nsid w:val="54E49EB4"/>
    <w:multiLevelType w:val="hybridMultilevel"/>
    <w:lvl w:ilvl="0">
      <w:lvlJc w:val="left"/>
      <w:lvlText w:val="%1"/>
      <w:numFmt w:val="lowerLetter"/>
      <w:start w:val="1"/>
    </w:lvl>
    <w:lvl w:ilvl="1">
      <w:lvlJc w:val="left"/>
      <w:lvlText w:val="(%2)"/>
      <w:numFmt w:val="lowerLetter"/>
      <w:start w:val="3"/>
    </w:lvl>
  </w:abstractNum>
  <w:abstractNum w:abstractNumId="6">
    <w:nsid w:val="71F32454"/>
    <w:multiLevelType w:val="hybridMultilevel"/>
    <w:lvl w:ilvl="0">
      <w:lvlJc w:val="left"/>
      <w:lvlText w:val="(%1)"/>
      <w:numFmt w:val="lowerLetter"/>
      <w:start w:val="61"/>
    </w:lvl>
    <w:lvl w:ilvl="1">
      <w:lvlJc w:val="left"/>
      <w:lvlText w:val="(%2)"/>
      <w:numFmt w:val="lowerLetter"/>
      <w:start w:val="4"/>
    </w:lvl>
  </w:abstractNum>
  <w:abstractNum w:abstractNumId="7">
    <w:nsid w:val="2CA88611"/>
    <w:multiLevelType w:val="hybridMultilevel"/>
    <w:lvl w:ilvl="0">
      <w:lvlJc w:val="left"/>
      <w:lvlText w:val="(%1)"/>
      <w:numFmt w:val="lowerLetter"/>
      <w:start w:val="6"/>
    </w:lvl>
  </w:abstractNum>
  <w:abstractNum w:abstractNumId="8">
    <w:nsid w:val="836C40E"/>
    <w:multiLevelType w:val="hybridMultilevel"/>
    <w:lvl w:ilvl="0">
      <w:lvlJc w:val="left"/>
      <w:lvlText w:val="(%1)"/>
      <w:numFmt w:val="lowerLetter"/>
      <w:start w:val="8"/>
    </w:lvl>
  </w:abstractNum>
  <w:abstractNum w:abstractNumId="9">
    <w:nsid w:val="2901D82"/>
    <w:multiLevelType w:val="hybridMultilevel"/>
    <w:lvl w:ilvl="0">
      <w:lvlJc w:val="left"/>
      <w:lvlText w:val="(%1)"/>
      <w:numFmt w:val="lowerLetter"/>
      <w:start w:val="12"/>
    </w:lvl>
  </w:abstractNum>
  <w:abstractNum w:abstractNumId="10">
    <w:nsid w:val="3A95F874"/>
    <w:multiLevelType w:val="hybridMultilevel"/>
    <w:lvl w:ilvl="0">
      <w:lvlJc w:val="left"/>
      <w:lvlText w:val="(%1)"/>
      <w:numFmt w:val="lowerLetter"/>
      <w:start w:val="19"/>
    </w:lvl>
  </w:abstractNum>
  <w:abstractNum w:abstractNumId="11">
    <w:nsid w:val="8138641"/>
    <w:multiLevelType w:val="hybridMultilevel"/>
    <w:lvl w:ilvl="0">
      <w:lvlJc w:val="left"/>
      <w:lvlText w:val="(%1)"/>
      <w:numFmt w:val="lowerLetter"/>
      <w:start w:val="22"/>
    </w:lvl>
  </w:abstractNum>
  <w:abstractNum w:abstractNumId="12">
    <w:nsid w:val="1E7FF521"/>
    <w:multiLevelType w:val="hybridMultilevel"/>
    <w:lvl w:ilvl="0">
      <w:lvlJc w:val="left"/>
      <w:lvlText w:val="(%1)"/>
      <w:numFmt w:val="lowerLetter"/>
      <w:start w:val="26"/>
    </w:lvl>
  </w:abstractNum>
  <w:abstractNum w:abstractNumId="13">
    <w:nsid w:val="7C3DBD3D"/>
    <w:multiLevelType w:val="hybridMultilevel"/>
    <w:lvl w:ilvl="0">
      <w:lvlJc w:val="left"/>
      <w:lvlText w:val="%1"/>
      <w:numFmt w:val="lowerLetter"/>
      <w:start w:val="1"/>
    </w:lvl>
    <w:lvl w:ilvl="1">
      <w:lvlJc w:val="left"/>
      <w:lvlText w:val="(%2)"/>
      <w:numFmt w:val="lowerLetter"/>
      <w:start w:val="27"/>
    </w:lvl>
  </w:abstractNum>
  <w:abstractNum w:abstractNumId="14">
    <w:nsid w:val="737B8DDC"/>
    <w:multiLevelType w:val="hybridMultilevel"/>
    <w:lvl w:ilvl="0">
      <w:lvlJc w:val="left"/>
      <w:lvlText w:val="(%1)"/>
      <w:numFmt w:val="lowerLetter"/>
      <w:start w:val="35"/>
    </w:lvl>
    <w:lvl w:ilvl="1">
      <w:lvlJc w:val="left"/>
      <w:lvlText w:val="(%2)"/>
      <w:numFmt w:val="lowerLetter"/>
      <w:start w:val="28"/>
    </w:lvl>
  </w:abstractNum>
  <w:abstractNum w:abstractNumId="15">
    <w:nsid w:val="6CEAF087"/>
    <w:multiLevelType w:val="hybridMultilevel"/>
    <w:lvl w:ilvl="0">
      <w:lvlJc w:val="left"/>
      <w:lvlText w:val="(%1)"/>
      <w:numFmt w:val="lowerLetter"/>
      <w:start w:val="31"/>
    </w:lvl>
  </w:abstractNum>
  <w:abstractNum w:abstractNumId="16">
    <w:nsid w:val="22221A70"/>
    <w:multiLevelType w:val="hybridMultilevel"/>
    <w:lvl w:ilvl="0">
      <w:lvlJc w:val="left"/>
      <w:lvlText w:val="(%1)"/>
      <w:numFmt w:val="lowerLetter"/>
      <w:start w:val="34"/>
    </w:lvl>
  </w:abstractNum>
  <w:abstractNum w:abstractNumId="17">
    <w:nsid w:val="4516DDE9"/>
    <w:multiLevelType w:val="hybridMultilevel"/>
    <w:lvl w:ilvl="0">
      <w:lvlJc w:val="left"/>
      <w:lvlText w:val="(%1)"/>
      <w:numFmt w:val="lowerLetter"/>
      <w:start w:val="37"/>
    </w:lvl>
  </w:abstractNum>
  <w:abstractNum w:abstractNumId="18">
    <w:nsid w:val="3006C83E"/>
    <w:multiLevelType w:val="hybridMultilevel"/>
    <w:lvl w:ilvl="0">
      <w:lvlJc w:val="left"/>
      <w:lvlText w:val="%1"/>
      <w:numFmt w:val="decimal"/>
      <w:start w:val="1"/>
    </w:lvl>
    <w:lvl w:ilvl="1">
      <w:lvlJc w:val="left"/>
      <w:lvlText w:val="(%2)"/>
      <w:numFmt w:val="lowerLetter"/>
      <w:start w:val="40"/>
    </w:lvl>
  </w:abstractNum>
  <w:abstractNum w:abstractNumId="19">
    <w:nsid w:val="614FD4A1"/>
    <w:multiLevelType w:val="hybridMultilevel"/>
    <w:lvl w:ilvl="0">
      <w:lvlJc w:val="left"/>
      <w:lvlText w:val="%1."/>
      <w:numFmt w:val="decimal"/>
      <w:start w:val="4"/>
    </w:lvl>
    <w:lvl w:ilvl="1">
      <w:lvlJc w:val="left"/>
      <w:lvlText w:val="(%2)"/>
      <w:numFmt w:val="lowerLetter"/>
      <w:start w:val="1"/>
    </w:lvl>
  </w:abstractNum>
  <w:abstractNum w:abstractNumId="20">
    <w:nsid w:val="419AC241"/>
    <w:multiLevelType w:val="hybridMultilevel"/>
    <w:lvl w:ilvl="0">
      <w:lvlJc w:val="left"/>
      <w:lvlText w:val="(%1)"/>
      <w:numFmt w:val="lowerLetter"/>
      <w:start w:val="2"/>
    </w:lvl>
  </w:abstractNum>
  <w:abstractNum w:abstractNumId="21">
    <w:nsid w:val="5577F8E1"/>
    <w:multiLevelType w:val="hybridMultilevel"/>
    <w:lvl w:ilvl="0">
      <w:lvlJc w:val="left"/>
      <w:lvlText w:val="(%1)"/>
      <w:numFmt w:val="lowerLetter"/>
      <w:start w:val="7"/>
    </w:lvl>
  </w:abstractNum>
  <w:abstractNum w:abstractNumId="22">
    <w:nsid w:val="440BADFC"/>
    <w:multiLevelType w:val="hybridMultilevel"/>
    <w:lvl w:ilvl="0">
      <w:lvlJc w:val="left"/>
      <w:lvlText w:val="%1"/>
      <w:numFmt w:val="lowerLetter"/>
      <w:start w:val="1"/>
    </w:lvl>
    <w:lvl w:ilvl="1">
      <w:lvlJc w:val="left"/>
      <w:lvlText w:val="(%2)"/>
      <w:numFmt w:val="lowerLetter"/>
      <w:start w:val="10"/>
    </w:lvl>
  </w:abstractNum>
  <w:abstractNum w:abstractNumId="23">
    <w:nsid w:val="5072367"/>
    <w:multiLevelType w:val="hybridMultilevel"/>
    <w:lvl w:ilvl="0">
      <w:lvlJc w:val="left"/>
      <w:lvlText w:val="(%1)"/>
      <w:numFmt w:val="lowerLetter"/>
      <w:start w:val="9"/>
    </w:lvl>
    <w:lvl w:ilvl="1">
      <w:lvlJc w:val="left"/>
      <w:lvlText w:val="(%2)"/>
      <w:numFmt w:val="lowerLetter"/>
      <w:start w:val="14"/>
    </w:lvl>
  </w:abstractNum>
  <w:abstractNum w:abstractNumId="24">
    <w:nsid w:val="3804823E"/>
    <w:multiLevelType w:val="hybridMultilevel"/>
    <w:lvl w:ilvl="0">
      <w:lvlJc w:val="left"/>
      <w:lvlText w:val="(%1)"/>
      <w:numFmt w:val="lowerLetter"/>
      <w:start w:val="15"/>
    </w:lvl>
  </w:abstractNum>
  <w:abstractNum w:abstractNumId="25">
    <w:nsid w:val="77465F01"/>
    <w:multiLevelType w:val="hybridMultilevel"/>
    <w:lvl w:ilvl="0">
      <w:lvlJc w:val="left"/>
      <w:lvlText w:val="%1."/>
      <w:numFmt w:val="decimal"/>
      <w:start w:val="5"/>
    </w:lvl>
    <w:lvl w:ilvl="1">
      <w:lvlJc w:val="left"/>
      <w:lvlText w:val="(%2)"/>
      <w:numFmt w:val="lowerLetter"/>
      <w:start w:val="1"/>
    </w:lvl>
  </w:abstractNum>
  <w:abstractNum w:abstractNumId="26">
    <w:nsid w:val="7724C67E"/>
    <w:multiLevelType w:val="hybridMultilevel"/>
    <w:lvl w:ilvl="0">
      <w:lvlJc w:val="left"/>
      <w:lvlText w:val="(%1)"/>
      <w:numFmt w:val="lowerLetter"/>
      <w:start w:val="6"/>
    </w:lvl>
  </w:abstractNum>
  <w:abstractNum w:abstractNumId="27">
    <w:nsid w:val="5C482A97"/>
    <w:multiLevelType w:val="hybridMultilevel"/>
    <w:lvl w:ilvl="0">
      <w:lvlJc w:val="left"/>
      <w:lvlText w:val="%1"/>
      <w:numFmt w:val="lowerLetter"/>
      <w:start w:val="1"/>
    </w:lvl>
    <w:lvl w:ilvl="1">
      <w:lvlJc w:val="left"/>
      <w:lvlText w:val="(%2)"/>
      <w:numFmt w:val="lowerLetter"/>
      <w:start w:val="7"/>
    </w:lvl>
  </w:abstractNum>
  <w:abstractNum w:abstractNumId="28">
    <w:nsid w:val="2463B9EA"/>
    <w:multiLevelType w:val="hybridMultilevel"/>
    <w:lvl w:ilvl="0">
      <w:lvlJc w:val="left"/>
      <w:lvlText w:val="(%1)"/>
      <w:numFmt w:val="lowerLetter"/>
      <w:start w:val="9"/>
    </w:lvl>
    <w:lvl w:ilvl="1">
      <w:lvlJc w:val="left"/>
      <w:lvlText w:val="(%2)"/>
      <w:numFmt w:val="lowerLetter"/>
      <w:start w:val="8"/>
    </w:lvl>
  </w:abstractNum>
  <w:abstractNum w:abstractNumId="29">
    <w:nsid w:val="5E884ADC"/>
    <w:multiLevelType w:val="hybridMultilevel"/>
    <w:lvl w:ilvl="0">
      <w:lvlJc w:val="left"/>
      <w:lvlText w:val="%1"/>
      <w:numFmt w:val="decimal"/>
      <w:start w:val="1"/>
    </w:lvl>
    <w:lvl w:ilvl="1">
      <w:lvlJc w:val="left"/>
      <w:lvlText w:val="(%2)"/>
      <w:numFmt w:val="lowerLetter"/>
      <w:start w:val="13"/>
    </w:lvl>
  </w:abstractNum>
  <w:abstractNum w:abstractNumId="30">
    <w:nsid w:val="51EAD36B"/>
    <w:multiLevelType w:val="hybridMultilevel"/>
    <w:lvl w:ilvl="0">
      <w:lvlJc w:val="left"/>
      <w:lvlText w:val="%1."/>
      <w:numFmt w:val="decimal"/>
      <w:start w:val="6"/>
    </w:lvl>
    <w:lvl w:ilvl="1">
      <w:lvlJc w:val="left"/>
      <w:lvlText w:val="(%2)"/>
      <w:numFmt w:val="lowerLetter"/>
      <w:start w:val="1"/>
    </w:lvl>
  </w:abstractNum>
  <w:abstractNum w:abstractNumId="31">
    <w:nsid w:val="2D517796"/>
    <w:multiLevelType w:val="hybridMultilevel"/>
    <w:lvl w:ilvl="0">
      <w:lvlJc w:val="left"/>
      <w:lvlText w:val="%1"/>
      <w:numFmt w:val="decimal"/>
      <w:start w:val="1"/>
    </w:lvl>
    <w:lvl w:ilvl="1">
      <w:lvlJc w:val="left"/>
      <w:lvlText w:val="(%2)"/>
      <w:numFmt w:val="lowerLetter"/>
      <w:start w:val="2"/>
    </w:lvl>
  </w:abstractNum>
  <w:abstractNum w:abstractNumId="32">
    <w:nsid w:val="580BD78F"/>
    <w:multiLevelType w:val="hybridMultilevel"/>
    <w:lvl w:ilvl="0">
      <w:lvlJc w:val="left"/>
      <w:lvlText w:val="%1."/>
      <w:numFmt w:val="decimal"/>
      <w:start w:val="7"/>
    </w:lvl>
    <w:lvl w:ilvl="1">
      <w:lvlJc w:val="left"/>
      <w:lvlText w:val="(%2)"/>
      <w:numFmt w:val="lowerLetter"/>
      <w:start w:val="1"/>
    </w:lvl>
  </w:abstractNum>
  <w:abstractNum w:abstractNumId="33">
    <w:nsid w:val="153EA438"/>
    <w:multiLevelType w:val="hybridMultilevel"/>
    <w:lvl w:ilvl="0">
      <w:lvlJc w:val="left"/>
      <w:lvlText w:val="(%1)"/>
      <w:numFmt w:val="lowerLetter"/>
      <w:start w:val="5"/>
    </w:lvl>
  </w:abstractNum>
  <w:abstractNum w:abstractNumId="34">
    <w:nsid w:val="3855585C"/>
    <w:multiLevelType w:val="hybridMultilevel"/>
    <w:lvl w:ilvl="0">
      <w:lvlJc w:val="left"/>
      <w:lvlText w:val="(%1)"/>
      <w:numFmt w:val="lowerLetter"/>
      <w:start w:val="10"/>
    </w:lvl>
  </w:abstractNum>
  <w:abstractNum w:abstractNumId="35">
    <w:nsid w:val="70A64E2A"/>
    <w:multiLevelType w:val="hybridMultilevel"/>
    <w:lvl w:ilvl="0">
      <w:lvlJc w:val="left"/>
      <w:lvlText w:val="%1."/>
      <w:numFmt w:val="decimal"/>
      <w:start w:val="8"/>
    </w:lvl>
    <w:lvl w:ilvl="1">
      <w:lvlJc w:val="left"/>
      <w:lvlText w:val="(%2)"/>
      <w:numFmt w:val="lowerLetter"/>
      <w:start w:val="1"/>
    </w:lvl>
  </w:abstractNum>
  <w:abstractNum w:abstractNumId="36">
    <w:nsid w:val="6A2342EC"/>
    <w:multiLevelType w:val="hybridMultilevel"/>
    <w:lvl w:ilvl="0">
      <w:lvlJc w:val="left"/>
      <w:lvlText w:val="(%1)"/>
      <w:numFmt w:val="lowerLetter"/>
      <w:start w:val="2"/>
    </w:lvl>
  </w:abstractNum>
  <w:abstractNum w:abstractNumId="37">
    <w:nsid w:val="2A487CB0"/>
    <w:multiLevelType w:val="hybridMultilevel"/>
    <w:lvl w:ilvl="0">
      <w:lvlJc w:val="left"/>
      <w:lvlText w:val="(%1)"/>
      <w:numFmt w:val="lowerLetter"/>
      <w:start w:val="4"/>
    </w:lvl>
  </w:abstractNum>
  <w:abstractNum w:abstractNumId="38">
    <w:nsid w:val="1D4ED43B"/>
    <w:multiLevelType w:val="hybridMultilevel"/>
    <w:lvl w:ilvl="0">
      <w:lvlJc w:val="left"/>
      <w:lvlText w:val="%1"/>
      <w:numFmt w:val="decimal"/>
      <w:start w:val="1"/>
    </w:lvl>
    <w:lvl w:ilvl="1">
      <w:lvlJc w:val="left"/>
      <w:lvlText w:val="(%2)"/>
      <w:numFmt w:val="lowerLetter"/>
      <w:start w:val="5"/>
    </w:lvl>
  </w:abstractNum>
  <w:abstractNum w:abstractNumId="39">
    <w:nsid w:val="725A06FB"/>
    <w:multiLevelType w:val="hybridMultilevel"/>
    <w:lvl w:ilvl="0">
      <w:lvlJc w:val="left"/>
      <w:lvlText w:val="%1."/>
      <w:numFmt w:val="decimal"/>
      <w:start w:val="9"/>
    </w:lvl>
    <w:lvl w:ilvl="1">
      <w:lvlJc w:val="left"/>
      <w:lvlText w:val="%2"/>
      <w:numFmt w:val="lowerLetter"/>
      <w:start w:val="1"/>
    </w:lvl>
  </w:abstractNum>
  <w:abstractNum w:abstractNumId="40">
    <w:nsid w:val="2CD89A32"/>
    <w:multiLevelType w:val="hybridMultilevel"/>
    <w:lvl w:ilvl="0">
      <w:lvlJc w:val="left"/>
      <w:lvlText w:val="%1."/>
      <w:numFmt w:val="decimal"/>
      <w:start w:val="11"/>
    </w:lvl>
    <w:lvl w:ilvl="1">
      <w:lvlJc w:val="left"/>
      <w:lvlText w:val="(%2)"/>
      <w:numFmt w:val="lowerLetter"/>
      <w:start w:val="1"/>
    </w:lvl>
  </w:abstractNum>
  <w:abstractNum w:abstractNumId="41">
    <w:nsid w:val="57E4CCAF"/>
    <w:multiLevelType w:val="hybridMultilevel"/>
    <w:lvl w:ilvl="0">
      <w:lvlJc w:val="left"/>
      <w:lvlText w:val="(%1)"/>
      <w:numFmt w:val="lowerLetter"/>
      <w:start w:val="3"/>
    </w:lvl>
  </w:abstractNum>
  <w:abstractNum w:abstractNumId="42">
    <w:nsid w:val="7A6D8D3C"/>
    <w:multiLevelType w:val="hybridMultilevel"/>
    <w:lvl w:ilvl="0">
      <w:lvlJc w:val="left"/>
      <w:lvlText w:val="%1"/>
      <w:numFmt w:val="decimal"/>
      <w:start w:val="1"/>
    </w:lvl>
    <w:lvl w:ilvl="1">
      <w:lvlJc w:val="left"/>
      <w:lvlText w:val="(%2)"/>
      <w:numFmt w:val="lowerLetter"/>
      <w:start w:val="4"/>
    </w:lvl>
  </w:abstractNum>
  <w:abstractNum w:abstractNumId="43">
    <w:nsid w:val="4B588F54"/>
    <w:multiLevelType w:val="hybridMultilevel"/>
    <w:lvl w:ilvl="0">
      <w:lvlJc w:val="left"/>
      <w:lvlText w:val="%1."/>
      <w:numFmt w:val="decimal"/>
      <w:start w:val="12"/>
    </w:lvl>
    <w:lvl w:ilvl="1">
      <w:lvlJc w:val="left"/>
      <w:lvlText w:val="(%2)"/>
      <w:numFmt w:val="lowerLetter"/>
      <w:start w:val="1"/>
    </w:lvl>
  </w:abstractNum>
  <w:abstractNum w:abstractNumId="44">
    <w:nsid w:val="542289EC"/>
    <w:multiLevelType w:val="hybridMultilevel"/>
    <w:lvl w:ilvl="0">
      <w:lvlJc w:val="left"/>
      <w:lvlText w:val="%1."/>
      <w:numFmt w:val="decimal"/>
      <w:start w:val="14"/>
    </w:lvl>
    <w:lvl w:ilvl="1">
      <w:lvlJc w:val="left"/>
      <w:lvlText w:val="(%2)"/>
      <w:numFmt w:val="lowerLetter"/>
      <w:start w:val="1"/>
    </w:lvl>
  </w:abstractNum>
  <w:abstractNum w:abstractNumId="45">
    <w:nsid w:val="6DE91B18"/>
    <w:multiLevelType w:val="hybridMultilevel"/>
    <w:lvl w:ilvl="0">
      <w:lvlJc w:val="left"/>
      <w:lvlText w:val="%1."/>
      <w:numFmt w:val="decimal"/>
      <w:start w:val="17"/>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2019-12-28T04:17:36Z</dcterms:created>
  <dcterms:modified xsi:type="dcterms:W3CDTF">2019-12-28T04:17:36Z</dcterms:modified>
</cp:coreProperties>
</file>