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178435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May 16,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517" w:right="41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520" w:space="720"/>
            <w:col w:w="2860" w:space="720"/>
            <w:col w:w="2220"/>
          </w:cols>
          <w:pgMar w:left="440" w:top="517" w:right="41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517" w:right="419" w:bottom="1440" w:gutter="0" w:footer="0" w:header="0"/>
          <w:type w:val="continuous"/>
        </w:sectPr>
      </w:pPr>
    </w:p>
    <w:p>
      <w:pPr>
        <w:spacing w:after="0" w:line="33"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400" w:space="720"/>
            <w:col w:w="2920"/>
          </w:cols>
          <w:pgMar w:left="440" w:top="517" w:right="419" w:bottom="1440" w:gutter="0" w:footer="0" w:header="0"/>
          <w:type w:val="continuous"/>
        </w:sectPr>
      </w:pPr>
    </w:p>
    <w:p>
      <w:pPr>
        <w:ind w:left="15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300" w:space="720"/>
            <w:col w:w="3020"/>
          </w:cols>
          <w:pgMar w:left="440" w:top="517"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500" w:hanging="496"/>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00" w:hanging="496"/>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00" w:hanging="496"/>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500" w:hanging="496"/>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51" w:lineRule="exact"/>
        <w:rPr>
          <w:sz w:val="24"/>
          <w:szCs w:val="24"/>
          <w:color w:val="auto"/>
        </w:rPr>
      </w:pPr>
    </w:p>
    <w:tbl>
      <w:tblPr>
        <w:tblLayout w:type="fixed"/>
        <w:tblInd w:w="30" w:type="dxa"/>
        <w:tblCellMar>
          <w:top w:w="0" w:type="dxa"/>
          <w:left w:w="0" w:type="dxa"/>
          <w:bottom w:w="0" w:type="dxa"/>
          <w:right w:w="0" w:type="dxa"/>
        </w:tblCellMar>
      </w:tblPr>
      <w:tr>
        <w:trPr>
          <w:trHeight w:val="162"/>
        </w:trPr>
        <w:tc>
          <w:tcPr>
            <w:tcW w:w="3760" w:type="dxa"/>
            <w:vAlign w:val="bottom"/>
            <w:tcBorders>
              <w:top w:val="single" w:sz="8" w:color="auto"/>
              <w:left w:val="single" w:sz="8" w:color="auto"/>
              <w:bottom w:val="single" w:sz="8" w:color="auto"/>
              <w:right w:val="single" w:sz="8" w:color="auto"/>
            </w:tcBorders>
          </w:tcPr>
          <w:p>
            <w:pPr>
              <w:jc w:val="center"/>
              <w:ind w:left="39"/>
              <w:spacing w:after="0"/>
              <w:rPr>
                <w:sz w:val="20"/>
                <w:szCs w:val="20"/>
                <w:color w:val="auto"/>
              </w:rPr>
            </w:pPr>
            <w:r>
              <w:rPr>
                <w:rFonts w:ascii="Arial" w:cs="Arial" w:eastAsia="Arial" w:hAnsi="Arial"/>
                <w:sz w:val="14"/>
                <w:szCs w:val="14"/>
                <w:b w:val="1"/>
                <w:bCs w:val="1"/>
                <w:color w:val="auto"/>
                <w:w w:val="89"/>
              </w:rPr>
              <w:t>Title of each class</w:t>
            </w:r>
          </w:p>
        </w:tc>
        <w:tc>
          <w:tcPr>
            <w:tcW w:w="3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3760" w:type="dxa"/>
            <w:vAlign w:val="bottom"/>
            <w:tcBorders>
              <w:left w:val="single" w:sz="8" w:color="auto"/>
              <w:bottom w:val="single" w:sz="8" w:color="auto"/>
              <w:right w:val="single" w:sz="8" w:color="auto"/>
            </w:tcBorders>
          </w:tcPr>
          <w:p>
            <w:pPr>
              <w:jc w:val="center"/>
              <w:ind w:left="19"/>
              <w:spacing w:after="0"/>
              <w:rPr>
                <w:sz w:val="20"/>
                <w:szCs w:val="20"/>
                <w:color w:val="auto"/>
              </w:rPr>
            </w:pPr>
            <w:r>
              <w:rPr>
                <w:rFonts w:ascii="Arial" w:cs="Arial" w:eastAsia="Arial" w:hAnsi="Arial"/>
                <w:sz w:val="18"/>
                <w:szCs w:val="18"/>
                <w:color w:val="auto"/>
                <w:w w:val="89"/>
              </w:rPr>
              <w:t>Common Stock, par value $0.01 per share</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TSLX</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New York Stock Exchange</w:t>
            </w:r>
          </w:p>
        </w:tc>
      </w:tr>
    </w:tbl>
    <w:p>
      <w:pPr>
        <w:spacing w:after="0" w:line="202"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193675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517"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Meeting of Stockholders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May 16, 2019, TPG Specialty Lending, Inc. (the “Company”) held its annual meeting of stockholders. Stockholders considered two proposals as described in the Company’s proxy statement filed on April 5, 2019. The final results of the voting on each matter submitted to stockholders at the annual meeting are set forth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1 – Election of Class II Directors. </w:t>
      </w:r>
      <w:r>
        <w:rPr>
          <w:rFonts w:ascii="Arial" w:cs="Arial" w:eastAsia="Arial" w:hAnsi="Arial"/>
          <w:sz w:val="18"/>
          <w:szCs w:val="18"/>
          <w:color w:val="auto"/>
        </w:rPr>
        <w:t>The stockholders elected the nominees for Class II director by the vote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2780" w:type="dxa"/>
            <w:vAlign w:val="bottom"/>
            <w:gridSpan w:val="2"/>
          </w:tcPr>
          <w:p>
            <w:pPr>
              <w:jc w:val="right"/>
              <w:ind w:right="1810"/>
              <w:spacing w:after="0"/>
              <w:rPr>
                <w:sz w:val="20"/>
                <w:szCs w:val="20"/>
                <w:color w:val="auto"/>
              </w:rPr>
            </w:pPr>
            <w:r>
              <w:rPr>
                <w:rFonts w:ascii="Arial" w:cs="Arial" w:eastAsia="Arial" w:hAnsi="Arial"/>
                <w:sz w:val="14"/>
                <w:szCs w:val="14"/>
                <w:b w:val="1"/>
                <w:bCs w:val="1"/>
                <w:color w:val="auto"/>
              </w:rPr>
              <w:t>Votes “For”</w:t>
            </w:r>
          </w:p>
        </w:tc>
        <w:tc>
          <w:tcPr>
            <w:tcW w:w="2980" w:type="dxa"/>
            <w:vAlign w:val="bottom"/>
            <w:gridSpan w:val="3"/>
          </w:tcPr>
          <w:p>
            <w:pPr>
              <w:ind w:left="100"/>
              <w:spacing w:after="0"/>
              <w:rPr>
                <w:sz w:val="20"/>
                <w:szCs w:val="20"/>
                <w:color w:val="auto"/>
              </w:rPr>
            </w:pPr>
            <w:r>
              <w:rPr>
                <w:rFonts w:ascii="Arial" w:cs="Arial" w:eastAsia="Arial" w:hAnsi="Arial"/>
                <w:sz w:val="14"/>
                <w:szCs w:val="14"/>
                <w:b w:val="1"/>
                <w:bCs w:val="1"/>
                <w:color w:val="auto"/>
              </w:rPr>
              <w:t>Votes “Withheld”</w:t>
            </w:r>
          </w:p>
        </w:tc>
        <w:tc>
          <w:tcPr>
            <w:tcW w:w="2640" w:type="dxa"/>
            <w:vAlign w:val="bottom"/>
          </w:tcPr>
          <w:p>
            <w:pPr>
              <w:spacing w:after="0"/>
              <w:rPr>
                <w:sz w:val="20"/>
                <w:szCs w:val="20"/>
                <w:color w:val="auto"/>
              </w:rPr>
            </w:pPr>
            <w:r>
              <w:rPr>
                <w:rFonts w:ascii="Arial" w:cs="Arial" w:eastAsia="Arial" w:hAnsi="Arial"/>
                <w:sz w:val="14"/>
                <w:szCs w:val="14"/>
                <w:b w:val="1"/>
                <w:bCs w:val="1"/>
                <w:color w:val="auto"/>
              </w:rPr>
              <w:t>Broker Non-Votes</w:t>
            </w:r>
          </w:p>
        </w:tc>
      </w:tr>
      <w:tr>
        <w:trPr>
          <w:trHeight w:val="195"/>
        </w:trPr>
        <w:tc>
          <w:tcPr>
            <w:tcW w:w="20" w:type="dxa"/>
            <w:vAlign w:val="bottom"/>
          </w:tcPr>
          <w:p>
            <w:pPr>
              <w:spacing w:after="0"/>
              <w:rPr>
                <w:sz w:val="16"/>
                <w:szCs w:val="16"/>
                <w:color w:val="auto"/>
              </w:rPr>
            </w:pPr>
          </w:p>
        </w:tc>
        <w:tc>
          <w:tcPr>
            <w:tcW w:w="2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Jennifer Gordon</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right"/>
              <w:ind w:right="1730"/>
              <w:spacing w:after="0" w:line="195" w:lineRule="exact"/>
              <w:rPr>
                <w:sz w:val="20"/>
                <w:szCs w:val="20"/>
                <w:color w:val="auto"/>
              </w:rPr>
            </w:pPr>
            <w:r>
              <w:rPr>
                <w:rFonts w:ascii="Arial" w:cs="Arial" w:eastAsia="Arial" w:hAnsi="Arial"/>
                <w:sz w:val="18"/>
                <w:szCs w:val="18"/>
                <w:color w:val="auto"/>
                <w:w w:val="86"/>
              </w:rPr>
              <w:t>28,807,306</w:t>
            </w:r>
          </w:p>
        </w:tc>
        <w:tc>
          <w:tcPr>
            <w:tcW w:w="120" w:type="dxa"/>
            <w:vAlign w:val="bottom"/>
          </w:tcPr>
          <w:p>
            <w:pPr>
              <w:spacing w:after="0"/>
              <w:rPr>
                <w:sz w:val="16"/>
                <w:szCs w:val="16"/>
                <w:color w:val="auto"/>
              </w:rPr>
            </w:pPr>
          </w:p>
        </w:tc>
        <w:tc>
          <w:tcPr>
            <w:tcW w:w="2740" w:type="dxa"/>
            <w:vAlign w:val="bottom"/>
            <w:tcBorders>
              <w:top w:val="single" w:sz="8" w:color="auto"/>
            </w:tcBorders>
          </w:tcPr>
          <w:p>
            <w:pPr>
              <w:jc w:val="right"/>
              <w:ind w:right="1950"/>
              <w:spacing w:after="0" w:line="195" w:lineRule="exact"/>
              <w:rPr>
                <w:sz w:val="20"/>
                <w:szCs w:val="20"/>
                <w:color w:val="auto"/>
              </w:rPr>
            </w:pPr>
            <w:r>
              <w:rPr>
                <w:rFonts w:ascii="Arial" w:cs="Arial" w:eastAsia="Arial" w:hAnsi="Arial"/>
                <w:sz w:val="18"/>
                <w:szCs w:val="18"/>
                <w:color w:val="auto"/>
                <w:w w:val="84"/>
              </w:rPr>
              <w:t>7,494,289</w:t>
            </w:r>
          </w:p>
        </w:tc>
        <w:tc>
          <w:tcPr>
            <w:tcW w:w="120" w:type="dxa"/>
            <w:vAlign w:val="bottom"/>
          </w:tcPr>
          <w:p>
            <w:pPr>
              <w:spacing w:after="0"/>
              <w:rPr>
                <w:sz w:val="16"/>
                <w:szCs w:val="16"/>
                <w:color w:val="auto"/>
              </w:rPr>
            </w:pPr>
          </w:p>
        </w:tc>
        <w:tc>
          <w:tcPr>
            <w:tcW w:w="2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20,212,378</w:t>
            </w: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2780" w:type="dxa"/>
            <w:vAlign w:val="bottom"/>
            <w:gridSpan w:val="2"/>
          </w:tcPr>
          <w:p>
            <w:pPr>
              <w:jc w:val="right"/>
              <w:ind w:right="1730"/>
              <w:spacing w:after="0"/>
              <w:rPr>
                <w:sz w:val="20"/>
                <w:szCs w:val="20"/>
                <w:color w:val="auto"/>
              </w:rPr>
            </w:pPr>
            <w:r>
              <w:rPr>
                <w:rFonts w:ascii="Arial" w:cs="Arial" w:eastAsia="Arial" w:hAnsi="Arial"/>
                <w:sz w:val="18"/>
                <w:szCs w:val="18"/>
                <w:color w:val="auto"/>
              </w:rPr>
              <w:t>30,061,770</w:t>
            </w:r>
          </w:p>
        </w:tc>
        <w:tc>
          <w:tcPr>
            <w:tcW w:w="2860" w:type="dxa"/>
            <w:vAlign w:val="bottom"/>
            <w:gridSpan w:val="2"/>
          </w:tcPr>
          <w:p>
            <w:pPr>
              <w:jc w:val="right"/>
              <w:ind w:right="1950"/>
              <w:spacing w:after="0"/>
              <w:rPr>
                <w:sz w:val="20"/>
                <w:szCs w:val="20"/>
                <w:color w:val="auto"/>
              </w:rPr>
            </w:pPr>
            <w:r>
              <w:rPr>
                <w:rFonts w:ascii="Arial" w:cs="Arial" w:eastAsia="Arial" w:hAnsi="Arial"/>
                <w:sz w:val="18"/>
                <w:szCs w:val="18"/>
                <w:color w:val="auto"/>
                <w:w w:val="99"/>
              </w:rPr>
              <w:t>6,239,825</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20,212,378</w:t>
            </w:r>
          </w:p>
        </w:tc>
      </w:tr>
    </w:tbl>
    <w:p>
      <w:pPr>
        <w:spacing w:after="0" w:line="19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Proposal 2 – Ratification of Appointment of Independent Registered Public Accounting Firm. </w:t>
      </w:r>
      <w:r>
        <w:rPr>
          <w:rFonts w:ascii="Arial" w:cs="Arial" w:eastAsia="Arial" w:hAnsi="Arial"/>
          <w:sz w:val="18"/>
          <w:szCs w:val="18"/>
          <w:color w:val="auto"/>
        </w:rPr>
        <w:t>The stockholders ratified the retention of KPMG</w:t>
      </w:r>
      <w:r>
        <w:rPr>
          <w:rFonts w:ascii="Arial" w:cs="Arial" w:eastAsia="Arial" w:hAnsi="Arial"/>
          <w:sz w:val="18"/>
          <w:szCs w:val="18"/>
          <w:b w:val="1"/>
          <w:bCs w:val="1"/>
          <w:color w:val="auto"/>
        </w:rPr>
        <w:t xml:space="preserve"> </w:t>
      </w:r>
      <w:r>
        <w:rPr>
          <w:rFonts w:ascii="Arial" w:cs="Arial" w:eastAsia="Arial" w:hAnsi="Arial"/>
          <w:sz w:val="18"/>
          <w:szCs w:val="18"/>
          <w:color w:val="auto"/>
        </w:rPr>
        <w:t>LLP as our independent registered public accounting firm for the fiscal year ending December 31,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2880" w:type="dxa"/>
            <w:vAlign w:val="bottom"/>
            <w:gridSpan w:val="2"/>
          </w:tcPr>
          <w:p>
            <w:pPr>
              <w:ind w:left="120"/>
              <w:spacing w:after="0"/>
              <w:rPr>
                <w:sz w:val="20"/>
                <w:szCs w:val="20"/>
                <w:color w:val="auto"/>
              </w:rPr>
            </w:pPr>
            <w:r>
              <w:rPr>
                <w:rFonts w:ascii="Arial" w:cs="Arial" w:eastAsia="Arial" w:hAnsi="Arial"/>
                <w:sz w:val="14"/>
                <w:szCs w:val="14"/>
                <w:b w:val="1"/>
                <w:bCs w:val="1"/>
                <w:color w:val="auto"/>
              </w:rPr>
              <w:t>Votes “Against”</w:t>
            </w:r>
          </w:p>
        </w:tc>
        <w:tc>
          <w:tcPr>
            <w:tcW w:w="2980" w:type="dxa"/>
            <w:vAlign w:val="bottom"/>
            <w:gridSpan w:val="3"/>
          </w:tcPr>
          <w:p>
            <w:pPr>
              <w:ind w:left="100"/>
              <w:spacing w:after="0"/>
              <w:rPr>
                <w:sz w:val="20"/>
                <w:szCs w:val="20"/>
                <w:color w:val="auto"/>
              </w:rPr>
            </w:pPr>
            <w:r>
              <w:rPr>
                <w:rFonts w:ascii="Arial" w:cs="Arial" w:eastAsia="Arial" w:hAnsi="Arial"/>
                <w:sz w:val="14"/>
                <w:szCs w:val="14"/>
                <w:b w:val="1"/>
                <w:bCs w:val="1"/>
                <w:color w:val="auto"/>
              </w:rPr>
              <w:t>Abstentions</w:t>
            </w:r>
          </w:p>
        </w:tc>
        <w:tc>
          <w:tcPr>
            <w:tcW w:w="2640" w:type="dxa"/>
            <w:vAlign w:val="bottom"/>
          </w:tcPr>
          <w:p>
            <w:pPr>
              <w:spacing w:after="0"/>
              <w:rPr>
                <w:sz w:val="20"/>
                <w:szCs w:val="20"/>
                <w:color w:val="auto"/>
              </w:rPr>
            </w:pPr>
            <w:r>
              <w:rPr>
                <w:rFonts w:ascii="Arial" w:cs="Arial" w:eastAsia="Arial" w:hAnsi="Arial"/>
                <w:sz w:val="14"/>
                <w:szCs w:val="14"/>
                <w:b w:val="1"/>
                <w:bCs w:val="1"/>
                <w:color w:val="auto"/>
              </w:rPr>
              <w:t>Broker Non-Votes</w:t>
            </w:r>
          </w:p>
        </w:tc>
      </w:tr>
      <w:tr>
        <w:trPr>
          <w:trHeight w:val="224"/>
        </w:trPr>
        <w:tc>
          <w:tcPr>
            <w:tcW w:w="20" w:type="dxa"/>
            <w:vAlign w:val="bottom"/>
          </w:tcPr>
          <w:p>
            <w:pPr>
              <w:spacing w:after="0"/>
              <w:rPr>
                <w:sz w:val="19"/>
                <w:szCs w:val="19"/>
                <w:color w:val="auto"/>
              </w:rPr>
            </w:pPr>
          </w:p>
        </w:tc>
        <w:tc>
          <w:tcPr>
            <w:tcW w:w="2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55,868,665</w:t>
            </w:r>
          </w:p>
        </w:tc>
        <w:tc>
          <w:tcPr>
            <w:tcW w:w="140" w:type="dxa"/>
            <w:vAlign w:val="bottom"/>
          </w:tcPr>
          <w:p>
            <w:pPr>
              <w:spacing w:after="0"/>
              <w:rPr>
                <w:sz w:val="19"/>
                <w:szCs w:val="19"/>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320,326</w:t>
            </w:r>
          </w:p>
        </w:tc>
        <w:tc>
          <w:tcPr>
            <w:tcW w:w="120" w:type="dxa"/>
            <w:vAlign w:val="bottom"/>
          </w:tcPr>
          <w:p>
            <w:pPr>
              <w:spacing w:after="0"/>
              <w:rPr>
                <w:sz w:val="19"/>
                <w:szCs w:val="19"/>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324,982</w:t>
            </w:r>
          </w:p>
        </w:tc>
        <w:tc>
          <w:tcPr>
            <w:tcW w:w="120" w:type="dxa"/>
            <w:vAlign w:val="bottom"/>
          </w:tcPr>
          <w:p>
            <w:pPr>
              <w:spacing w:after="0"/>
              <w:rPr>
                <w:sz w:val="19"/>
                <w:szCs w:val="19"/>
                <w:color w:val="auto"/>
              </w:rPr>
            </w:pPr>
          </w:p>
        </w:tc>
        <w:tc>
          <w:tcPr>
            <w:tcW w:w="2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040"/>
          </w:cols>
          <w:pgMar w:left="440" w:top="270" w:right="4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7480" w:type="dxa"/>
            <w:vAlign w:val="bottom"/>
            <w:gridSpan w:val="2"/>
          </w:tcPr>
          <w:p>
            <w:pPr>
              <w:ind w:left="2120"/>
              <w:spacing w:after="0"/>
              <w:rPr>
                <w:sz w:val="20"/>
                <w:szCs w:val="20"/>
                <w:color w:val="auto"/>
              </w:rPr>
            </w:pPr>
            <w:r>
              <w:rPr>
                <w:rFonts w:ascii="Arial" w:cs="Arial" w:eastAsia="Arial" w:hAnsi="Arial"/>
                <w:sz w:val="18"/>
                <w:szCs w:val="18"/>
                <w:color w:val="auto"/>
              </w:rPr>
              <w:t>TPG SPECIALTY LENDING, INC.</w:t>
            </w:r>
          </w:p>
        </w:tc>
      </w:tr>
      <w:tr>
        <w:trPr>
          <w:trHeight w:val="230"/>
        </w:trPr>
        <w:tc>
          <w:tcPr>
            <w:tcW w:w="3560" w:type="dxa"/>
            <w:vAlign w:val="bottom"/>
          </w:tcPr>
          <w:p>
            <w:pPr>
              <w:spacing w:after="0"/>
              <w:rPr>
                <w:sz w:val="20"/>
                <w:szCs w:val="20"/>
                <w:color w:val="auto"/>
              </w:rPr>
            </w:pPr>
          </w:p>
        </w:tc>
        <w:tc>
          <w:tcPr>
            <w:tcW w:w="7480" w:type="dxa"/>
            <w:vAlign w:val="bottom"/>
            <w:gridSpan w:val="2"/>
          </w:tcPr>
          <w:p>
            <w:pPr>
              <w:ind w:left="2120"/>
              <w:spacing w:after="0"/>
              <w:rPr>
                <w:sz w:val="20"/>
                <w:szCs w:val="20"/>
                <w:color w:val="auto"/>
              </w:rPr>
            </w:pPr>
            <w:r>
              <w:rPr>
                <w:rFonts w:ascii="Arial" w:cs="Arial" w:eastAsia="Arial" w:hAnsi="Arial"/>
                <w:sz w:val="18"/>
                <w:szCs w:val="18"/>
                <w:color w:val="auto"/>
              </w:rPr>
              <w:t>(Registrant)</w:t>
            </w:r>
          </w:p>
        </w:tc>
      </w:tr>
      <w:tr>
        <w:trPr>
          <w:trHeight w:val="446"/>
        </w:trPr>
        <w:tc>
          <w:tcPr>
            <w:tcW w:w="3560" w:type="dxa"/>
            <w:vAlign w:val="bottom"/>
          </w:tcPr>
          <w:p>
            <w:pPr>
              <w:spacing w:after="0"/>
              <w:rPr>
                <w:sz w:val="20"/>
                <w:szCs w:val="20"/>
                <w:color w:val="auto"/>
              </w:rPr>
            </w:pPr>
            <w:r>
              <w:rPr>
                <w:rFonts w:ascii="Arial" w:cs="Arial" w:eastAsia="Arial" w:hAnsi="Arial"/>
                <w:sz w:val="18"/>
                <w:szCs w:val="18"/>
                <w:color w:val="auto"/>
              </w:rPr>
              <w:t>Date: May 16, 2019</w:t>
            </w:r>
          </w:p>
        </w:tc>
        <w:tc>
          <w:tcPr>
            <w:tcW w:w="7480" w:type="dxa"/>
            <w:vAlign w:val="bottom"/>
            <w:gridSpan w:val="2"/>
          </w:tcPr>
          <w:p>
            <w:pPr>
              <w:ind w:left="2120"/>
              <w:spacing w:after="0"/>
              <w:rPr>
                <w:sz w:val="20"/>
                <w:szCs w:val="20"/>
                <w:color w:val="auto"/>
              </w:rPr>
            </w:pPr>
            <w:r>
              <w:rPr>
                <w:rFonts w:ascii="Arial" w:cs="Arial" w:eastAsia="Arial" w:hAnsi="Arial"/>
                <w:sz w:val="18"/>
                <w:szCs w:val="18"/>
                <w:color w:val="auto"/>
              </w:rPr>
              <w:t>By:  /s/ Ian Simmonds</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2019-12-02T18:42:12Z</dcterms:created>
  <dcterms:modified xsi:type="dcterms:W3CDTF">2019-12-02T18:42:12Z</dcterms:modified>
</cp:coreProperties>
</file>