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Filed Pursuant to Rule 497</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333-231271</w:t>
      </w:r>
    </w:p>
    <w:p>
      <w:pPr>
        <w:spacing w:after="0" w:line="135"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PROSPECTUS SUPPLEMENT</w:t>
      </w:r>
    </w:p>
    <w:p>
      <w:pPr>
        <w:spacing w:after="0" w:line="42"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(To Prospectus dated May 7, 2019)</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$300,000,000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88900</wp:posOffset>
            </wp:positionV>
            <wp:extent cx="135445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2.500%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7" w:lineRule="exact"/>
        <w:rPr>
          <w:sz w:val="24"/>
          <w:szCs w:val="24"/>
          <w:color w:val="auto"/>
        </w:rPr>
      </w:pPr>
    </w:p>
    <w:p>
      <w:pPr>
        <w:ind w:left="120" w:right="60" w:firstLine="440"/>
        <w:spacing w:after="0" w:line="231" w:lineRule="auto"/>
        <w:rPr>
          <w:sz w:val="20"/>
          <w:szCs w:val="20"/>
          <w:color w:val="auto"/>
        </w:rPr>
      </w:pPr>
      <w:r>
        <w:rPr>
          <w:rFonts w:ascii="Arial" w:cs="Arial" w:eastAsia="Arial" w:hAnsi="Arial"/>
          <w:sz w:val="14"/>
          <w:szCs w:val="14"/>
          <w:color w:val="auto"/>
        </w:rPr>
        <w:t>We are offering $300,000,000 in aggregate principal amount of 2.500% notes due 2026, which we refer to as the Notes. The Notes will mature on August 1, 2026. We will pay interest on the Notes on February 1 and August 1 of each year, beginning on August 1, 2021.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8" w:lineRule="exact"/>
        <w:rPr>
          <w:sz w:val="24"/>
          <w:szCs w:val="24"/>
          <w:color w:val="auto"/>
        </w:rPr>
      </w:pPr>
    </w:p>
    <w:p>
      <w:pPr>
        <w:ind w:left="120" w:right="280" w:firstLine="440"/>
        <w:spacing w:after="0" w:line="251" w:lineRule="auto"/>
        <w:rPr>
          <w:sz w:val="20"/>
          <w:szCs w:val="20"/>
          <w:color w:val="auto"/>
        </w:rPr>
      </w:pPr>
      <w:r>
        <w:rPr>
          <w:rFonts w:ascii="Arial" w:cs="Arial" w:eastAsia="Arial" w:hAnsi="Arial"/>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w:t>
      </w:r>
    </w:p>
    <w:p>
      <w:pPr>
        <w:spacing w:after="0" w:line="1" w:lineRule="exact"/>
        <w:rPr>
          <w:sz w:val="24"/>
          <w:szCs w:val="24"/>
          <w:color w:val="auto"/>
        </w:rPr>
      </w:pPr>
    </w:p>
    <w:p>
      <w:pPr>
        <w:jc w:val="both"/>
        <w:ind w:left="120" w:right="340" w:firstLine="440"/>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ind w:left="120" w:right="360" w:firstLine="440"/>
        <w:spacing w:after="0" w:line="243" w:lineRule="auto"/>
        <w:rPr>
          <w:sz w:val="20"/>
          <w:szCs w:val="20"/>
          <w:color w:val="auto"/>
        </w:rPr>
      </w:pPr>
      <w:r>
        <w:rPr>
          <w:rFonts w:ascii="Arial" w:cs="Arial" w:eastAsia="Arial" w:hAnsi="Arial"/>
          <w:sz w:val="14"/>
          <w:szCs w:val="14"/>
          <w:color w:val="auto"/>
        </w:rPr>
        <w:t>As of September 30, 2020, our investment portfolio consisted of investments in 70 portfolio companies with an aggregate fair value of $2,100.8 million. We intend to continue to pursue an investment strategy focused on direct origination of loans to middle-market companies principally domiciled in the United States.</w:t>
      </w:r>
    </w:p>
    <w:p>
      <w:pPr>
        <w:spacing w:after="0" w:line="5" w:lineRule="exact"/>
        <w:rPr>
          <w:sz w:val="24"/>
          <w:szCs w:val="24"/>
          <w:color w:val="auto"/>
        </w:rPr>
      </w:pPr>
    </w:p>
    <w:p>
      <w:pPr>
        <w:ind w:left="120" w:right="240" w:firstLine="440"/>
        <w:spacing w:after="0" w:line="270" w:lineRule="auto"/>
        <w:rPr>
          <w:sz w:val="20"/>
          <w:szCs w:val="20"/>
          <w:color w:val="auto"/>
        </w:rPr>
      </w:pPr>
      <w:r>
        <w:rPr>
          <w:rFonts w:ascii="Arial" w:cs="Arial" w:eastAsia="Arial" w:hAnsi="Arial"/>
          <w:sz w:val="13"/>
          <w:szCs w:val="13"/>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$50 billion in assets under management and committed capital.</w:t>
      </w:r>
    </w:p>
    <w:p>
      <w:pPr>
        <w:spacing w:after="0" w:line="1" w:lineRule="exact"/>
        <w:rPr>
          <w:sz w:val="24"/>
          <w:szCs w:val="24"/>
          <w:color w:val="auto"/>
        </w:rPr>
      </w:pPr>
    </w:p>
    <w:p>
      <w:pPr>
        <w:ind w:left="120" w:right="40" w:firstLine="440"/>
        <w:spacing w:after="0" w:line="231"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 w:lineRule="exact"/>
        <w:rPr>
          <w:sz w:val="24"/>
          <w:szCs w:val="24"/>
          <w:color w:val="auto"/>
        </w:rPr>
      </w:pPr>
    </w:p>
    <w:p>
      <w:pPr>
        <w:jc w:val="both"/>
        <w:ind w:left="120" w:right="80" w:firstLine="440"/>
        <w:spacing w:after="0" w:line="259" w:lineRule="auto"/>
        <w:rPr>
          <w:sz w:val="20"/>
          <w:szCs w:val="20"/>
          <w:color w:val="auto"/>
        </w:rPr>
      </w:pPr>
      <w:r>
        <w:rPr>
          <w:rFonts w:ascii="Arial" w:cs="Arial" w:eastAsia="Arial" w:hAnsi="Arial"/>
          <w:sz w:val="13"/>
          <w:szCs w:val="13"/>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52070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9" w:lineRule="exact"/>
        <w:rPr>
          <w:sz w:val="24"/>
          <w:szCs w:val="24"/>
          <w:color w:val="auto"/>
        </w:rPr>
      </w:pPr>
    </w:p>
    <w:p>
      <w:pPr>
        <w:ind w:left="120" w:right="200" w:firstLine="440"/>
        <w:spacing w:after="0" w:line="254"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including the risk of leverage, that are described in the “</w:t>
      </w:r>
      <w:hyperlink w:anchor="page13">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section beginning on page S-10 of this prospectus supplement and page 23 of the accompanying prospectus and in the documents incorporated by reference herein and therein.</w:t>
      </w:r>
    </w:p>
    <w:p>
      <w:pPr>
        <w:spacing w:after="0" w:line="1" w:lineRule="exact"/>
        <w:rPr>
          <w:sz w:val="24"/>
          <w:szCs w:val="24"/>
          <w:color w:val="auto"/>
        </w:rPr>
      </w:pPr>
    </w:p>
    <w:p>
      <w:pPr>
        <w:ind w:left="120" w:right="140" w:firstLine="440"/>
        <w:spacing w:after="0" w:line="247" w:lineRule="auto"/>
        <w:rPr>
          <w:sz w:val="20"/>
          <w:szCs w:val="20"/>
          <w:color w:val="auto"/>
        </w:rPr>
      </w:pPr>
      <w:r>
        <w:rPr>
          <w:rFonts w:ascii="Arial" w:cs="Arial" w:eastAsia="Arial" w:hAnsi="Arial"/>
          <w:sz w:val="13"/>
          <w:szCs w:val="13"/>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35th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48260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8"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6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42"/>
        </w:trPr>
        <w:tc>
          <w:tcPr>
            <w:tcW w:w="6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12"/>
                <w:szCs w:val="12"/>
                <w:color w:val="auto"/>
              </w:rPr>
              <w:t>(1)</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99.268%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297,804,000</w:t>
            </w:r>
          </w:p>
        </w:tc>
        <w:tc>
          <w:tcPr>
            <w:tcW w:w="40" w:type="dxa"/>
            <w:vAlign w:val="bottom"/>
            <w:shd w:val="clear" w:color="auto" w:fill="CCEEFF"/>
          </w:tcPr>
          <w:p>
            <w:pPr>
              <w:spacing w:after="0"/>
              <w:rPr>
                <w:sz w:val="12"/>
                <w:szCs w:val="12"/>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3,000,000</w:t>
            </w:r>
          </w:p>
        </w:tc>
      </w:tr>
      <w:tr>
        <w:trPr>
          <w:trHeight w:val="148"/>
        </w:trPr>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r>
              <w:rPr>
                <w:rFonts w:ascii="Arial" w:cs="Arial" w:eastAsia="Arial" w:hAnsi="Arial"/>
                <w:sz w:val="12"/>
                <w:szCs w:val="12"/>
                <w:color w:val="auto"/>
              </w:rPr>
              <w:t>(2)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98.268%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294,804,000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public offering price set forth above does not include accrued interest, if any. Interest on the Notes must be paid by the purchaser if the Notes are delivered after February 3, 2021.</w:t>
      </w:r>
    </w:p>
    <w:p>
      <w:pPr>
        <w:spacing w:after="0" w:line="11" w:lineRule="exact"/>
        <w:rPr>
          <w:rFonts w:ascii="Arial" w:cs="Arial" w:eastAsia="Arial" w:hAnsi="Arial"/>
          <w:sz w:val="13"/>
          <w:szCs w:val="13"/>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Before deducting expenses payable by us related to this offering, estimated at $1.1 million.</w:t>
      </w:r>
    </w:p>
    <w:p>
      <w:pPr>
        <w:spacing w:after="0" w:line="9" w:lineRule="exact"/>
        <w:rPr>
          <w:sz w:val="24"/>
          <w:szCs w:val="24"/>
          <w:color w:val="auto"/>
        </w:rPr>
      </w:pPr>
    </w:p>
    <w:p>
      <w:pPr>
        <w:ind w:left="120" w:right="240" w:firstLine="440"/>
        <w:spacing w:after="0" w:line="243" w:lineRule="auto"/>
        <w:rPr>
          <w:sz w:val="20"/>
          <w:szCs w:val="20"/>
          <w:color w:val="auto"/>
        </w:rPr>
      </w:pPr>
      <w:r>
        <w:rPr>
          <w:rFonts w:ascii="Arial" w:cs="Arial" w:eastAsia="Arial" w:hAnsi="Arial"/>
          <w:sz w:val="14"/>
          <w:szCs w:val="14"/>
          <w:color w:val="auto"/>
        </w:rPr>
        <w:t>THE NOTES ARE NOT DEPOSITS OR OTHER OBLIGATIONS OF A BANK AND ARE NOT INSURED BY THE FEDERAL DEPOSIT INSURANCE CORPORATION OR ANY OTHER GOVERNMENT AGENCY.</w:t>
      </w:r>
    </w:p>
    <w:p>
      <w:pPr>
        <w:spacing w:after="0" w:line="1" w:lineRule="exact"/>
        <w:rPr>
          <w:sz w:val="24"/>
          <w:szCs w:val="24"/>
          <w:color w:val="auto"/>
        </w:rPr>
      </w:pPr>
    </w:p>
    <w:p>
      <w:pPr>
        <w:ind w:left="120" w:right="380" w:firstLine="440"/>
        <w:spacing w:after="0" w:line="254"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p>
      <w:pPr>
        <w:ind w:left="560"/>
        <w:spacing w:after="0"/>
        <w:rPr>
          <w:sz w:val="20"/>
          <w:szCs w:val="20"/>
          <w:color w:val="auto"/>
        </w:rPr>
      </w:pPr>
      <w:r>
        <w:rPr>
          <w:rFonts w:ascii="Arial" w:cs="Arial" w:eastAsia="Arial" w:hAnsi="Arial"/>
          <w:sz w:val="14"/>
          <w:szCs w:val="14"/>
          <w:color w:val="auto"/>
        </w:rPr>
        <w:t>Delivery of the Notes in book-entry form only through The Depository Trust Company will be made on or about February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64135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6" w:lineRule="exact"/>
        <w:rPr>
          <w:sz w:val="24"/>
          <w:szCs w:val="24"/>
          <w:color w:val="auto"/>
        </w:rPr>
      </w:pPr>
    </w:p>
    <w:p>
      <w:pPr>
        <w:ind w:left="4700"/>
        <w:spacing w:after="0"/>
        <w:rPr>
          <w:sz w:val="20"/>
          <w:szCs w:val="20"/>
          <w:color w:val="auto"/>
        </w:rPr>
      </w:pPr>
      <w:r>
        <w:rPr>
          <w:rFonts w:ascii="Arial" w:cs="Arial" w:eastAsia="Arial" w:hAnsi="Arial"/>
          <w:sz w:val="14"/>
          <w:szCs w:val="14"/>
          <w:b w:val="1"/>
          <w:bCs w:val="1"/>
          <w:i w:val="1"/>
          <w:iCs w:val="1"/>
          <w:color w:val="auto"/>
        </w:rPr>
        <w:t>Joint Book-Running Managers</w:t>
      </w:r>
    </w:p>
    <w:p>
      <w:pPr>
        <w:sectPr>
          <w:pgSz w:w="11900" w:h="16838" w:orient="portrait"/>
          <w:cols w:equalWidth="0" w:num="1">
            <w:col w:w="11140"/>
          </w:cols>
          <w:pgMar w:left="320" w:top="230" w:right="439" w:bottom="1440" w:gutter="0" w:footer="0" w:header="0"/>
        </w:sectPr>
      </w:pPr>
    </w:p>
    <w:p>
      <w:pPr>
        <w:spacing w:after="0" w:line="21" w:lineRule="exact"/>
        <w:rPr>
          <w:sz w:val="24"/>
          <w:szCs w:val="24"/>
          <w:color w:val="auto"/>
        </w:rPr>
      </w:pPr>
    </w:p>
    <w:p>
      <w:pPr>
        <w:ind w:left="120"/>
        <w:spacing w:after="0"/>
        <w:rPr>
          <w:sz w:val="20"/>
          <w:szCs w:val="20"/>
          <w:color w:val="auto"/>
        </w:rPr>
      </w:pPr>
      <w:r>
        <w:rPr>
          <w:rFonts w:ascii="Arial" w:cs="Arial" w:eastAsia="Arial" w:hAnsi="Arial"/>
          <w:sz w:val="19"/>
          <w:szCs w:val="19"/>
          <w:b w:val="1"/>
          <w:bCs w:val="1"/>
          <w:color w:val="auto"/>
        </w:rPr>
        <w:t>BofA Securities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2860"/>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SMBC Nikko</w:t>
      </w:r>
    </w:p>
    <w:p>
      <w:pPr>
        <w:spacing w:after="0" w:line="162" w:lineRule="exact"/>
        <w:rPr>
          <w:sz w:val="24"/>
          <w:szCs w:val="24"/>
          <w:color w:val="auto"/>
        </w:rPr>
      </w:pPr>
    </w:p>
    <w:p>
      <w:pPr>
        <w:sectPr>
          <w:pgSz w:w="11900" w:h="16838" w:orient="portrait"/>
          <w:cols w:equalWidth="0" w:num="3">
            <w:col w:w="4460" w:space="720"/>
            <w:col w:w="3980" w:space="720"/>
            <w:col w:w="1260"/>
          </w:cols>
          <w:pgMar w:left="320" w:top="230" w:right="439" w:bottom="1440" w:gutter="0" w:footer="0" w:header="0"/>
          <w:type w:val="continuous"/>
        </w:sectPr>
      </w:pPr>
    </w:p>
    <w:p>
      <w:pPr>
        <w:ind w:left="1000" w:hanging="1485"/>
        <w:spacing w:after="0" w:line="287" w:lineRule="auto"/>
        <w:tabs>
          <w:tab w:leader="none" w:pos="980" w:val="left"/>
        </w:tabs>
        <w:rPr>
          <w:sz w:val="20"/>
          <w:szCs w:val="20"/>
          <w:color w:val="auto"/>
        </w:rPr>
      </w:pPr>
      <w:r>
        <w:rPr>
          <w:rFonts w:ascii="Arial" w:cs="Arial" w:eastAsia="Arial" w:hAnsi="Arial"/>
          <w:sz w:val="16"/>
          <w:szCs w:val="16"/>
          <w:b w:val="1"/>
          <w:bCs w:val="1"/>
          <w:color w:val="auto"/>
        </w:rPr>
        <w:t>Citigroup</w:t>
        <w:tab/>
        <w:t>Goldman Sachs &amp; Co.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MUFG</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b w:val="1"/>
          <w:bCs w:val="1"/>
          <w:color w:val="auto"/>
        </w:rPr>
        <w:t>RBC Capital</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Markets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b w:val="1"/>
          <w:bCs w:val="1"/>
          <w:color w:val="auto"/>
        </w:rPr>
        <w:t>Truist Securities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Mizuho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Morgan</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Stanley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b w:val="1"/>
          <w:bCs w:val="1"/>
          <w:color w:val="auto"/>
        </w:rPr>
        <w:t>HSBC</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4"/>
          <w:szCs w:val="14"/>
          <w:b w:val="1"/>
          <w:bCs w:val="1"/>
          <w:color w:val="auto"/>
        </w:rPr>
        <w:t>Wells Fargo</w:t>
      </w:r>
    </w:p>
    <w:p>
      <w:pPr>
        <w:spacing w:after="0" w:line="49"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Securities</w:t>
      </w:r>
    </w:p>
    <w:p>
      <w:pPr>
        <w:spacing w:after="0" w:line="46" w:lineRule="exact"/>
        <w:rPr>
          <w:sz w:val="24"/>
          <w:szCs w:val="24"/>
          <w:color w:val="auto"/>
        </w:rPr>
      </w:pPr>
    </w:p>
    <w:p>
      <w:pPr>
        <w:sectPr>
          <w:pgSz w:w="11900" w:h="16838" w:orient="portrait"/>
          <w:cols w:equalWidth="0" w:num="8">
            <w:col w:w="2540" w:space="400"/>
            <w:col w:w="480" w:space="520"/>
            <w:col w:w="900" w:space="620"/>
            <w:col w:w="1140" w:space="580"/>
            <w:col w:w="680" w:space="440"/>
            <w:col w:w="560" w:space="400"/>
            <w:col w:w="440" w:space="420"/>
            <w:col w:w="1020"/>
          </w:cols>
          <w:pgMar w:left="320" w:top="230" w:right="439" w:bottom="1440" w:gutter="0" w:footer="0" w:header="0"/>
          <w:type w:val="continuous"/>
        </w:sectPr>
      </w:pPr>
    </w:p>
    <w:p>
      <w:pPr>
        <w:jc w:val="center"/>
        <w:ind w:right="-119"/>
        <w:spacing w:after="0"/>
        <w:rPr>
          <w:sz w:val="20"/>
          <w:szCs w:val="20"/>
          <w:color w:val="auto"/>
        </w:rPr>
      </w:pPr>
      <w:r>
        <w:rPr>
          <w:rFonts w:ascii="Arial" w:cs="Arial" w:eastAsia="Arial" w:hAnsi="Arial"/>
          <w:sz w:val="12"/>
          <w:szCs w:val="12"/>
          <w:b w:val="1"/>
          <w:bCs w:val="1"/>
          <w:i w:val="1"/>
          <w:iCs w:val="1"/>
          <w:color w:val="auto"/>
        </w:rPr>
        <w:t>Co-Managers</w:t>
      </w:r>
    </w:p>
    <w:p>
      <w:pPr>
        <w:sectPr>
          <w:pgSz w:w="11900" w:h="16838" w:orient="portrait"/>
          <w:cols w:equalWidth="0" w:num="1">
            <w:col w:w="11140"/>
          </w:cols>
          <w:pgMar w:left="320" w:top="230" w:right="439" w:bottom="1440" w:gutter="0" w:footer="0" w:header="0"/>
          <w:type w:val="continuous"/>
        </w:sectPr>
      </w:pPr>
    </w:p>
    <w:p>
      <w:pPr>
        <w:spacing w:after="0" w:line="155" w:lineRule="exact"/>
        <w:rPr>
          <w:sz w:val="24"/>
          <w:szCs w:val="24"/>
          <w:color w:val="auto"/>
        </w:rPr>
      </w:pPr>
    </w:p>
    <w:p>
      <w:pPr>
        <w:jc w:val="right"/>
        <w:ind w:left="140"/>
        <w:spacing w:after="0" w:line="297" w:lineRule="auto"/>
        <w:rPr>
          <w:sz w:val="20"/>
          <w:szCs w:val="20"/>
          <w:color w:val="auto"/>
        </w:rPr>
      </w:pPr>
      <w:r>
        <w:rPr>
          <w:rFonts w:ascii="Arial" w:cs="Arial" w:eastAsia="Arial" w:hAnsi="Arial"/>
          <w:sz w:val="13"/>
          <w:szCs w:val="13"/>
          <w:b w:val="1"/>
          <w:bCs w:val="1"/>
          <w:color w:val="auto"/>
        </w:rPr>
        <w:t xml:space="preserve">Keefe, Bruyette &amp; Woods, </w:t>
      </w:r>
      <w:r>
        <w:rPr>
          <w:rFonts w:ascii="Arial" w:cs="Arial" w:eastAsia="Arial" w:hAnsi="Arial"/>
          <w:sz w:val="13"/>
          <w:szCs w:val="13"/>
          <w:b w:val="1"/>
          <w:bCs w:val="1"/>
          <w:i w:val="1"/>
          <w:iCs w:val="1"/>
          <w:color w:val="auto"/>
        </w:rPr>
        <w:t>A Stifel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ICBC Standard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Bank</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Santander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Comerica</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-327660</wp:posOffset>
            </wp:positionH>
            <wp:positionV relativeFrom="paragraph">
              <wp:posOffset>88265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Janney Montgomery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Scott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JMP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R. Seelaus</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&amp; Co., LLC</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140"/>
        <w:spacing w:after="0"/>
        <w:rPr>
          <w:sz w:val="20"/>
          <w:szCs w:val="20"/>
          <w:color w:val="auto"/>
        </w:rPr>
      </w:pPr>
      <w:r>
        <w:rPr>
          <w:rFonts w:ascii="Arial" w:cs="Arial" w:eastAsia="Arial" w:hAnsi="Arial"/>
          <w:sz w:val="13"/>
          <w:szCs w:val="13"/>
          <w:b w:val="1"/>
          <w:bCs w:val="1"/>
          <w:color w:val="auto"/>
        </w:rPr>
        <w:t>Raymond</w:t>
      </w:r>
    </w:p>
    <w:p>
      <w:pPr>
        <w:spacing w:after="0" w:line="15"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James</w:t>
      </w:r>
    </w:p>
    <w:p>
      <w:pPr>
        <w:spacing w:after="0" w:line="133" w:lineRule="exact"/>
        <w:rPr>
          <w:sz w:val="24"/>
          <w:szCs w:val="24"/>
          <w:color w:val="auto"/>
        </w:rPr>
      </w:pPr>
    </w:p>
    <w:p>
      <w:pPr>
        <w:sectPr>
          <w:pgSz w:w="11900" w:h="16838" w:orient="portrait"/>
          <w:cols w:equalWidth="0" w:num="8">
            <w:col w:w="1780" w:space="400"/>
            <w:col w:w="980" w:space="640"/>
            <w:col w:w="640" w:space="540"/>
            <w:col w:w="600" w:space="600"/>
            <w:col w:w="1260" w:space="600"/>
            <w:col w:w="600" w:space="540"/>
            <w:col w:w="740" w:space="480"/>
            <w:col w:w="740"/>
          </w:cols>
          <w:pgMar w:left="320" w:top="230" w:right="439" w:bottom="1440" w:gutter="0" w:footer="0" w:header="0"/>
          <w:type w:val="continuous"/>
        </w:sectPr>
      </w:pPr>
    </w:p>
    <w:p>
      <w:pPr>
        <w:jc w:val="center"/>
        <w:ind w:right="-119"/>
        <w:spacing w:after="0"/>
        <w:rPr>
          <w:sz w:val="20"/>
          <w:szCs w:val="20"/>
          <w:color w:val="auto"/>
        </w:rPr>
      </w:pPr>
      <w:r>
        <w:rPr>
          <w:rFonts w:ascii="Arial" w:cs="Arial" w:eastAsia="Arial" w:hAnsi="Arial"/>
          <w:sz w:val="12"/>
          <w:szCs w:val="12"/>
          <w:b w:val="1"/>
          <w:bCs w:val="1"/>
          <w:color w:val="auto"/>
        </w:rPr>
        <w:t>The date of this prospectus supplement is January 27,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INFORMATION INCORPORATED BY REFERENCE</w:t>
              </w:r>
            </w:hyperlink>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 REGARDING FORWARD-LOOKING STATEMENTS</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COMPANY</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SPECIFIC TERMS OF THE NOTES AND THE OFFERING</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SENIOR SECURITIES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CAPITALIZATION</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NOTES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MATERIAL U.S. FEDERAL INCOME TAX CONSIDERATIONS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UNDERWRITING</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S-43</w:t>
            </w:r>
          </w:p>
        </w:tc>
        <w:tc>
          <w:tcPr>
            <w:tcW w:w="0" w:type="dxa"/>
            <w:vAlign w:val="bottom"/>
          </w:tcPr>
          <w:p>
            <w:pPr>
              <w:spacing w:after="0"/>
              <w:rPr>
                <w:sz w:val="1"/>
                <w:szCs w:val="1"/>
                <w:color w:val="auto"/>
              </w:rPr>
            </w:pPr>
          </w:p>
        </w:tc>
      </w:tr>
      <w:tr>
        <w:trPr>
          <w:trHeight w:val="540"/>
        </w:trPr>
        <w:tc>
          <w:tcPr>
            <w:tcW w:w="10560" w:type="dxa"/>
            <w:vAlign w:val="bottom"/>
          </w:tcPr>
          <w:p>
            <w:pPr>
              <w:ind w:left="5080"/>
              <w:spacing w:after="0"/>
              <w:rPr>
                <w:sz w:val="20"/>
                <w:szCs w:val="20"/>
                <w:color w:val="auto"/>
              </w:rPr>
            </w:pPr>
            <w:r>
              <w:rPr>
                <w:rFonts w:ascii="Arial" w:cs="Arial" w:eastAsia="Arial" w:hAnsi="Arial"/>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vMerge w:val="restart"/>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SUMMARY</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THE OFFERING</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FEES AND EXPENSES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SELECTED FINANCIAL DATA AND OTHER INFORMATION</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SELECTED QUARTERLY FINANCIAL DATA</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SPECIAL NOTE REGARDING FORWARD-LOOKING STATEMENTS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PRICE RANGE OF COMMON STOCK AND DISTRIBUTIONS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SENIOR SECURITIES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THE COMPANY</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PORTFOLIO COMPANIES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 AND OTHER AGREEMENTS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RELATED-PARTY TRANSACTIONS AND CERTAIN RELATIONSHIPS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vMerge w:val="restart"/>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CONTROL PERSONS AND PRINCIPAL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DETERMINATION OF NET ASSET VALUE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SALES OF COMMON STOCK BELOW NET ASSET VALUE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DIVIDEND REINVESTMENT PLAN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MATERIAL U.S. FEDERAL INCOME TAX CONSIDERATIONS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SECURITIES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DESCRIPTION OF OUR PREFERRED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DESCRIPTION OF OUR SUBSCRIPTION RIGHTS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DESCRIPTION OF OUR WARRANTS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DESCRIPTION OF OUR DEBT SECURITIES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SHARES ELIGIBLE FOR FUTURE SALE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REGULATION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CUSTODIAN, TRANSFER AND DIVIDEND PAYING AGENT AND REGISTRAR</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BROKERAGE ALLOCATION AND OTHER PRACTICES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AVAILABLE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1066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INFORMATION INCORPORATED BY REFERENCE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100" w:lineRule="exact"/>
        <w:rPr>
          <w:sz w:val="20"/>
          <w:szCs w:val="20"/>
          <w:color w:val="auto"/>
        </w:rPr>
      </w:pPr>
    </w:p>
    <w:p>
      <w:pPr>
        <w:ind w:left="108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2019, filed with the SEC on February 19, 2020 (the “2019 Annual Report”), including the information specifically incorporated by reference into the Form 10-K from our </w:t>
      </w:r>
      <w:hyperlink r:id="rId19">
        <w:r>
          <w:rPr>
            <w:rFonts w:ascii="Arial" w:cs="Arial" w:eastAsia="Arial" w:hAnsi="Arial"/>
            <w:sz w:val="18"/>
            <w:szCs w:val="18"/>
            <w:u w:val="single" w:color="auto"/>
            <w:color w:val="0000EE"/>
          </w:rPr>
          <w:t>Definitive Proxy Statement</w:t>
        </w:r>
      </w:hyperlink>
      <w:r>
        <w:rPr>
          <w:rFonts w:ascii="Arial" w:cs="Arial" w:eastAsia="Arial" w:hAnsi="Arial"/>
          <w:sz w:val="18"/>
          <w:szCs w:val="18"/>
          <w:color w:val="auto"/>
        </w:rPr>
        <w:t xml:space="preserve"> on Schedule 14A relating to our 2020 Annual Meeting of Stockholders, filed with the SEC on April 17, 2020;</w:t>
      </w:r>
    </w:p>
    <w:p>
      <w:pPr>
        <w:spacing w:after="0" w:line="89"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three months ended </w:t>
      </w:r>
      <w:hyperlink r:id="rId20">
        <w:r>
          <w:rPr>
            <w:rFonts w:ascii="Arial" w:cs="Arial" w:eastAsia="Arial" w:hAnsi="Arial"/>
            <w:sz w:val="17"/>
            <w:szCs w:val="17"/>
            <w:u w:val="single" w:color="auto"/>
            <w:color w:val="0000EE"/>
          </w:rPr>
          <w:t>March 31, 2020</w:t>
        </w:r>
      </w:hyperlink>
      <w:r>
        <w:rPr>
          <w:rFonts w:ascii="Arial" w:cs="Arial" w:eastAsia="Arial" w:hAnsi="Arial"/>
          <w:sz w:val="17"/>
          <w:szCs w:val="17"/>
          <w:color w:val="auto"/>
        </w:rPr>
        <w:t xml:space="preserve">, filed with the SEC on May 5, 2020 (the “2020 Q1 Quarterly Report”), the three months ended </w:t>
      </w:r>
      <w:hyperlink r:id="rId21">
        <w:r>
          <w:rPr>
            <w:rFonts w:ascii="Arial" w:cs="Arial" w:eastAsia="Arial" w:hAnsi="Arial"/>
            <w:sz w:val="17"/>
            <w:szCs w:val="17"/>
            <w:u w:val="single" w:color="auto"/>
            <w:color w:val="0000EE"/>
          </w:rPr>
          <w:t>June 30, 2020</w:t>
        </w:r>
      </w:hyperlink>
      <w:r>
        <w:rPr>
          <w:rFonts w:ascii="Arial" w:cs="Arial" w:eastAsia="Arial" w:hAnsi="Arial"/>
          <w:sz w:val="17"/>
          <w:szCs w:val="17"/>
          <w:color w:val="auto"/>
        </w:rPr>
        <w:t xml:space="preserve">, filed with the SEC on August 4, 2020 (the “2020 Q2 Quarterly Report”) and the three months ended </w:t>
      </w:r>
      <w:hyperlink r:id="rId22">
        <w:r>
          <w:rPr>
            <w:rFonts w:ascii="Arial" w:cs="Arial" w:eastAsia="Arial" w:hAnsi="Arial"/>
            <w:sz w:val="17"/>
            <w:szCs w:val="17"/>
            <w:u w:val="single" w:color="auto"/>
            <w:color w:val="0000EE"/>
          </w:rPr>
          <w:t>September 30, 2020</w:t>
        </w:r>
      </w:hyperlink>
      <w:r>
        <w:rPr>
          <w:rFonts w:ascii="Arial" w:cs="Arial" w:eastAsia="Arial" w:hAnsi="Arial"/>
          <w:sz w:val="17"/>
          <w:szCs w:val="17"/>
          <w:color w:val="auto"/>
        </w:rPr>
        <w:t>, filed with the SEC on November 4, 2020 (the “2020 Q3 Quarterly Report”); and</w:t>
      </w:r>
    </w:p>
    <w:p>
      <w:pPr>
        <w:spacing w:after="0" w:line="70"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2"/>
        </w:numPr>
        <w:rPr>
          <w:rFonts w:ascii="Arial" w:cs="Arial" w:eastAsia="Arial" w:hAnsi="Arial"/>
          <w:sz w:val="18"/>
          <w:szCs w:val="18"/>
          <w:color w:val="0000EE"/>
        </w:rPr>
      </w:pPr>
      <w:hyperlink r:id="rId23">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31,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5,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5,</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 xml:space="preserve">June 19, 2020 </w:t>
        </w:r>
      </w:hyperlink>
      <w:hyperlink r:id="rId2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 xml:space="preserve">October 14, 2020 </w:t>
        </w:r>
      </w:hyperlink>
      <w:hyperlink r:id="rId23">
        <w:r>
          <w:rPr>
            <w:rFonts w:ascii="Arial" w:cs="Arial" w:eastAsia="Arial" w:hAnsi="Arial"/>
            <w:sz w:val="18"/>
            <w:szCs w:val="18"/>
            <w:color w:val="000000"/>
          </w:rPr>
          <w:t>(but only the Item 8.01 filed therein).</w:t>
        </w:r>
      </w:hyperlink>
    </w:p>
    <w:p>
      <w:pPr>
        <w:spacing w:after="0" w:line="170" w:lineRule="exact"/>
        <w:rPr>
          <w:rFonts w:ascii="Arial" w:cs="Arial" w:eastAsia="Arial" w:hAnsi="Arial"/>
          <w:sz w:val="18"/>
          <w:szCs w:val="18"/>
          <w:color w:val="0000EE"/>
        </w:rPr>
      </w:pPr>
    </w:p>
    <w:p>
      <w:pPr>
        <w:ind w:left="120" w:right="40" w:firstLine="440"/>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4" w:lineRule="exact"/>
        <w:rPr>
          <w:rFonts w:ascii="Arial" w:cs="Arial" w:eastAsia="Arial" w:hAnsi="Arial"/>
          <w:sz w:val="18"/>
          <w:szCs w:val="18"/>
          <w:color w:val="0000EE"/>
        </w:rPr>
      </w:pPr>
    </w:p>
    <w:p>
      <w:pPr>
        <w:ind w:left="12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41"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Attention: TSLXInvestor Relations</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Email: IRTSLX@sixthstreet.com.</w:t>
      </w:r>
    </w:p>
    <w:p>
      <w:pPr>
        <w:spacing w:after="0" w:line="211" w:lineRule="exact"/>
        <w:rPr>
          <w:rFonts w:ascii="Arial" w:cs="Arial" w:eastAsia="Arial" w:hAnsi="Arial"/>
          <w:sz w:val="18"/>
          <w:szCs w:val="18"/>
          <w:color w:val="0000EE"/>
        </w:rPr>
      </w:pPr>
    </w:p>
    <w:p>
      <w:pPr>
        <w:ind w:left="120" w:firstLine="44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9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9" w:lineRule="exact"/>
        <w:rPr>
          <w:sz w:val="20"/>
          <w:szCs w:val="20"/>
          <w:color w:val="auto"/>
        </w:rPr>
      </w:pPr>
    </w:p>
    <w:p>
      <w:pPr>
        <w:ind w:left="1080" w:right="32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29" w:lineRule="exact"/>
        <w:rPr>
          <w:rFonts w:ascii="Arial" w:cs="Arial" w:eastAsia="Arial" w:hAnsi="Arial"/>
          <w:sz w:val="16"/>
          <w:szCs w:val="16"/>
          <w:color w:val="auto"/>
        </w:rPr>
      </w:pPr>
    </w:p>
    <w:p>
      <w:pPr>
        <w:jc w:val="both"/>
        <w:ind w:left="1080" w:right="1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prospectus supplement, the accompanying prospectus and in Part I, Item 1A of our 2019 Annual Report and Part II, Item 1A of our 2020 Q1 Quarterly Report, 2020 Q2 Quarterly Report and 2020 Q3 Quarterly Report, any subsequent Quarterly Reports on Form 10-Q or Current Reports on Form 8-K we file after the date of this prospectus supplement, and those discussed in other documents we file with the SEC.</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2019 Annual Report and Part II, Item 1A of our 2020 Q1 Quarterly Report, 2020 Q2 Quarterly Report and 2020 Q3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As used in the prospectus supplement and the accompanying prospectus, except where the context suggests otherwise, references to:</w:t>
      </w:r>
    </w:p>
    <w:p>
      <w:pPr>
        <w:spacing w:after="0" w:line="142" w:lineRule="exact"/>
        <w:rPr>
          <w:sz w:val="20"/>
          <w:szCs w:val="20"/>
          <w:color w:val="auto"/>
        </w:rPr>
      </w:pPr>
    </w:p>
    <w:p>
      <w:pPr>
        <w:ind w:left="1080" w:right="5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Sixth Street Specialty Lending Advisers, LLC, a Delaware limited liability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“Sixth Street” refers to Sixth Street Partners, LLC together with its affiliates.</w:t>
      </w:r>
    </w:p>
    <w:p>
      <w:pPr>
        <w:spacing w:after="0" w:line="33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w:t>
      </w:r>
    </w:p>
    <w:p>
      <w:pPr>
        <w:spacing w:after="0" w:line="121"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September 30, 2020, we have originated more than $14.6 billion aggregate principal amount of investments and retained approximately $6.8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61"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2020, our core portfolio companies, which excludes certain investments that fall outside of our typical borrower profile and represent 82.5% of our total investments based on fair value, had weighted average annual revenue of $116.8 million and weighted average annual EBITDA of $36.0 million.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2020, our portfolio based on fair value consisted of 95.0% first-lien debt investments, 0.4% second-lien debt investments,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mezzanine debt investments, and 4.1% equity and other investments. As of September 30, 2020, 98.9% of our debt investments based on fair value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bore interest at floating rates (when including investment specific hedges), with 98.8% of these subject to interest rate floors, which we believe helps act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portfolio-wide hedge against inflation.</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September 30, 2020 and December 31, 2019, we had investments in 70 and 63 portfolio companies, respectively, with an aggregate fair value of $2,100.8 million and $2,245.9 million, respectively.</w:t>
      </w:r>
    </w:p>
    <w:p>
      <w:pPr>
        <w:spacing w:after="0" w:line="170"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For the three months ended September 30, 2020, the principal amount of new investments funded was $332.3 million in twelve new portfolio companies and four existing portfolio companies. For this period, we had $253.1 million aggregate principal amount in exits and repayments.</w:t>
      </w:r>
    </w:p>
    <w:p>
      <w:pPr>
        <w:spacing w:after="0" w:line="12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For the year ended December 31, 2019, the principal amount of new investments funded was $1,087.6 million in 32 new portfolio companies and 14 existing portfolio companies. For this period, we had $575.2 million aggregate principal amount in exits and repayments.</w:t>
      </w:r>
    </w:p>
    <w:p>
      <w:pPr>
        <w:spacing w:after="0" w:line="146" w:lineRule="exact"/>
        <w:rPr>
          <w:sz w:val="20"/>
          <w:szCs w:val="20"/>
          <w:color w:val="auto"/>
        </w:rPr>
      </w:pPr>
    </w:p>
    <w:p>
      <w:pPr>
        <w:ind w:left="120" w:right="640" w:firstLine="440"/>
        <w:spacing w:after="0" w:line="286" w:lineRule="auto"/>
        <w:rPr>
          <w:sz w:val="20"/>
          <w:szCs w:val="20"/>
          <w:color w:val="auto"/>
        </w:rPr>
      </w:pPr>
      <w:r>
        <w:rPr>
          <w:rFonts w:ascii="Arial" w:cs="Arial" w:eastAsia="Arial" w:hAnsi="Arial"/>
          <w:sz w:val="17"/>
          <w:szCs w:val="17"/>
          <w:color w:val="auto"/>
        </w:rPr>
        <w:t>As of September 30, 2020, the largest single investment based on fair value represented 3.8% of our total investment portfolio. As of September 30, 2020, the average investment size in each of our portfolio companies was approximately $30.0 million based on fair value. As of September 30, 2020, the largest industry represented 22.9% of our total investment portfolio based on fair value.</w:t>
      </w:r>
    </w:p>
    <w:p>
      <w:pPr>
        <w:spacing w:after="0" w:line="16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Since we began investing in 2011 through September 30, 2020, weighted by capital invested, our exited investments have generated an average realized gross internal rate of return to us of 18.7% (based on total capital invested of $4.6 billion and total proceeds from these exited investments of $5.8 billion). Ninety-seven percent of these exited investments resulted in a realized gross internal rate of return to us of 10% or greater. For a description of how we calculate gross internal rates of return, see “Management’s Discussion and Analysis of Financial Condition and Results of Operations—Results of Operations—Realized Gross Internal Rate of Return” in Part I, Item 2 of our 2020 Q3 Quarterly Report, which is incorporated herein by reference.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Sixth Street Specialty Lending, Inc. is a Delaware corporation formed on July 21, 2010. Sixth Street Specialty Advisers, LLC is our external manager.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2019 Annual Report, which is incorporated by reference in the accompanying prospectus, for more information on these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The members of our Investment Review Committee are Joshua Easterly, Michael Fishman, Alan Waxman, Robert “Bo” Stanley and David Stiepleman.</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Sixth Street is a global investment firm with over $50 billion in assets under management and committed capital.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a “public-side” credit investment platform focused on investment opportunities in broadly syndicated leveraged loan markets, and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315 investment and operating professionals. As of September 30, 2020, thirty-two (32) of these personnel are dedicated to our business, including twenty-four (24) investment professionals.</w:t>
      </w:r>
    </w:p>
    <w:p>
      <w:pPr>
        <w:spacing w:after="0" w:line="19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9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300" w:right="240" w:firstLine="426"/>
        <w:spacing w:after="0" w:line="293" w:lineRule="auto"/>
        <w:rPr>
          <w:sz w:val="20"/>
          <w:szCs w:val="20"/>
          <w:color w:val="auto"/>
        </w:rPr>
      </w:pPr>
      <w:r>
        <w:rPr>
          <w:rFonts w:ascii="Arial" w:cs="Arial" w:eastAsia="Arial" w:hAnsi="Arial"/>
          <w:sz w:val="16"/>
          <w:szCs w:val="16"/>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Issuer</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Sixth Street Specialty Lending, Inc., a Delaware corporation</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Title of the Securities</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2.500% Notes due 2026</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w w:val="98"/>
              </w:rPr>
              <w:t>Total Aggregate Principal Amount Being Offered</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$300,000,000</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Initial Public Offering Price</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99.268% of the aggregate principal amount of Notes</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2.500%</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Yield to Maturity</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2.644%</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Trade Date</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January 27, 2021</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Issue Date</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February 3, 2021</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August 1, 2026</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February 1 and August 1, commencing August 1, 2021</w:t>
            </w:r>
          </w:p>
        </w:tc>
      </w:tr>
      <w:tr>
        <w:trPr>
          <w:trHeight w:val="473"/>
        </w:trPr>
        <w:tc>
          <w:tcPr>
            <w:tcW w:w="3980" w:type="dxa"/>
            <w:vAlign w:val="bottom"/>
          </w:tcPr>
          <w:p>
            <w:pPr>
              <w:ind w:left="180"/>
              <w:spacing w:after="0"/>
              <w:rPr>
                <w:sz w:val="20"/>
                <w:szCs w:val="20"/>
                <w:color w:val="auto"/>
              </w:rPr>
            </w:pPr>
            <w:r>
              <w:rPr>
                <w:rFonts w:ascii="Arial" w:cs="Arial" w:eastAsia="Arial" w:hAnsi="Arial"/>
                <w:sz w:val="18"/>
                <w:szCs w:val="18"/>
                <w:color w:val="auto"/>
              </w:rPr>
              <w:t>Ranking of Notes</w:t>
            </w:r>
          </w:p>
        </w:tc>
        <w:tc>
          <w:tcPr>
            <w:tcW w:w="7040" w:type="dxa"/>
            <w:vAlign w:val="bottom"/>
            <w:gridSpan w:val="2"/>
          </w:tcPr>
          <w:p>
            <w:pPr>
              <w:ind w:left="240"/>
              <w:spacing w:after="0"/>
              <w:rPr>
                <w:sz w:val="20"/>
                <w:szCs w:val="20"/>
                <w:color w:val="auto"/>
              </w:rPr>
            </w:pPr>
            <w:r>
              <w:rPr>
                <w:rFonts w:ascii="Arial" w:cs="Arial" w:eastAsia="Arial" w:hAnsi="Arial"/>
                <w:sz w:val="18"/>
                <w:szCs w:val="18"/>
                <w:color w:val="auto"/>
              </w:rPr>
              <w:t>The Notes will be our direct, general unsecured obligations and will rank:</w:t>
            </w:r>
          </w:p>
        </w:tc>
      </w:tr>
      <w:tr>
        <w:trPr>
          <w:trHeight w:val="337"/>
        </w:trPr>
        <w:tc>
          <w:tcPr>
            <w:tcW w:w="3980" w:type="dxa"/>
            <w:vAlign w:val="bottom"/>
          </w:tcPr>
          <w:p>
            <w:pPr>
              <w:spacing w:after="0"/>
              <w:rPr>
                <w:sz w:val="24"/>
                <w:szCs w:val="24"/>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w w:val="96"/>
              </w:rPr>
              <w:t>Senior in right of payment to all of our future indebtedness or other obligations that are</w:t>
            </w:r>
          </w:p>
        </w:tc>
      </w:tr>
      <w:tr>
        <w:trPr>
          <w:trHeight w:val="230"/>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expressly subordinated, or junior, in right of payment to the Notes;</w:t>
            </w:r>
          </w:p>
        </w:tc>
      </w:tr>
      <w:tr>
        <w:trPr>
          <w:trHeight w:val="323"/>
        </w:trPr>
        <w:tc>
          <w:tcPr>
            <w:tcW w:w="3980" w:type="dxa"/>
            <w:vAlign w:val="bottom"/>
          </w:tcPr>
          <w:p>
            <w:pPr>
              <w:spacing w:after="0"/>
              <w:rPr>
                <w:sz w:val="24"/>
                <w:szCs w:val="24"/>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w w:val="95"/>
              </w:rPr>
              <w:t>Pari passu, or equal, in right of payment with all of our existing and future indebtedness</w:t>
            </w:r>
          </w:p>
        </w:tc>
      </w:tr>
      <w:tr>
        <w:trPr>
          <w:trHeight w:val="216"/>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6"/>
              </w:rPr>
              <w:t>or other obligations that are not so subordinated, or junior, including, without limitation,</w:t>
            </w:r>
          </w:p>
        </w:tc>
      </w:tr>
      <w:tr>
        <w:trPr>
          <w:trHeight w:val="216"/>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9"/>
              </w:rPr>
              <w:t>as of January 22, 2021, approximately $142.8 million aggregate principal amount of</w:t>
            </w:r>
          </w:p>
        </w:tc>
      </w:tr>
      <w:tr>
        <w:trPr>
          <w:trHeight w:val="216"/>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7"/>
              </w:rPr>
              <w:t>outstanding indebtedness under our convertible notes due December 2022, which we</w:t>
            </w:r>
          </w:p>
        </w:tc>
      </w:tr>
      <w:tr>
        <w:trPr>
          <w:trHeight w:val="216"/>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4"/>
              </w:rPr>
              <w:t>refer to as the 2022 Convertible Notes, approximately $150.0 million aggregate principal</w:t>
            </w:r>
          </w:p>
        </w:tc>
      </w:tr>
      <w:tr>
        <w:trPr>
          <w:trHeight w:val="216"/>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2"/>
              </w:rPr>
              <w:t>amount of outstanding indebtedness under our unsecured notes due January 2023, which</w:t>
            </w:r>
          </w:p>
        </w:tc>
      </w:tr>
      <w:tr>
        <w:trPr>
          <w:trHeight w:val="216"/>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9"/>
              </w:rPr>
              <w:t>we refer to as the 2023 Notes and approximately $347.5 million aggregate principal</w:t>
            </w:r>
          </w:p>
        </w:tc>
      </w:tr>
      <w:tr>
        <w:trPr>
          <w:trHeight w:val="216"/>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w w:val="96"/>
              </w:rPr>
              <w:t>amount of outstanding indebtedness under our unsecured notes due November 2024,</w:t>
            </w:r>
          </w:p>
        </w:tc>
      </w:tr>
      <w:tr>
        <w:trPr>
          <w:trHeight w:val="230"/>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which we refer to as the 2024 Notes;</w:t>
            </w:r>
          </w:p>
        </w:tc>
      </w:tr>
      <w:tr>
        <w:trPr>
          <w:trHeight w:val="323"/>
        </w:trPr>
        <w:tc>
          <w:tcPr>
            <w:tcW w:w="3980" w:type="dxa"/>
            <w:vAlign w:val="bottom"/>
          </w:tcPr>
          <w:p>
            <w:pPr>
              <w:spacing w:after="0"/>
              <w:rPr>
                <w:sz w:val="24"/>
                <w:szCs w:val="24"/>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rPr>
              <w:t>Effectively subordinated, or junior, to any of our secured indebtedness or other</w:t>
            </w:r>
          </w:p>
        </w:tc>
      </w:tr>
      <w:tr>
        <w:trPr>
          <w:trHeight w:val="230"/>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obligations (including unsecured</w:t>
            </w:r>
          </w:p>
        </w:tc>
      </w:tr>
      <w:tr>
        <w:trPr>
          <w:trHeight w:val="240"/>
        </w:trPr>
        <w:tc>
          <w:tcPr>
            <w:tcW w:w="3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r>
      <w:tr>
        <w:trPr>
          <w:trHeight w:val="604"/>
        </w:trPr>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60" w:type="dxa"/>
            <w:vAlign w:val="bottom"/>
          </w:tcPr>
          <w:p>
            <w:pPr>
              <w:ind w:left="102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380"/>
        <w:spacing w:after="0" w:line="275" w:lineRule="auto"/>
        <w:rPr>
          <w:sz w:val="20"/>
          <w:szCs w:val="20"/>
          <w:color w:val="auto"/>
        </w:rPr>
      </w:pPr>
      <w:r>
        <w:rPr>
          <w:rFonts w:ascii="Arial" w:cs="Arial" w:eastAsia="Arial" w:hAnsi="Arial"/>
          <w:sz w:val="17"/>
          <w:szCs w:val="17"/>
          <w:color w:val="auto"/>
        </w:rPr>
        <w:t>indebtedness that we later secure) to the extent of the value of the assets securing such indebtedness, including, without limitation, approximately $477.5 million aggregate principal amount of outstanding indebtedness as of January 22, 2021 under our Senior Secured Revolving Credit Agreement, dated August 23, 2012, as amended, which we refer to as the Revolving Credit Facility; and</w:t>
      </w:r>
    </w:p>
    <w:p>
      <w:pPr>
        <w:spacing w:after="0" w:line="82" w:lineRule="exact"/>
        <w:rPr>
          <w:sz w:val="20"/>
          <w:szCs w:val="20"/>
          <w:color w:val="auto"/>
        </w:rPr>
      </w:pPr>
    </w:p>
    <w:p>
      <w:pPr>
        <w:ind w:left="4520" w:right="240" w:hanging="159"/>
        <w:spacing w:after="0" w:line="263" w:lineRule="auto"/>
        <w:tabs>
          <w:tab w:leader="none" w:pos="4500" w:val="left"/>
        </w:tabs>
        <w:rPr>
          <w:sz w:val="20"/>
          <w:szCs w:val="20"/>
          <w:color w:val="auto"/>
        </w:rPr>
      </w:pPr>
      <w:r>
        <w:rPr>
          <w:rFonts w:ascii="Arial" w:cs="Arial" w:eastAsia="Arial" w:hAnsi="Arial"/>
          <w:sz w:val="18"/>
          <w:szCs w:val="18"/>
          <w:color w:val="auto"/>
        </w:rPr>
        <w:t>•</w:t>
        <w:tab/>
        <w:t>Structurally subordinated, or junior, to all existing and future indebtedness and other obligations (including trade payables) incurred by our subsidiaries, financing vehicles or similar facilities.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As of January 22, 2021, our total consolidated indebtedness was approximately</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$1,117.8 million aggregate principal amount outstanding, of which approximately</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$477.5 million was secured indebtedness at the TSLX level and none of which was</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indebtedness of our subsidiaries. After giving effect to the issuance of the Note, and</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4"/>
              </w:rPr>
              <w:t>assuming the net proceeds therefrom are used to repay outstanding borrowings under the</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Revolving Credit Facility, our total consolidated indebtedness would have been</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5"/>
              </w:rPr>
              <w:t>approximately $1,124.1 million aggregate principal amount outstanding as of January 22,</w:t>
            </w:r>
          </w:p>
        </w:tc>
      </w:tr>
      <w:tr>
        <w:trPr>
          <w:trHeight w:val="230"/>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2021. See “Capitalization”.</w:t>
            </w: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Denominations</w:t>
            </w:r>
          </w:p>
        </w:tc>
        <w:tc>
          <w:tcPr>
            <w:tcW w:w="7240" w:type="dxa"/>
            <w:vAlign w:val="bottom"/>
          </w:tcPr>
          <w:p>
            <w:pPr>
              <w:ind w:left="440"/>
              <w:spacing w:after="0"/>
              <w:rPr>
                <w:sz w:val="20"/>
                <w:szCs w:val="20"/>
                <w:color w:val="auto"/>
              </w:rPr>
            </w:pPr>
            <w:r>
              <w:rPr>
                <w:rFonts w:ascii="Arial" w:cs="Arial" w:eastAsia="Arial" w:hAnsi="Arial"/>
                <w:sz w:val="18"/>
                <w:szCs w:val="18"/>
                <w:color w:val="auto"/>
                <w:w w:val="99"/>
              </w:rPr>
              <w:t>We will issue the Notes in denominations of $2,000 and integral multiples of $1,000 in</w:t>
            </w:r>
          </w:p>
        </w:tc>
      </w:tr>
      <w:tr>
        <w:trPr>
          <w:trHeight w:val="230"/>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excess thereof.</w:t>
            </w: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240" w:type="dxa"/>
            <w:vAlign w:val="bottom"/>
          </w:tcPr>
          <w:p>
            <w:pPr>
              <w:ind w:left="440"/>
              <w:spacing w:after="0"/>
              <w:rPr>
                <w:sz w:val="20"/>
                <w:szCs w:val="20"/>
                <w:color w:val="auto"/>
              </w:rPr>
            </w:pPr>
            <w:r>
              <w:rPr>
                <w:rFonts w:ascii="Arial" w:cs="Arial" w:eastAsia="Arial" w:hAnsi="Arial"/>
                <w:sz w:val="18"/>
                <w:szCs w:val="18"/>
                <w:color w:val="auto"/>
                <w:w w:val="94"/>
              </w:rPr>
              <w:t>We may redeem some or all of the Notes at any time, or from time to time, at a redemption</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4"/>
              </w:rPr>
              <w:t>price equal to the greater of (1) 100% of the principal amount of the Notes to be redeemed</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4"/>
              </w:rPr>
              <w:t>or (2) the sum of the present values of the remaining scheduled payments of principal and</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2"/>
              </w:rPr>
              <w:t>interest (exclusive of accrued and unpaid interest to the date of redemption) on the Notes to</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9"/>
              </w:rPr>
              <w:t>be redeemed, discounted to the redemption date on a semi-annual basis (assuming a</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9"/>
              </w:rPr>
              <w:t>360-day year consisting of twelve 30-day months) using the applicable Treasury Rate</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2"/>
              </w:rPr>
              <w:t>plus 35 basis points, plus, in each case, accrued and unpaid interest to the redemption date;</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i w:val="1"/>
                <w:iCs w:val="1"/>
                <w:color w:val="auto"/>
                <w:w w:val="97"/>
              </w:rPr>
              <w:t>provided</w:t>
            </w:r>
            <w:r>
              <w:rPr>
                <w:rFonts w:ascii="Arial" w:cs="Arial" w:eastAsia="Arial" w:hAnsi="Arial"/>
                <w:sz w:val="18"/>
                <w:szCs w:val="18"/>
                <w:color w:val="auto"/>
                <w:w w:val="97"/>
              </w:rPr>
              <w:t>, however, that if we redeem any Notes on or after July 1, 2026 (the date falling</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6"/>
              </w:rPr>
              <w:t>one month prior to the maturity date of the Notes), the redemption price for the Notes will</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5"/>
              </w:rPr>
              <w:t>be equal to 100% of the principal amount of the Notes to be redeemed, plus accrued and</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4"/>
              </w:rPr>
              <w:t>unpaid interest, if any, to, but excluding, the date of redemption. Any exercise of our option</w:t>
            </w:r>
          </w:p>
        </w:tc>
      </w:tr>
      <w:tr>
        <w:trPr>
          <w:trHeight w:val="230"/>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to redeem the Notes will be done in compliance with the 1940 Act.</w:t>
            </w: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Sinking Fund</w:t>
            </w:r>
          </w:p>
        </w:tc>
        <w:tc>
          <w:tcPr>
            <w:tcW w:w="7240" w:type="dxa"/>
            <w:vAlign w:val="bottom"/>
          </w:tcPr>
          <w:p>
            <w:pPr>
              <w:ind w:left="440"/>
              <w:spacing w:after="0"/>
              <w:rPr>
                <w:sz w:val="20"/>
                <w:szCs w:val="20"/>
                <w:color w:val="auto"/>
              </w:rPr>
            </w:pPr>
            <w:r>
              <w:rPr>
                <w:rFonts w:ascii="Arial" w:cs="Arial" w:eastAsia="Arial" w:hAnsi="Arial"/>
                <w:sz w:val="18"/>
                <w:szCs w:val="18"/>
                <w:color w:val="auto"/>
              </w:rPr>
              <w:t>The Notes will not be subject to any sinking fund. A sinking fund is a reserve fund</w:t>
            </w:r>
          </w:p>
        </w:tc>
      </w:tr>
      <w:tr>
        <w:trPr>
          <w:trHeight w:val="230"/>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accumulated over a period of time for the retirement of debt.</w:t>
            </w: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Offer to Purchase upon a Change of Control</w:t>
            </w:r>
          </w:p>
        </w:tc>
        <w:tc>
          <w:tcPr>
            <w:tcW w:w="7240" w:type="dxa"/>
            <w:vAlign w:val="bottom"/>
          </w:tcPr>
          <w:p>
            <w:pPr>
              <w:ind w:left="440"/>
              <w:spacing w:after="0"/>
              <w:rPr>
                <w:sz w:val="20"/>
                <w:szCs w:val="20"/>
                <w:color w:val="auto"/>
              </w:rPr>
            </w:pPr>
            <w:r>
              <w:rPr>
                <w:rFonts w:ascii="Arial" w:cs="Arial" w:eastAsia="Arial" w:hAnsi="Arial"/>
                <w:sz w:val="18"/>
                <w:szCs w:val="18"/>
                <w:color w:val="auto"/>
              </w:rPr>
              <w:t>If a Change of Control Repurchase Event occurs prior to maturity, unless we have</w:t>
            </w:r>
          </w:p>
        </w:tc>
      </w:tr>
      <w:tr>
        <w:trPr>
          <w:trHeight w:val="216"/>
        </w:trPr>
        <w:tc>
          <w:tcPr>
            <w:tcW w:w="3780" w:type="dxa"/>
            <w:vAlign w:val="bottom"/>
          </w:tcPr>
          <w:p>
            <w:pPr>
              <w:ind w:left="260"/>
              <w:spacing w:after="0"/>
              <w:rPr>
                <w:sz w:val="20"/>
                <w:szCs w:val="20"/>
                <w:color w:val="auto"/>
              </w:rPr>
            </w:pPr>
            <w:r>
              <w:rPr>
                <w:rFonts w:ascii="Arial" w:cs="Arial" w:eastAsia="Arial" w:hAnsi="Arial"/>
                <w:sz w:val="18"/>
                <w:szCs w:val="18"/>
                <w:color w:val="auto"/>
              </w:rPr>
              <w:t>Repurchase Event</w:t>
            </w:r>
          </w:p>
        </w:tc>
        <w:tc>
          <w:tcPr>
            <w:tcW w:w="7240" w:type="dxa"/>
            <w:vAlign w:val="bottom"/>
          </w:tcPr>
          <w:p>
            <w:pPr>
              <w:ind w:left="440"/>
              <w:spacing w:after="0"/>
              <w:rPr>
                <w:sz w:val="20"/>
                <w:szCs w:val="20"/>
                <w:color w:val="auto"/>
              </w:rPr>
            </w:pPr>
            <w:r>
              <w:rPr>
                <w:rFonts w:ascii="Arial" w:cs="Arial" w:eastAsia="Arial" w:hAnsi="Arial"/>
                <w:sz w:val="18"/>
                <w:szCs w:val="18"/>
                <w:color w:val="auto"/>
                <w:w w:val="96"/>
              </w:rPr>
              <w:t>exercised our right to redeem the Notes in full, holders will have the right, at their option,</w:t>
            </w:r>
          </w:p>
        </w:tc>
      </w:tr>
      <w:tr>
        <w:trPr>
          <w:trHeight w:val="216"/>
        </w:trPr>
        <w:tc>
          <w:tcPr>
            <w:tcW w:w="3780" w:type="dxa"/>
            <w:vAlign w:val="bottom"/>
          </w:tcPr>
          <w:p>
            <w:pPr>
              <w:spacing w:after="0"/>
              <w:rPr>
                <w:sz w:val="18"/>
                <w:szCs w:val="18"/>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w w:val="93"/>
              </w:rPr>
              <w:t>to require us to repurchase for cash some or all of the Notes at a repurchase price equal to</w:t>
            </w:r>
          </w:p>
        </w:tc>
      </w:tr>
      <w:tr>
        <w:trPr>
          <w:trHeight w:val="230"/>
        </w:trPr>
        <w:tc>
          <w:tcPr>
            <w:tcW w:w="3780" w:type="dxa"/>
            <w:vAlign w:val="bottom"/>
          </w:tcPr>
          <w:p>
            <w:pPr>
              <w:spacing w:after="0"/>
              <w:rPr>
                <w:sz w:val="20"/>
                <w:szCs w:val="20"/>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100%</w:t>
            </w:r>
          </w:p>
        </w:tc>
      </w:tr>
      <w:tr>
        <w:trPr>
          <w:trHeight w:val="240"/>
        </w:trPr>
        <w:tc>
          <w:tcPr>
            <w:tcW w:w="378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40" w:type="dxa"/>
            <w:vAlign w:val="bottom"/>
          </w:tcPr>
          <w:p>
            <w:pPr>
              <w:ind w:left="160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50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w w:val="95"/>
              </w:rPr>
              <w:t>of the principal amount of the Notes being repurchased, plus accrued and unpaid interest</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to, but not including, the repurchase date.</w:t>
            </w:r>
          </w:p>
        </w:tc>
      </w:tr>
      <w:tr>
        <w:trPr>
          <w:trHeight w:val="458"/>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Legal Defeasance</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Notes are subject to legal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Satisfaction and Discharge; Defeasance,” we can legally release ourselves from all</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payment and other obligations on the Notes.</w:t>
            </w:r>
          </w:p>
        </w:tc>
      </w:tr>
      <w:tr>
        <w:trPr>
          <w:trHeight w:val="445"/>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Covenant Defeasance</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The Notes are subject to covenant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Satisfaction and Discharge; Defeasance,” we will be released from some of the restrictive</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covenants in the indenture.</w:t>
            </w:r>
          </w:p>
        </w:tc>
      </w:tr>
      <w:tr>
        <w:trPr>
          <w:trHeight w:val="445"/>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of Notes</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The Notes will be represented by global securities that will be deposited and registered in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the name of The Depository Trust Company, or DTC, or its nominee. This means that,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except in limited circumstances, you will not receive certificates for the Notes. Beneficial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interests in the Notes will be represented through book-entry accounts of financial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institutions acting on behalf of beneficial owners as direct and indirect participants in DTC.</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Investors may elect to hold interests in the Notes through either DTC, if they are a</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participant, or indirectly through organizations that are participants in DTC.</w:t>
            </w:r>
          </w:p>
        </w:tc>
      </w:tr>
      <w:tr>
        <w:trPr>
          <w:trHeight w:val="459"/>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Paying Agent and Registrar</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Wells Fargo Bank, National Association</w:t>
            </w:r>
          </w:p>
        </w:tc>
      </w:tr>
      <w:tr>
        <w:trPr>
          <w:trHeight w:val="458"/>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Events of Default</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If an event of default (as described under “Description of Notes”) on the Notes occurs,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principal amount of the Notes, plus accrued and unpaid interest, may be declared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immediately due and payable, subject to conditions set forth in the indenture. These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amounts automatically become due and payable in the case of certain types of bankruptcy</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or insolvency events involving us.</w:t>
            </w:r>
          </w:p>
        </w:tc>
      </w:tr>
      <w:tr>
        <w:trPr>
          <w:trHeight w:val="445"/>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Other Covenants</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In addition to the covenants described in the accompanying prospectus, the following</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covenants shall apply to the Notes:</w:t>
            </w:r>
          </w:p>
        </w:tc>
      </w:tr>
      <w:tr>
        <w:trPr>
          <w:trHeight w:val="323"/>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violate, whether or not we are subject thereto, Section 18(a)(1)(A) as modified by</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Section 61(a) of the</w:t>
            </w:r>
          </w:p>
        </w:tc>
      </w:tr>
      <w:tr>
        <w:trPr>
          <w:trHeight w:val="240"/>
        </w:trPr>
        <w:tc>
          <w:tcPr>
            <w:tcW w:w="350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00" w:type="dxa"/>
            <w:vAlign w:val="bottom"/>
          </w:tcPr>
          <w:p>
            <w:pPr>
              <w:spacing w:after="0"/>
              <w:rPr>
                <w:sz w:val="24"/>
                <w:szCs w:val="24"/>
                <w:color w:val="auto"/>
              </w:rPr>
            </w:pPr>
          </w:p>
        </w:tc>
        <w:tc>
          <w:tcPr>
            <w:tcW w:w="7520" w:type="dxa"/>
            <w:vAlign w:val="bottom"/>
          </w:tcPr>
          <w:p>
            <w:pPr>
              <w:ind w:left="188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5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6998970" cy="4255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60"/>
        <w:spacing w:after="0" w:line="277" w:lineRule="auto"/>
        <w:rPr>
          <w:sz w:val="20"/>
          <w:szCs w:val="20"/>
          <w:color w:val="auto"/>
        </w:rPr>
      </w:pPr>
      <w:r>
        <w:rPr>
          <w:rFonts w:ascii="Arial" w:cs="Arial" w:eastAsia="Arial" w:hAnsi="Arial"/>
          <w:sz w:val="18"/>
          <w:szCs w:val="18"/>
          <w:color w:val="auto"/>
        </w:rPr>
        <w:t>1940 Act or any successor provisions, but giving effect, in either case, to any exemptive relief granted to us by the SEC.</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w w:val="96"/>
              </w:rPr>
              <w:t>• If, at any time, we are not subject to the reporting requirements of Sections 13 or 15(d)</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9"/>
              </w:rPr>
              <w:t>of the Exchange Act to file any periodic reports with the SEC, we agree to furnish to</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6"/>
              </w:rPr>
              <w:t>holders of the Notes and the Trustee, for the period of time during which the Notes are</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4"/>
              </w:rPr>
              <w:t>outstanding, our audited annual consolidated financial statements, within 90 days of our</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5"/>
              </w:rPr>
              <w:t>fiscal year end, and unaudited interim consolidated financial statements, within 45 days</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of our fiscal quarter end (other than our fourth fiscal quarter). All such financial</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statements will be prepared, in all material respects, in accordance with applicable</w:t>
            </w:r>
          </w:p>
        </w:tc>
      </w:tr>
      <w:tr>
        <w:trPr>
          <w:trHeight w:val="230"/>
        </w:trPr>
        <w:tc>
          <w:tcPr>
            <w:tcW w:w="380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United States generally accepted accounting principles, or GAAP.</w:t>
            </w:r>
          </w:p>
        </w:tc>
      </w:tr>
      <w:tr>
        <w:trPr>
          <w:trHeight w:val="445"/>
        </w:trPr>
        <w:tc>
          <w:tcPr>
            <w:tcW w:w="3800" w:type="dxa"/>
            <w:vAlign w:val="bottom"/>
          </w:tcPr>
          <w:p>
            <w:pPr>
              <w:ind w:left="180"/>
              <w:spacing w:after="0"/>
              <w:rPr>
                <w:sz w:val="20"/>
                <w:szCs w:val="20"/>
                <w:color w:val="auto"/>
              </w:rPr>
            </w:pPr>
            <w:r>
              <w:rPr>
                <w:rFonts w:ascii="Arial" w:cs="Arial" w:eastAsia="Arial" w:hAnsi="Arial"/>
                <w:sz w:val="18"/>
                <w:szCs w:val="18"/>
                <w:color w:val="auto"/>
              </w:rPr>
              <w:t>No Established Trading Market</w:t>
            </w: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The Notes are a new issue of securities with no established trading market. The Notes will</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9"/>
              </w:rPr>
              <w:t>not be listed on any securities exchange or quoted on any automated dealer quotation</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system. Although certain of the underwriters have informed us that they currently intend to</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5"/>
              </w:rPr>
              <w:t>make a market in the Notes, as permitted by applicable laws and regulations, they are not</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9"/>
              </w:rPr>
              <w:t>obligated to do so and may discontinue any such market making activities at any time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without notice. See “Underwriting.” Accordingly, we cannot assure you that a liquid</w:t>
            </w:r>
          </w:p>
        </w:tc>
      </w:tr>
      <w:tr>
        <w:trPr>
          <w:trHeight w:val="230"/>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market for the Notes will develop or be maintained.</w:t>
            </w:r>
          </w:p>
        </w:tc>
      </w:tr>
      <w:tr>
        <w:trPr>
          <w:trHeight w:val="445"/>
        </w:trPr>
        <w:tc>
          <w:tcPr>
            <w:tcW w:w="3800" w:type="dxa"/>
            <w:vAlign w:val="bottom"/>
          </w:tcPr>
          <w:p>
            <w:pPr>
              <w:ind w:left="180"/>
              <w:spacing w:after="0"/>
              <w:rPr>
                <w:sz w:val="20"/>
                <w:szCs w:val="20"/>
                <w:color w:val="auto"/>
              </w:rPr>
            </w:pPr>
            <w:r>
              <w:rPr>
                <w:rFonts w:ascii="Arial" w:cs="Arial" w:eastAsia="Arial" w:hAnsi="Arial"/>
                <w:sz w:val="18"/>
                <w:szCs w:val="18"/>
                <w:color w:val="auto"/>
                <w:w w:val="99"/>
              </w:rPr>
              <w:t>Global Clearance and Settlement Procedures</w:t>
            </w:r>
          </w:p>
        </w:tc>
        <w:tc>
          <w:tcPr>
            <w:tcW w:w="7220" w:type="dxa"/>
            <w:vAlign w:val="bottom"/>
          </w:tcPr>
          <w:p>
            <w:pPr>
              <w:ind w:left="42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7"/>
              </w:rPr>
              <w:t>permitted secondary market trading activity in such Notes will, therefore, be required by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3"/>
              </w:rPr>
              <w:t>DTC to be settled in immediately available funds. None of the Company, the Trustee or the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paying agent will have any responsibility or liability for the performance by DTC or its</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participants or indirect participants of their respective obligations under the rules and</w:t>
            </w:r>
          </w:p>
        </w:tc>
      </w:tr>
      <w:tr>
        <w:trPr>
          <w:trHeight w:val="230"/>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procedures governing their operations.</w:t>
            </w:r>
          </w:p>
        </w:tc>
      </w:tr>
      <w:tr>
        <w:trPr>
          <w:trHeight w:val="445"/>
        </w:trPr>
        <w:tc>
          <w:tcPr>
            <w:tcW w:w="38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7220" w:type="dxa"/>
            <w:vAlign w:val="bottom"/>
          </w:tcPr>
          <w:p>
            <w:pPr>
              <w:ind w:left="420"/>
              <w:spacing w:after="0"/>
              <w:rPr>
                <w:sz w:val="20"/>
                <w:szCs w:val="20"/>
                <w:color w:val="auto"/>
              </w:rPr>
            </w:pPr>
            <w:r>
              <w:rPr>
                <w:rFonts w:ascii="Arial" w:cs="Arial" w:eastAsia="Arial" w:hAnsi="Arial"/>
                <w:sz w:val="18"/>
                <w:szCs w:val="18"/>
                <w:color w:val="auto"/>
                <w:w w:val="93"/>
              </w:rPr>
              <w:t>The Notes and the indenture are governed by and construed in accordance with the laws of</w:t>
            </w:r>
          </w:p>
        </w:tc>
      </w:tr>
      <w:tr>
        <w:trPr>
          <w:trHeight w:val="230"/>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the State of New York.</w:t>
            </w:r>
          </w:p>
        </w:tc>
      </w:tr>
      <w:tr>
        <w:trPr>
          <w:trHeight w:val="240"/>
        </w:trPr>
        <w:tc>
          <w:tcPr>
            <w:tcW w:w="380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r>
      <w:tr>
        <w:trPr>
          <w:trHeight w:val="604"/>
        </w:trPr>
        <w:tc>
          <w:tcPr>
            <w:tcW w:w="3800" w:type="dxa"/>
            <w:vAlign w:val="bottom"/>
          </w:tcPr>
          <w:p>
            <w:pPr>
              <w:spacing w:after="0"/>
              <w:rPr>
                <w:sz w:val="24"/>
                <w:szCs w:val="24"/>
                <w:color w:val="auto"/>
              </w:rPr>
            </w:pPr>
          </w:p>
        </w:tc>
        <w:tc>
          <w:tcPr>
            <w:tcW w:w="7220" w:type="dxa"/>
            <w:vAlign w:val="bottom"/>
          </w:tcPr>
          <w:p>
            <w:pPr>
              <w:ind w:left="1580"/>
              <w:spacing w:after="0"/>
              <w:rPr>
                <w:sz w:val="20"/>
                <w:szCs w:val="20"/>
                <w:color w:val="auto"/>
              </w:rPr>
            </w:pPr>
            <w:r>
              <w:rPr>
                <w:rFonts w:ascii="Arial" w:cs="Arial" w:eastAsia="Arial" w:hAnsi="Arial"/>
                <w:sz w:val="18"/>
                <w:szCs w:val="18"/>
                <w:color w:val="auto"/>
              </w:rPr>
              <w:t>S-9</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RISK FACTORS</w:t>
      </w:r>
    </w:p>
    <w:p>
      <w:pPr>
        <w:spacing w:after="0" w:line="21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Investing in our securities involves a number of significant risks. You should carefully consider the risks set out below and the risk factors incorporated by reference in Part I, Item 1A, “Risk Factors,” in our 2019 Annual Report and Part 1, Item IA, “Risk Factors,” in our 2020 Q1 Quarterly Report, our 2020 Q2 Quarterly Report and our 2020 Q3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2019 Annual Report and our 2020 Q1 Quarterly Report, 2020 Q2 Quarterly Report and 2020 Q3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we have currently incurred or may incur in the future.</w:t>
      </w:r>
    </w:p>
    <w:p>
      <w:pPr>
        <w:spacing w:after="0" w:line="62"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will be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January 22, 2021, we had approximately $477.5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Notes will be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January 22, 2021 our total consolidated indebtedness was approximately $1,117.8 million aggregate principal amount outstanding, of which approximately $477.5 million was secured indebtedness at the TSLX level and none of which was indebtedness of our subsidiaries, and approximately $640.3 million aggregate principal amount was unsecured indebtedness.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will be rated by Moody’s Investor Service, or Moody’s, S&amp;P Global Ratings, or S&amp;P,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Fitch 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indenture will contain limited protection for holders of the Notes.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indenture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right="340" w:hanging="424"/>
        <w:spacing w:after="0" w:line="287"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2" w:lineRule="exact"/>
        <w:rPr>
          <w:rFonts w:ascii="Arial" w:cs="Arial" w:eastAsia="Arial" w:hAnsi="Arial"/>
          <w:sz w:val="16"/>
          <w:szCs w:val="16"/>
          <w:color w:val="auto"/>
        </w:rPr>
      </w:pPr>
    </w:p>
    <w:p>
      <w:pPr>
        <w:ind w:left="108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2022 Convertible Notes, 2023 Notes or 2024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9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2022 Convertible Notes, 2023 Notes and 2024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2022 Convertible Notes, 2023 Notes and 2024 Notes each contain a provision that would require us to offer to purchase the respective 2022 Convertible Notes, 2023 Notes or 2024 Notes upon the occurrence of a fundamental change.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an active trading market does not develop for the Notes, you may not be able to resell them.</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after the offering,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estimate that the net proceeds we will receive from the sale of $300.0 million aggregate principal amount of Notes in this offering will be approximately $293.7 million, after deducting the underwriting discounts and commissions and estimated offering expenses payable by us.</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January 22, 2021, we had $477.5 million outstanding under the Revolving Credit Facility. However, through reborrowing under the Revolving Credit Facility, we intend to make new investments in accordance with our investment objective and strategies described in this prospectus supplement and the accompanying prospectus. As of January 22, 2021, amounts outstanding under our Revolving Credit Facility bore interest at a rate of LIBOR, Euribor, CDOR or BBSY plus a margin of 1.875%. The stated maturity date of the Revolving Credit Facility is January 31, 2025. See “Management’s Discussion and Analysis of Financial Condition and Results of Operations—Financial Condition, Liquidity and Capital Resources—Revolving Credit Facility” in our 2020 Q3 Quarterly Report, which is incorporated herein by reference.</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September 30, 2020. The report of our independent registered public accounting firm, KPMG LLP, on the senior securities table as of December 31, 2018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2019 Annual Report and our 2020 Q3 Quarterly Report.</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Involuntary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Coverage</w:t>
            </w: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3"/>
            <w:vMerge w:val="continue"/>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millions)</w:t>
            </w:r>
          </w:p>
        </w:tc>
        <w:tc>
          <w:tcPr>
            <w:tcW w:w="12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Value Per Unit</w:t>
            </w:r>
            <w:r>
              <w:rPr>
                <w:rFonts w:ascii="Arial" w:cs="Arial" w:eastAsia="Arial" w:hAnsi="Arial"/>
                <w:sz w:val="12"/>
                <w:szCs w:val="12"/>
                <w:b w:val="1"/>
                <w:bCs w:val="1"/>
                <w:color w:val="auto"/>
                <w:w w:val="94"/>
              </w:rPr>
              <w:t>(4)</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291.3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495.7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187.5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486.8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2016</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578.7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540.3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2014</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283.9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2,329.5</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2012</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331.8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2,445.9</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2,116.7</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Convertible Notes due 2019</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114.3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113.7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113.1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2015</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142.5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171.9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171.7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114.7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346.0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297.2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20" w:hanging="424"/>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following table sets forth our consolidated capitalization at September 30, 2020. You should read this table together with “Use of Proceeds” described in this prospectus supplement and our most recent balance sheet included elsewhere in this prospectus supplement or the accompanying prospectus, or incorporated by reference herein or therein.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As of September 30, 2020</w:t>
            </w:r>
          </w:p>
        </w:tc>
        <w:tc>
          <w:tcPr>
            <w:tcW w:w="0" w:type="dxa"/>
            <w:vAlign w:val="bottom"/>
          </w:tcPr>
          <w:p>
            <w:pPr>
              <w:spacing w:after="0"/>
              <w:rPr>
                <w:sz w:val="1"/>
                <w:szCs w:val="1"/>
                <w:color w:val="auto"/>
              </w:rPr>
            </w:pPr>
          </w:p>
        </w:tc>
      </w:tr>
      <w:tr>
        <w:trPr>
          <w:trHeight w:val="171"/>
        </w:trPr>
        <w:tc>
          <w:tcPr>
            <w:tcW w:w="874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7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15"/>
                <w:szCs w:val="15"/>
                <w:b w:val="1"/>
                <w:bCs w:val="1"/>
                <w:color w:val="auto"/>
              </w:rPr>
              <w:t>(1)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291,315</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2022 Convertible Notes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142,809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2024 Notes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347,500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Notes offered hereby</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931,624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400,000,000 shares authorized; 67,924,184 shares issued and 67,628,140 shares</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1,028,532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shares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Distributable earnings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116,300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1,141,220</w:t>
            </w:r>
          </w:p>
        </w:tc>
        <w:tc>
          <w:tcPr>
            <w:tcW w:w="0" w:type="dxa"/>
            <w:vAlign w:val="bottom"/>
          </w:tcPr>
          <w:p>
            <w:pPr>
              <w:spacing w:after="0"/>
              <w:rPr>
                <w:sz w:val="1"/>
                <w:szCs w:val="1"/>
                <w:color w:val="auto"/>
              </w:rPr>
            </w:pPr>
          </w:p>
        </w:tc>
      </w:tr>
      <w:tr>
        <w:trPr>
          <w:trHeight w:val="234"/>
        </w:trPr>
        <w:tc>
          <w:tcPr>
            <w:tcW w:w="874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2,088,504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right="180" w:hanging="424"/>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above table reflects the principal amount of indebtedness outstanding as of September 30, 2020. As of January 22, 2021, total debt was $1,117.8 million, and outstanding indebtedness under the Revolving Credit Facility was $477.5 million as of January 22, 2021. The net proceeds from the sale of the Notes are expected to be used to pay down outstanding indebtedness under the Revolving Credit Facility. See “Use of Proceeds.”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description of the particular terms of the 2.500% Notes due 2026 supplements and, to the extent inconsistent therewith, replaces the description of the general terms and provisions of the debt securities set forth in the accompanying prospectus.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issue the Notes under a base indenture dated as of January 22, 2018, between us and Wells Fargo Bank, National Association, as trustee (the “trustee”), as supplemented by a separate supplemental indenture, dated as of the settlement date for the Notes (the “third supplemental indenture”). As used in this section, all references to the indenture mean the base indenture as supplemented by the third supplemental indenture. The terms of the Notes include those expressly set forth in the indenture and those made part of the indenture by reference to the Trust Indenture Act of 1939, as amended, or the TIA.</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an aggregate principal amount of $300.0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mature on August 1, 2026, unless earlier redeemed or repurchased, as discussed below;</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bear cash interest from February 3, 2021 at an annual rate of 2.500% payable semi-annually on February 1 and August 1 of each year, beginning on August 1,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either be issued in a “qualified reopening” for U.S. federal income tax purposes, with no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original issue discount, or otherwise be part of the same issue as the Notes for U.S. federal income tax purposes.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Notes bear cash interest at a rate of 2.500% per year until maturity. Interest on the Notes will accrue from February 3, 2021 or from the most recent date on which interest has been paid or duly provided for. Interest is payable semiannually in arrears on February 1 and August 1 of each year, beginning on August 1, 2021.</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 on January 15 or July 15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 our direct, general unsecured obligations that will rank:</w:t>
      </w:r>
    </w:p>
    <w:p>
      <w:pPr>
        <w:spacing w:after="0" w:line="131" w:lineRule="exact"/>
        <w:rPr>
          <w:sz w:val="20"/>
          <w:szCs w:val="20"/>
          <w:color w:val="auto"/>
        </w:rPr>
      </w:pPr>
    </w:p>
    <w:p>
      <w:pPr>
        <w:ind w:left="1540" w:right="120" w:hanging="331"/>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540" w:right="40" w:hanging="331"/>
        <w:spacing w:after="0" w:line="25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January 22, 2021, approximately $142.8 million aggregate principal amount of outstanding indebtedness under our 2022 Convertible Notes, approximately $150.0 million aggregate principal amount of outstanding indebtedness under our 2023 Notes and approximately $347.5 million aggregate principal amount of outstanding indebtedness under our 2024 Notes;</w:t>
      </w:r>
    </w:p>
    <w:p>
      <w:pPr>
        <w:spacing w:after="0" w:line="93" w:lineRule="exact"/>
        <w:rPr>
          <w:rFonts w:ascii="Arial" w:cs="Arial" w:eastAsia="Arial" w:hAnsi="Arial"/>
          <w:sz w:val="18"/>
          <w:szCs w:val="18"/>
          <w:color w:val="auto"/>
        </w:rPr>
      </w:pPr>
    </w:p>
    <w:p>
      <w:pPr>
        <w:ind w:left="1540" w:hanging="331"/>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$477.5 million aggregate principal amount of outstanding indebtedness as of January 22, 2021 under the Revolving Credit Facility; and</w:t>
      </w:r>
    </w:p>
    <w:p>
      <w:pPr>
        <w:spacing w:after="0" w:line="92" w:lineRule="exact"/>
        <w:rPr>
          <w:rFonts w:ascii="Arial" w:cs="Arial" w:eastAsia="Arial" w:hAnsi="Arial"/>
          <w:sz w:val="18"/>
          <w:szCs w:val="18"/>
          <w:color w:val="auto"/>
        </w:rPr>
      </w:pPr>
    </w:p>
    <w:p>
      <w:pPr>
        <w:ind w:left="1540" w:right="120" w:hanging="331"/>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January 22, 2021, our total consolidated indebtedness was approximately $1,117.8 million aggregate principal amount outstanding, of which approximately $477.5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$1,124.1 million aggregate principal amount outstanding as of January 22, 2021. See “Capitalization.”</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redeem some or all of the Notes at any time, or from time to time. Any exercise of our option to redeem the Notes will be done in compliance with the 1940 Act. If we choose to redeem any Notes prior to maturity, we will pay a redemption price equal to the greater of the following amounts, plus, in each case, accrued and unpaid interest to the redemption date:</w:t>
      </w:r>
    </w:p>
    <w:p>
      <w:pPr>
        <w:spacing w:after="0" w:line="8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35 basis points;</w:t>
      </w:r>
    </w:p>
    <w:p>
      <w:pPr>
        <w:spacing w:after="0" w:line="184"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if we redeem any Notes on or after July1, 2026 (the date falling one month prior to the maturity date of the Notes), the</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price for the Notes will be equal to 100% of the principal amount of the Notes to be redeemed, plus accrued and unpaid interest, if any, to, but excluding, the date of redemption. Calculation of the redemption price will be made by us or on our behalf by such person as we shall designate; provided that such calculation or the correctness thereof shall not be a duty or obligation of the trustee.</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we choose to redeem any Notes, we will deliver a notice of redemption to holders of Notes not less than 30 nor more than 60 days before the redemption date. Any exercise of our option to redeem the Notes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done in compliance with the 1940 Act. If we are redeeming less than all of the Notes, the particular Notes to be redeemed will be selected by the trustee in accordance with the applicable procedures of DTC and in accordance with the 1940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“Reference Treasury Dealer” means each of (1) BofA Securities, Inc., (2) J.P. Morgan Securities LLC and (3) a Primary Treasury Dealer to be selected by SMBC Nikko Securities America, Inc.; or, in the case of each of (1), (2) or (3), its affiliates which are Primary Treasury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foregoing or its affiliates shall cease to be a Primary Treasury Dealer, we shall select another Primary Treasury Dealer.</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2022 Convertible Notes, the 2023 Notes and 2024 Notes each contains a provision that would require us to offer to purchase the respective 2022 Convertible Notes, 2023 Notes or 2024 Notes upon the occurrence of a fundamental change. A failure to purchase any tendered 2022 Convertible Notes, 2023 Notes or 2024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2020 Q3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080" w:right="140" w:hanging="532"/>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080" w:right="1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30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by us or any of our significant subsidiaries, as defined in Article 1, Rule 1-02 of Regulation S-X under the Exchange Act (but excluding any subsidiary which is (a) a non-recourse or limited recourse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90" w:lineRule="auto"/>
        <w:rPr>
          <w:sz w:val="20"/>
          <w:szCs w:val="20"/>
          <w:color w:val="auto"/>
        </w:rPr>
      </w:pPr>
      <w:r>
        <w:rPr>
          <w:rFonts w:ascii="Arial" w:cs="Arial" w:eastAsia="Arial" w:hAnsi="Arial"/>
          <w:sz w:val="16"/>
          <w:szCs w:val="16"/>
          <w:color w:val="auto"/>
        </w:rPr>
        <w:t>subsidiary, (b) a bankruptcy remote special purpose vehicle or (c)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71" w:lineRule="exact"/>
        <w:rPr>
          <w:sz w:val="20"/>
          <w:szCs w:val="20"/>
          <w:color w:val="auto"/>
        </w:rPr>
      </w:pPr>
    </w:p>
    <w:p>
      <w:pPr>
        <w:ind w:left="1080" w:right="100" w:hanging="532"/>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4" w:lineRule="exact"/>
        <w:rPr>
          <w:rFonts w:ascii="Arial" w:cs="Arial" w:eastAsia="Arial" w:hAnsi="Arial"/>
          <w:sz w:val="16"/>
          <w:szCs w:val="16"/>
          <w:color w:val="auto"/>
        </w:rPr>
      </w:pPr>
    </w:p>
    <w:p>
      <w:pPr>
        <w:ind w:left="1080" w:right="4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the Notes are subject to defeasance and covenant defeasance, in each case, in accordance with the terms of the indenture. Defeasance means that, subject to the satisfaction of certain conditions, including, but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Wells Fargo Bank, National Association is the trustee, security registrar and paying agent. Wells Fargo Bank,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“Corporate trust office” means the corporate trust office of the Trustee, at which at any particular time its corporate trust business with respect to this Indenture shall be administered, which office at the date of execution of this Indenture is located at Wells Fargo Bank, National Association, CTSO Mail Operations, MAC N9300-070, 600 South Fourth Street, Seventh Floor, Minneapolis, MN 55415, Attn: Corporate Trust Services, Lynn Steiner, and for Agent services such office shall also mean the office or agency of the Trustee located at the date hereof at Corporate Trust Operations, MAC N9300-070, 600 South Fourth Street, Minneapolis, MN 55415.</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and procedures governing their operations, including maintaining, supervising or reviewing the records relating to, or payments made on account of, beneficial ownership interests in Global Notes.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7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Non-U.S. Holders for whom income from the Notes is deemed to be effectively connected with a trade or business within the United States within the meaning of the Code.</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consequences arising under special timing rules prescribed under section 451(b) of the Code) or any state, local or non-U.S. tax consequences.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is based upon the provisions of the Code,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less than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(within the meaning of the applicable Treasury regulations). If, however, the Notes are issued for an amount less than the principal amount and the difference is not less than such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U.S. Holder will be required to include the difference in income as original issue discount in accordance with a “constant-yield method” before the receipt of cash attributable to such income, regardless of the U.S. Holder’s regular method of accounting for U.S. income tax purposes. A U.S. Holder is urged to consult its own tax advisor in the event the Notes are issued with original issue discount.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080" w:right="2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Form W-8BEN or IRS Form W-8BEN-E (or successor form, in each case)) or the Non-U.S. Holder holds the Notes through certain foreign intermediaries or certain foreign partnerships, and satisfies the certification requirements of applicable Treasury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on the Notes made to, and the proceeds of dispositions of Notes effected by, certain U.S. Holders. In addition, certain U.S. Holders may be subject to backup withholding tax in respect of such payments if they do not provide their taxpayer identification numbers to the person from whom they receive payments. Non-U.S. Holders generally are exempt from information reporting and backup withholding, provided, if necessary, that they demonstrate their qualification for exemption. Any amounts withheld under the backup withholding rules from a payment to a U.S. or Non-U.S. Holder generally would be allowed as a refund or a credit against such Holder’s U.S. federal income tax provided the required information is timely furnished to the IRS.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78"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27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74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1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Truist Securities, Inc.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Seelaus &amp; Co.,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17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Per Note</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99.268%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297,804,000</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3,000,000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98.268%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294,804,000</w:t>
            </w: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0.600% of the aggregate principal amount of the Notes. The underwriters may allow, and the dealers may reallow, a discount not in excess of 0.400%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expenses of the offering, not including the underwriting discount, are estimated at $1.1 million 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Goldman Sachs &amp; Co. LLC is also acting as our agent for the Company stock repurchase 10b5-1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Wells Fargo Securities, LLC, one of the underwriters, is an affiliate of the trustee.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February 3, 2021, which will be the fifth business day following the 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principal business address of BofA Securities, Inc. is One Bryant Park, New York, NY 10036. The principal business address of J.P. Morgan Securities LLC is 383 Madison Avenue New York, New York 10179. The principal business address of SMBC Nikko Securities America, Inc. is 277 Park Avenue New York, New York 10172.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For the purposes of this provision:</w:t>
      </w:r>
    </w:p>
    <w:p>
      <w:pPr>
        <w:spacing w:after="0" w:line="62" w:lineRule="exact"/>
        <w:rPr>
          <w:sz w:val="20"/>
          <w:szCs w:val="20"/>
          <w:color w:val="auto"/>
        </w:rPr>
      </w:pPr>
    </w:p>
    <w:p>
      <w:pPr>
        <w:ind w:left="800" w:hanging="24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retail client as defined in point (11) of Article 4(1) of Directive 2014/65/EU (as amended, “MiFID II”); or</w:t>
      </w:r>
    </w:p>
    <w:p>
      <w:pPr>
        <w:spacing w:after="0" w:line="117" w:lineRule="exact"/>
        <w:rPr>
          <w:rFonts w:ascii="Arial" w:cs="Arial" w:eastAsia="Arial" w:hAnsi="Arial"/>
          <w:sz w:val="18"/>
          <w:szCs w:val="18"/>
          <w:color w:val="auto"/>
        </w:rPr>
      </w:pPr>
    </w:p>
    <w:p>
      <w:pPr>
        <w:ind w:left="1100" w:right="180" w:firstLine="7"/>
        <w:spacing w:after="0" w:line="277" w:lineRule="auto"/>
        <w:tabs>
          <w:tab w:leader="none" w:pos="136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62" w:lineRule="exact"/>
        <w:rPr>
          <w:rFonts w:ascii="Arial" w:cs="Arial" w:eastAsia="Arial" w:hAnsi="Arial"/>
          <w:sz w:val="18"/>
          <w:szCs w:val="18"/>
          <w:color w:val="auto"/>
        </w:rPr>
      </w:pPr>
    </w:p>
    <w:p>
      <w:pPr>
        <w:ind w:left="1420" w:hanging="31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 a qualified investor as defined in Regulation (EU) 2017/1129 (as amended, the “Prospectus Regulation”);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hanging="4"/>
        <w:spacing w:after="0" w:line="27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For the purposes of this provision:</w:t>
      </w:r>
    </w:p>
    <w:p>
      <w:pPr>
        <w:spacing w:after="0" w:line="62" w:lineRule="exact"/>
        <w:rPr>
          <w:sz w:val="20"/>
          <w:szCs w:val="20"/>
          <w:color w:val="auto"/>
        </w:rPr>
      </w:pPr>
    </w:p>
    <w:p>
      <w:pPr>
        <w:ind w:left="800" w:hanging="24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17" w:lineRule="exact"/>
        <w:rPr>
          <w:rFonts w:ascii="Arial" w:cs="Arial" w:eastAsia="Arial" w:hAnsi="Arial"/>
          <w:sz w:val="18"/>
          <w:szCs w:val="18"/>
          <w:color w:val="auto"/>
        </w:rPr>
      </w:pPr>
    </w:p>
    <w:p>
      <w:pPr>
        <w:ind w:left="1100" w:right="320" w:firstLine="7"/>
        <w:spacing w:after="0" w:line="277" w:lineRule="auto"/>
        <w:tabs>
          <w:tab w:leader="none" w:pos="14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retail client as defined in point (8) of Article 2 of Regulation (EU) No 2017/565 as it forms part of domestic law by virtue of the European Union (Withdrawal) Act 2018 (“EUWA”); or</w:t>
      </w:r>
    </w:p>
    <w:p>
      <w:pPr>
        <w:spacing w:after="0" w:line="62" w:lineRule="exact"/>
        <w:rPr>
          <w:rFonts w:ascii="Arial" w:cs="Arial" w:eastAsia="Arial" w:hAnsi="Arial"/>
          <w:sz w:val="18"/>
          <w:szCs w:val="18"/>
          <w:color w:val="auto"/>
        </w:rPr>
      </w:pPr>
    </w:p>
    <w:p>
      <w:pPr>
        <w:ind w:left="1100" w:firstLine="7"/>
        <w:spacing w:after="0" w:line="259" w:lineRule="auto"/>
        <w:tabs>
          <w:tab w:leader="none" w:pos="136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78" w:lineRule="exact"/>
        <w:rPr>
          <w:rFonts w:ascii="Arial" w:cs="Arial" w:eastAsia="Arial" w:hAnsi="Arial"/>
          <w:sz w:val="18"/>
          <w:szCs w:val="18"/>
          <w:color w:val="auto"/>
        </w:rPr>
      </w:pPr>
    </w:p>
    <w:p>
      <w:pPr>
        <w:ind w:left="1100" w:right="240" w:firstLine="7"/>
        <w:spacing w:after="0" w:line="277" w:lineRule="auto"/>
        <w:tabs>
          <w:tab w:leader="none" w:pos="14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 a qualified investor as defined in Article 2 of the Prospectus Regulation as it forms part of domestic law by virtue of the EUWA (the “UK Prospectus Regulation”); and</w:t>
      </w:r>
    </w:p>
    <w:p>
      <w:pPr>
        <w:spacing w:after="0" w:line="62" w:lineRule="exact"/>
        <w:rPr>
          <w:rFonts w:ascii="Arial" w:cs="Arial" w:eastAsia="Arial" w:hAnsi="Arial"/>
          <w:sz w:val="18"/>
          <w:szCs w:val="18"/>
          <w:color w:val="auto"/>
        </w:rPr>
      </w:pPr>
    </w:p>
    <w:p>
      <w:pPr>
        <w:ind w:left="560" w:right="260" w:hanging="4"/>
        <w:spacing w:after="0" w:line="27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70"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This prospectus supplement and the accompanying prospectus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Kingdom. Any person in the United Kingdom that is not a Relevant Person should not act or rely on this prospectus supplement and the accompanying prospectus or their contents. The Notes are not being offered to the public in the United Kingdom.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in the United Kingdom, each underwriter has represented and agreed the Notes may not be offered other than by an underwriter that:</w:t>
      </w:r>
    </w:p>
    <w:p>
      <w:pPr>
        <w:spacing w:after="0" w:line="154" w:lineRule="exact"/>
        <w:rPr>
          <w:sz w:val="20"/>
          <w:szCs w:val="20"/>
          <w:color w:val="auto"/>
        </w:rPr>
      </w:pPr>
    </w:p>
    <w:p>
      <w:pPr>
        <w:ind w:left="1080" w:right="4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complied and will comply with all applicable provisions of the FSMA with respect to anything done by it in relation to the Notes in, from or otherwise involving the United Kingdom.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120" w:right="240" w:firstLine="440"/>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8"/>
          <w:szCs w:val="18"/>
          <w:i w:val="1"/>
          <w:iCs w:val="1"/>
          <w:color w:val="auto"/>
        </w:rPr>
        <w:t>Ontario Prospectus and Registration Exemptions</w:t>
      </w:r>
      <w:r>
        <w:rPr>
          <w:rFonts w:ascii="Arial" w:cs="Arial" w:eastAsia="Arial" w:hAnsi="Arial"/>
          <w:sz w:val="18"/>
          <w:szCs w:val="18"/>
          <w:color w:val="auto"/>
        </w:rPr>
        <w:t xml:space="preserve"> and in Multilateral Instrument 45-107 </w:t>
      </w:r>
      <w:r>
        <w:rPr>
          <w:rFonts w:ascii="Arial" w:cs="Arial" w:eastAsia="Arial" w:hAnsi="Arial"/>
          <w:sz w:val="18"/>
          <w:szCs w:val="18"/>
          <w:i w:val="1"/>
          <w:iCs w:val="1"/>
          <w:color w:val="auto"/>
        </w:rPr>
        <w:t>Listing Representation and Statutory</w:t>
      </w:r>
      <w:r>
        <w:rPr>
          <w:rFonts w:ascii="Arial" w:cs="Arial" w:eastAsia="Arial" w:hAnsi="Arial"/>
          <w:sz w:val="18"/>
          <w:szCs w:val="18"/>
          <w:color w:val="auto"/>
        </w:rPr>
        <w:t xml:space="preserve"> </w:t>
      </w:r>
      <w:r>
        <w:rPr>
          <w:rFonts w:ascii="Arial" w:cs="Arial" w:eastAsia="Arial" w:hAnsi="Arial"/>
          <w:sz w:val="18"/>
          <w:szCs w:val="18"/>
          <w:i w:val="1"/>
          <w:iCs w:val="1"/>
          <w:color w:val="auto"/>
        </w:rPr>
        <w:t>Rights of Action Disclosure Exemptions</w:t>
      </w:r>
      <w:r>
        <w:rPr>
          <w:rFonts w:ascii="Arial" w:cs="Arial" w:eastAsia="Arial" w:hAnsi="Arial"/>
          <w:sz w:val="18"/>
          <w:szCs w:val="18"/>
          <w:color w:val="auto"/>
        </w:rPr>
        <w:t>, as applicable, with a remedy for damages or rescission, or both, in addition to any other rights they may have at</w:t>
      </w:r>
      <w:r>
        <w:rPr>
          <w:rFonts w:ascii="Arial" w:cs="Arial" w:eastAsia="Arial" w:hAnsi="Arial"/>
          <w:sz w:val="18"/>
          <w:szCs w:val="18"/>
          <w:i w:val="1"/>
          <w:iCs w:val="1"/>
          <w:color w:val="auto"/>
        </w:rPr>
        <w:t xml:space="preserve"> </w:t>
      </w:r>
      <w:r>
        <w:rPr>
          <w:rFonts w:ascii="Arial" w:cs="Arial" w:eastAsia="Arial" w:hAnsi="Arial"/>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Each underwriter, severally and not jointly, has agreed that it has not offered or sold, and will not offer or sell, the Notes to the public in The Netherlands, other than exclusively to qualified investors (gekwalificeerde beleggers) within the meaning of the Financial Supervision Act (Wet op het financieel toezicht).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Neither this prospectus supplement nor the accompanying prospectus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the accompanying prospectus has been or will be:</w:t>
      </w:r>
    </w:p>
    <w:p>
      <w:pPr>
        <w:spacing w:after="0" w:line="92"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 Such offers, sales and distributions will be made in France only:</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mon´etaire et financier and article 211-2 of the General Regulations (Règlement Génerál) of the Autorité des Marchés Financiers, does not constitute a public offer (appel public a’ l’épargne).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prospectus supplement and the accompanying prospectus have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Finanzdienstleistungsaufsicht—BaFin) nor any other German authority has been notified of the intention to distribute the Notes in Germany. Consequently, the Notes may not be distributed in Germany by way of public offering, public advertisement or in any similar manner and this prospectus supplement and the accompanying prospectus and any other document relating to this offering, as well as information or statements contained therein, may not be supplied to the public in Germany or used in connection with any offer for subscription of the Notes to the public in Germany or any other means of public marketing. The Notes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supplement and the accompanying prospectus is strictly for use of the person who has received it. It may not be forwarded to other persons or published in Germany.</w:t>
      </w:r>
    </w:p>
    <w:p>
      <w:pPr>
        <w:spacing w:after="0" w:line="17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This offering of our Notes does not constitute an offer to buy or the solicitation or an offer to sell the Notes in any circumstances in which such offer or solicitation is unlawful.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040"/>
          </w:cols>
          <w:pgMar w:left="32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PROSPECTUS</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67945</wp:posOffset>
            </wp:positionV>
            <wp:extent cx="1688465" cy="720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6884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TPG Specialty Lending, Inc.</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Preferred Stock</w:t>
      </w:r>
    </w:p>
    <w:p>
      <w:pPr>
        <w:jc w:val="center"/>
        <w:ind w:right="-119"/>
        <w:spacing w:after="0"/>
        <w:rPr>
          <w:sz w:val="20"/>
          <w:szCs w:val="20"/>
          <w:color w:val="auto"/>
        </w:rPr>
      </w:pPr>
      <w:r>
        <w:rPr>
          <w:rFonts w:ascii="Arial" w:cs="Arial" w:eastAsia="Arial" w:hAnsi="Arial"/>
          <w:sz w:val="20"/>
          <w:szCs w:val="20"/>
          <w:b w:val="1"/>
          <w:bCs w:val="1"/>
          <w:color w:val="auto"/>
        </w:rPr>
        <w:t>Subscription Rights</w:t>
      </w:r>
    </w:p>
    <w:p>
      <w:pPr>
        <w:jc w:val="center"/>
        <w:ind w:right="-119"/>
        <w:spacing w:after="0"/>
        <w:rPr>
          <w:sz w:val="20"/>
          <w:szCs w:val="20"/>
          <w:color w:val="auto"/>
        </w:rPr>
      </w:pPr>
      <w:r>
        <w:rPr>
          <w:rFonts w:ascii="Arial" w:cs="Arial" w:eastAsia="Arial" w:hAnsi="Arial"/>
          <w:sz w:val="20"/>
          <w:szCs w:val="20"/>
          <w:b w:val="1"/>
          <w:bCs w:val="1"/>
          <w:color w:val="auto"/>
        </w:rPr>
        <w:t>Warrants</w:t>
      </w:r>
    </w:p>
    <w:p>
      <w:pPr>
        <w:jc w:val="center"/>
        <w:ind w:right="-119"/>
        <w:spacing w:after="0"/>
        <w:rPr>
          <w:sz w:val="20"/>
          <w:szCs w:val="20"/>
          <w:color w:val="auto"/>
        </w:rPr>
      </w:pPr>
      <w:r>
        <w:rPr>
          <w:rFonts w:ascii="Arial" w:cs="Arial" w:eastAsia="Arial" w:hAnsi="Arial"/>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4" w:lineRule="exact"/>
        <w:rPr>
          <w:sz w:val="20"/>
          <w:szCs w:val="20"/>
          <w:color w:val="auto"/>
        </w:rPr>
      </w:pPr>
    </w:p>
    <w:p>
      <w:pPr>
        <w:jc w:val="both"/>
        <w:ind w:left="120" w:right="320" w:firstLine="440"/>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7" w:lineRule="exact"/>
        <w:rPr>
          <w:sz w:val="20"/>
          <w:szCs w:val="20"/>
          <w:color w:val="auto"/>
        </w:rPr>
      </w:pPr>
    </w:p>
    <w:p>
      <w:pPr>
        <w:ind w:left="120" w:firstLine="440"/>
        <w:spacing w:after="0" w:line="251" w:lineRule="auto"/>
        <w:rPr>
          <w:sz w:val="20"/>
          <w:szCs w:val="20"/>
          <w:color w:val="auto"/>
        </w:rPr>
      </w:pPr>
      <w:r>
        <w:rPr>
          <w:rFonts w:ascii="Arial" w:cs="Arial" w:eastAsia="Arial" w:hAnsi="Arial"/>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120" w:right="20" w:firstLine="440"/>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8" w:lineRule="exact"/>
        <w:rPr>
          <w:sz w:val="20"/>
          <w:szCs w:val="20"/>
          <w:color w:val="auto"/>
        </w:rPr>
      </w:pPr>
    </w:p>
    <w:p>
      <w:pPr>
        <w:jc w:val="both"/>
        <w:ind w:left="120" w:right="60" w:firstLine="440"/>
        <w:spacing w:after="0" w:line="260" w:lineRule="auto"/>
        <w:rPr>
          <w:sz w:val="20"/>
          <w:szCs w:val="20"/>
          <w:color w:val="auto"/>
        </w:rPr>
      </w:pPr>
      <w:r>
        <w:rPr>
          <w:rFonts w:ascii="Arial" w:cs="Arial" w:eastAsia="Arial" w:hAnsi="Arial"/>
          <w:sz w:val="13"/>
          <w:szCs w:val="13"/>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ind w:left="120" w:right="40" w:firstLine="440"/>
        <w:spacing w:after="0" w:line="233" w:lineRule="auto"/>
        <w:rPr>
          <w:sz w:val="20"/>
          <w:szCs w:val="20"/>
          <w:color w:val="auto"/>
        </w:rPr>
      </w:pPr>
      <w:r>
        <w:rPr>
          <w:rFonts w:ascii="Arial" w:cs="Arial" w:eastAsia="Arial" w:hAnsi="Arial"/>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3" w:lineRule="exact"/>
        <w:rPr>
          <w:sz w:val="20"/>
          <w:szCs w:val="20"/>
          <w:color w:val="auto"/>
        </w:rPr>
      </w:pPr>
    </w:p>
    <w:p>
      <w:pPr>
        <w:ind w:left="120" w:right="20" w:firstLine="440"/>
        <w:spacing w:after="0" w:line="231" w:lineRule="auto"/>
        <w:rPr>
          <w:sz w:val="20"/>
          <w:szCs w:val="20"/>
          <w:color w:val="auto"/>
        </w:rPr>
      </w:pPr>
      <w:r>
        <w:rPr>
          <w:rFonts w:ascii="Arial" w:cs="Arial" w:eastAsia="Arial" w:hAnsi="Arial"/>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8" w:lineRule="exact"/>
        <w:rPr>
          <w:sz w:val="20"/>
          <w:szCs w:val="20"/>
          <w:color w:val="auto"/>
        </w:rPr>
      </w:pPr>
    </w:p>
    <w:p>
      <w:pPr>
        <w:ind w:left="120" w:right="40" w:firstLine="440"/>
        <w:spacing w:after="0" w:line="231" w:lineRule="auto"/>
        <w:rPr>
          <w:sz w:val="20"/>
          <w:szCs w:val="20"/>
          <w:color w:val="auto"/>
        </w:rPr>
      </w:pPr>
      <w:r>
        <w:rPr>
          <w:rFonts w:ascii="Arial" w:cs="Arial" w:eastAsia="Arial" w:hAnsi="Arial"/>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59055</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05" w:lineRule="exact"/>
        <w:rPr>
          <w:sz w:val="20"/>
          <w:szCs w:val="20"/>
          <w:color w:val="auto"/>
        </w:rPr>
      </w:pPr>
    </w:p>
    <w:p>
      <w:pPr>
        <w:ind w:left="120" w:right="40" w:firstLine="440"/>
        <w:spacing w:after="0" w:line="25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73">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23 of this prospectus and in the documents incorporated by reference herein.</w:t>
      </w:r>
    </w:p>
    <w:p>
      <w:pPr>
        <w:ind w:left="560"/>
        <w:spacing w:after="0"/>
        <w:rPr>
          <w:sz w:val="20"/>
          <w:szCs w:val="20"/>
          <w:color w:val="auto"/>
        </w:rPr>
      </w:pPr>
      <w:r>
        <w:rPr>
          <w:rFonts w:ascii="Arial" w:cs="Arial" w:eastAsia="Arial" w:hAnsi="Arial"/>
          <w:sz w:val="14"/>
          <w:szCs w:val="14"/>
          <w:b w:val="1"/>
          <w:bCs w:val="1"/>
          <w:color w:val="auto"/>
        </w:rPr>
        <w:t>This prospectus may not be used to consummate sales of our securities unless accompanied by a prospectus supplement.</w:t>
      </w:r>
    </w:p>
    <w:p>
      <w:pPr>
        <w:spacing w:after="0" w:line="32"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3"/>
          <w:szCs w:val="13"/>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3" w:lineRule="exact"/>
        <w:rPr>
          <w:sz w:val="20"/>
          <w:szCs w:val="20"/>
          <w:color w:val="auto"/>
        </w:rPr>
      </w:pPr>
    </w:p>
    <w:p>
      <w:pPr>
        <w:ind w:left="120" w:firstLine="440"/>
        <w:spacing w:after="0" w:line="258" w:lineRule="auto"/>
        <w:rPr>
          <w:sz w:val="20"/>
          <w:szCs w:val="20"/>
          <w:color w:val="auto"/>
        </w:rPr>
      </w:pPr>
      <w:r>
        <w:rPr>
          <w:rFonts w:ascii="Arial" w:cs="Arial" w:eastAsia="Arial" w:hAnsi="Arial"/>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52070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date of this prospectus is May 7, 2019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80" w:type="dxa"/>
            <w:vAlign w:val="bottom"/>
          </w:tcPr>
          <w:p>
            <w:pPr>
              <w:jc w:val="center"/>
              <w:ind w:right="251"/>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71"/>
        </w:trPr>
        <w:tc>
          <w:tcPr>
            <w:tcW w:w="980" w:type="dxa"/>
            <w:vAlign w:val="bottom"/>
          </w:tcPr>
          <w:p>
            <w:pPr>
              <w:jc w:val="center"/>
              <w:ind w:right="251"/>
              <w:spacing w:after="0"/>
              <w:rPr>
                <w:sz w:val="20"/>
                <w:szCs w:val="20"/>
                <w:color w:val="auto"/>
              </w:rPr>
            </w:pPr>
            <w:r>
              <w:rPr>
                <w:rFonts w:ascii="Arial" w:cs="Arial" w:eastAsia="Arial" w:hAnsi="Arial"/>
                <w:sz w:val="14"/>
                <w:szCs w:val="14"/>
                <w:b w:val="1"/>
                <w:bCs w:val="1"/>
                <w:color w:val="auto"/>
              </w:rPr>
              <w:t>NUMBER</w:t>
            </w:r>
          </w:p>
        </w:tc>
        <w:tc>
          <w:tcPr>
            <w:tcW w:w="5060" w:type="dxa"/>
            <w:vAlign w:val="bottom"/>
            <w:gridSpan w:val="2"/>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80" w:type="dxa"/>
            <w:vAlign w:val="bottom"/>
          </w:tcPr>
          <w:p>
            <w:pPr>
              <w:jc w:val="center"/>
              <w:ind w:right="251"/>
              <w:spacing w:after="0" w:line="195" w:lineRule="exact"/>
              <w:rPr>
                <w:sz w:val="20"/>
                <w:szCs w:val="20"/>
                <w:color w:val="auto"/>
              </w:rPr>
            </w:pPr>
            <w:r>
              <w:rPr>
                <w:rFonts w:ascii="Arial" w:cs="Arial" w:eastAsia="Arial" w:hAnsi="Arial"/>
                <w:sz w:val="18"/>
                <w:szCs w:val="18"/>
                <w:color w:val="auto"/>
                <w:w w:val="79"/>
              </w:rPr>
              <w:t>1</w:t>
            </w:r>
          </w:p>
        </w:tc>
        <w:tc>
          <w:tcPr>
            <w:tcW w:w="4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Outside Front Cover Page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2</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Cover Pages; Other Offering Information</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3</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Fee Table and Synopsis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Financial Highlights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Selected Financial Data and Other Information; Selected Quarterly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Data;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Condition 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5</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Plan of Distribution</w:t>
            </w: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Plan of Distribution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6</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Selling Shareholders</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7</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Use of Proceeds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Use of Proceeds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8</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General Description of the Registrant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Outside Front Cover Page; Prospectus Summary; Risk Factors;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and Results of Operations; The Company; Portfolio Companies;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Regulation; Shares Eligible for Future Sale; Price Range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Common Stock and Distributions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9</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Transfer and Dividend Paying Agent and Registrar</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Capital Stock, Long-Term Debt, and Other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Our Capital Stock; Description of Our Preferred Stock;</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Warrants; Description of Our Debt Securities; Dividend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11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Defaults and Arrears on Senior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12</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Legal Proceedings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The Company</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13</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Table of Contents of the Statement of Additional Information, or</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Cover Page of SAI</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Table of Contents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Table of Contents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16</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General Information and History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17</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Investment Objective and Policies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18</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Regulation;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19</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Control Persons and Principal Holders of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20</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Investment Advisory and Other Services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and Other Agreements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Portfolio Managers</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22</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Brokerage Allocation and Other Practices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Brokerage Allocation and Other Practices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23</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Tax Status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0"/>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24</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Financial Statements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4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45"/>
        </w:trPr>
        <w:tc>
          <w:tcPr>
            <w:tcW w:w="98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THIS PROSPECTUS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SUMMARY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THE OFFERING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FEES AND EXPENSES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SELECTED FINANCIAL DATA AND OTHER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SELECTED QUARTERLY FINANCIAL DATA</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SPECIAL NOTE REGARDING FORWARD-LOOKING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USE OF PROCEEDS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PRICE RANGE OF COMMON STOCK AND DISTRIBUTIONS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SENIOR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THE COMPANY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PORTFOLIO COMPANIES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 AND OTHER AGREEMENTS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RELATED-PARTY TRANSACTIONS AND CERTAIN RELATIONSHIPS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CONTROL PERSONS AND PRINCIPAL STOCKHOLDERS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DETERMINATION OF NET ASSET VALUE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SALES OF COMMON STOCK BELOW NET ASSET VALUE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DIVIDEND REINVESTMENT PLAN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MATERIAL U.S. FEDERAL INCOME TAX CONSIDERATIONS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CAPITAL STOCK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DESCRIPTION OF OUR PREFERRED STOCK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DESCRIPTION OF OUR SUBSCRIPTION RIGHTS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DESCRIPTION OF OUR WARRANTS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DESCRIPTION OF OUR DEBT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SHARES ELIGIBLE FOR FUTURE SALE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REGULATION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CUSTODIAN, TRANSFER AND DIVIDEND PAYING AGENT AND REGISTRAR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BROKERAGE ALLOCATION AND OTHER PRACTICES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PLAN OF DISTRIBUTION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LEGAL MATTERS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EXPERTS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AVAILABLE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984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INFORMATION INCORPORATED BY REFERENCE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075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240" w:right="100" w:hanging="415"/>
        <w:spacing w:after="0" w:line="277" w:lineRule="auto"/>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00" w:right="40"/>
        <w:spacing w:after="0" w:line="251" w:lineRule="auto"/>
        <w:rPr>
          <w:sz w:val="20"/>
          <w:szCs w:val="20"/>
          <w:color w:val="auto"/>
        </w:rPr>
      </w:pPr>
      <w:r>
        <w:rPr>
          <w:rFonts w:ascii="Arial" w:cs="Arial" w:eastAsia="Arial" w:hAnsi="Arial"/>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8" w:lineRule="exact"/>
        <w:rPr>
          <w:sz w:val="20"/>
          <w:szCs w:val="20"/>
          <w:color w:val="auto"/>
        </w:rPr>
      </w:pPr>
    </w:p>
    <w:p>
      <w:pPr>
        <w:ind w:left="300" w:right="38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6" w:lineRule="exact"/>
        <w:rPr>
          <w:sz w:val="20"/>
          <w:szCs w:val="20"/>
          <w:color w:val="auto"/>
        </w:rPr>
      </w:pPr>
    </w:p>
    <w:p>
      <w:pPr>
        <w:ind w:left="300" w:right="10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7" w:lineRule="exact"/>
        <w:rPr>
          <w:sz w:val="20"/>
          <w:szCs w:val="20"/>
          <w:color w:val="auto"/>
        </w:rPr>
      </w:pPr>
    </w:p>
    <w:p>
      <w:pPr>
        <w:ind w:left="300" w:right="140" w:firstLine="426"/>
        <w:spacing w:after="0" w:line="286" w:lineRule="auto"/>
        <w:rPr>
          <w:sz w:val="20"/>
          <w:szCs w:val="20"/>
          <w:color w:val="auto"/>
        </w:rPr>
      </w:pPr>
      <w:r>
        <w:rPr>
          <w:rFonts w:ascii="Arial" w:cs="Arial" w:eastAsia="Arial" w:hAnsi="Arial"/>
          <w:sz w:val="17"/>
          <w:szCs w:val="17"/>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65"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5"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84"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2"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85"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84"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80" w:firstLine="426"/>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38" w:lineRule="exact"/>
        <w:rPr>
          <w:sz w:val="20"/>
          <w:szCs w:val="20"/>
          <w:color w:val="auto"/>
        </w:rPr>
      </w:pPr>
    </w:p>
    <w:p>
      <w:pPr>
        <w:ind w:left="300" w:right="200" w:firstLine="426"/>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4"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6"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71"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76"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84" w:lineRule="exact"/>
        <w:rPr>
          <w:sz w:val="20"/>
          <w:szCs w:val="20"/>
          <w:color w:val="auto"/>
        </w:rPr>
      </w:pPr>
    </w:p>
    <w:p>
      <w:pPr>
        <w:jc w:val="both"/>
        <w:ind w:left="300" w:right="220" w:firstLine="426"/>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1240" w:right="80" w:hanging="415"/>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240" w:right="40" w:hanging="415"/>
        <w:spacing w:after="0" w:line="275"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Risk pricing</w:t>
      </w:r>
      <w:r>
        <w:rPr>
          <w:rFonts w:ascii="Arial" w:cs="Arial" w:eastAsia="Arial" w:hAnsi="Arial"/>
          <w:sz w:val="17"/>
          <w:szCs w:val="17"/>
          <w:color w:val="auto"/>
        </w:rPr>
        <w:t>. The risk profile of our portfolio evolves across credit cycles as credit tightens and loosens. During periods when risk</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1" w:lineRule="exact"/>
        <w:rPr>
          <w:rFonts w:ascii="Arial" w:cs="Arial" w:eastAsia="Arial" w:hAnsi="Arial"/>
          <w:sz w:val="17"/>
          <w:szCs w:val="17"/>
          <w:color w:val="auto"/>
        </w:rPr>
      </w:pPr>
    </w:p>
    <w:p>
      <w:pPr>
        <w:ind w:left="1240" w:right="180" w:hanging="415"/>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640" w:hanging="289"/>
        <w:spacing w:after="0" w:line="255" w:lineRule="auto"/>
        <w:tabs>
          <w:tab w:leader="none" w:pos="164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320" w:top="459" w:right="7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120" w:hanging="289"/>
        <w:spacing w:after="0" w:line="273" w:lineRule="auto"/>
        <w:tabs>
          <w:tab w:leader="none" w:pos="1640"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Investment structuring</w:t>
      </w:r>
      <w:r>
        <w:rPr>
          <w:rFonts w:ascii="Arial" w:cs="Arial" w:eastAsia="Arial" w:hAnsi="Arial"/>
          <w:sz w:val="17"/>
          <w:szCs w:val="17"/>
          <w:color w:val="auto"/>
        </w:rPr>
        <w:t>. We focus on investing at the top of the capital structure and protecting that position. We carefully</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3" w:lineRule="exact"/>
        <w:rPr>
          <w:rFonts w:ascii="Arial" w:cs="Arial" w:eastAsia="Arial" w:hAnsi="Arial"/>
          <w:sz w:val="17"/>
          <w:szCs w:val="17"/>
          <w:color w:val="auto"/>
        </w:rPr>
      </w:pPr>
    </w:p>
    <w:p>
      <w:pPr>
        <w:ind w:left="1640" w:right="160" w:hanging="289"/>
        <w:spacing w:after="0" w:line="259" w:lineRule="auto"/>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ind w:left="1640" w:right="100" w:hanging="289"/>
        <w:spacing w:after="0" w:line="263" w:lineRule="auto"/>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future payment income. In addition, most of our investments are floating rate in nature, which we believe helps act as a portfolio-wide hedge against inflation.</w:t>
      </w:r>
    </w:p>
    <w:p>
      <w:pPr>
        <w:spacing w:after="0" w:line="89" w:lineRule="exact"/>
        <w:rPr>
          <w:rFonts w:ascii="Arial" w:cs="Arial" w:eastAsia="Arial" w:hAnsi="Arial"/>
          <w:sz w:val="18"/>
          <w:szCs w:val="18"/>
          <w:color w:val="auto"/>
        </w:rPr>
      </w:pPr>
    </w:p>
    <w:p>
      <w:pPr>
        <w:ind w:left="1240" w:right="180" w:hanging="415"/>
        <w:spacing w:after="0" w:line="263"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w:t>
      </w:r>
      <w:r>
        <w:rPr>
          <w:rFonts w:ascii="Arial" w:cs="Arial" w:eastAsia="Arial" w:hAnsi="Arial"/>
          <w:sz w:val="18"/>
          <w:szCs w:val="18"/>
          <w:i w:val="1"/>
          <w:iCs w:val="1"/>
          <w:color w:val="auto"/>
        </w:rPr>
        <w:t xml:space="preserve"> </w:t>
      </w:r>
      <w:r>
        <w:rPr>
          <w:rFonts w:ascii="Arial" w:cs="Arial" w:eastAsia="Arial" w:hAnsi="Arial"/>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84" w:lineRule="exact"/>
        <w:rPr>
          <w:sz w:val="20"/>
          <w:szCs w:val="20"/>
          <w:color w:val="auto"/>
        </w:rPr>
      </w:pPr>
    </w:p>
    <w:p>
      <w:pPr>
        <w:ind w:left="300" w:right="540" w:firstLine="42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70"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$9.7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95"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Adviser has a highly experienced management team consisting of seven TSSP Partners and four TSSP</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60" w:firstLine="426"/>
        <w:spacing w:after="0" w:line="263"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00" w:firstLine="426"/>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240" w:right="40" w:hanging="415"/>
        <w:spacing w:after="0" w:line="293" w:lineRule="auto"/>
        <w:tabs>
          <w:tab w:leader="none" w:pos="12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Leverage</w:t>
      </w:r>
      <w:r>
        <w:rPr>
          <w:rFonts w:ascii="Arial" w:cs="Arial" w:eastAsia="Arial" w:hAnsi="Arial"/>
          <w:sz w:val="16"/>
          <w:szCs w:val="16"/>
          <w:color w:val="auto"/>
        </w:rPr>
        <w:t>. Regulations under the 1940 Act limit our ability to use borrowing, also known as leverage, in significant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69" w:lineRule="exact"/>
        <w:rPr>
          <w:rFonts w:ascii="Arial" w:cs="Arial" w:eastAsia="Arial" w:hAnsi="Arial"/>
          <w:sz w:val="16"/>
          <w:szCs w:val="16"/>
          <w:color w:val="auto"/>
        </w:rPr>
      </w:pPr>
    </w:p>
    <w:p>
      <w:pPr>
        <w:ind w:left="1240" w:right="100" w:hanging="415"/>
        <w:spacing w:after="0" w:line="311" w:lineRule="auto"/>
        <w:tabs>
          <w:tab w:leader="none" w:pos="12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As a BDC, we are required to invest at least 70% of our total assets in qualifying assets,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4" w:lineRule="exact"/>
        <w:rPr>
          <w:rFonts w:ascii="Arial" w:cs="Arial" w:eastAsia="Arial" w:hAnsi="Arial"/>
          <w:sz w:val="16"/>
          <w:szCs w:val="16"/>
          <w:color w:val="auto"/>
        </w:rPr>
      </w:pPr>
    </w:p>
    <w:p>
      <w:pPr>
        <w:ind w:left="1640" w:hanging="289"/>
        <w:spacing w:after="0"/>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40" w:right="200" w:hanging="289"/>
        <w:spacing w:after="0" w:line="263" w:lineRule="auto"/>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9" w:lineRule="exact"/>
        <w:rPr>
          <w:rFonts w:ascii="Arial" w:cs="Arial" w:eastAsia="Arial" w:hAnsi="Arial"/>
          <w:sz w:val="18"/>
          <w:szCs w:val="18"/>
          <w:color w:val="auto"/>
        </w:rPr>
      </w:pPr>
    </w:p>
    <w:p>
      <w:pPr>
        <w:ind w:left="1640" w:hanging="289"/>
        <w:spacing w:after="0"/>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240" w:hanging="415"/>
        <w:spacing w:after="0" w:line="263"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9" w:right="7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w:t>
      </w:r>
    </w:p>
    <w:p>
      <w:pPr>
        <w:spacing w:after="0" w:line="35" w:lineRule="exact"/>
        <w:rPr>
          <w:sz w:val="20"/>
          <w:szCs w:val="20"/>
          <w:color w:val="auto"/>
        </w:rPr>
      </w:pPr>
    </w:p>
    <w:p>
      <w:pPr>
        <w:ind w:left="300"/>
        <w:spacing w:after="0" w:line="302" w:lineRule="auto"/>
        <w:rPr>
          <w:sz w:val="20"/>
          <w:szCs w:val="20"/>
          <w:color w:val="auto"/>
        </w:rPr>
      </w:pPr>
      <w:r>
        <w:rPr>
          <w:rFonts w:ascii="Arial" w:cs="Arial" w:eastAsia="Arial" w:hAnsi="Arial"/>
          <w:sz w:val="16"/>
          <w:szCs w:val="16"/>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92" w:lineRule="exact"/>
        <w:rPr>
          <w:sz w:val="20"/>
          <w:szCs w:val="20"/>
          <w:color w:val="auto"/>
        </w:rPr>
      </w:pPr>
    </w:p>
    <w:p>
      <w:pPr>
        <w:jc w:val="both"/>
        <w:ind w:left="300" w:right="40" w:firstLine="426"/>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jc w:val="both"/>
        <w:ind w:left="300" w:right="80" w:firstLine="426"/>
        <w:spacing w:after="0" w:line="301" w:lineRule="auto"/>
        <w:rPr>
          <w:sz w:val="20"/>
          <w:szCs w:val="20"/>
          <w:color w:val="auto"/>
        </w:rPr>
      </w:pPr>
      <w:r>
        <w:rPr>
          <w:rFonts w:ascii="Arial" w:cs="Arial" w:eastAsia="Arial" w:hAnsi="Arial"/>
          <w:sz w:val="16"/>
          <w:szCs w:val="16"/>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2"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1" w:lineRule="auto"/>
        <w:rPr>
          <w:sz w:val="20"/>
          <w:szCs w:val="20"/>
          <w:color w:val="auto"/>
        </w:rPr>
      </w:pPr>
      <w:r>
        <w:rPr>
          <w:rFonts w:ascii="Arial" w:cs="Arial" w:eastAsia="Arial" w:hAnsi="Arial"/>
          <w:sz w:val="17"/>
          <w:szCs w:val="17"/>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78" w:lineRule="exact"/>
        <w:rPr>
          <w:sz w:val="20"/>
          <w:szCs w:val="20"/>
          <w:color w:val="auto"/>
        </w:rPr>
      </w:pPr>
    </w:p>
    <w:p>
      <w:pPr>
        <w:ind w:left="300" w:right="120" w:firstLine="426"/>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7" w:lineRule="exact"/>
        <w:rPr>
          <w:sz w:val="20"/>
          <w:szCs w:val="20"/>
          <w:color w:val="auto"/>
        </w:rPr>
      </w:pPr>
    </w:p>
    <w:p>
      <w:pPr>
        <w:ind w:left="300" w:right="100" w:firstLine="426"/>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left="300" w:right="160" w:firstLine="426"/>
        <w:spacing w:after="0" w:line="279" w:lineRule="auto"/>
        <w:rPr>
          <w:sz w:val="20"/>
          <w:szCs w:val="20"/>
          <w:color w:val="auto"/>
        </w:rPr>
      </w:pPr>
      <w:r>
        <w:rPr>
          <w:rFonts w:ascii="Arial" w:cs="Arial" w:eastAsia="Arial" w:hAnsi="Arial"/>
          <w:sz w:val="17"/>
          <w:szCs w:val="17"/>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“Certain Relationships and Related Party Transactions—Exemptive Order” in our 2019 Annual Proxy.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7" w:lineRule="exact"/>
        <w:rPr>
          <w:sz w:val="20"/>
          <w:szCs w:val="20"/>
          <w:color w:val="auto"/>
        </w:rPr>
      </w:pPr>
    </w:p>
    <w:p>
      <w:pPr>
        <w:ind w:left="300" w:right="20" w:firstLine="426"/>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57" w:lineRule="exact"/>
        <w:rPr>
          <w:sz w:val="20"/>
          <w:szCs w:val="20"/>
          <w:color w:val="auto"/>
        </w:rPr>
      </w:pPr>
    </w:p>
    <w:p>
      <w:pPr>
        <w:ind w:left="300" w:right="100" w:firstLine="426"/>
        <w:spacing w:after="0" w:line="342" w:lineRule="auto"/>
        <w:rPr>
          <w:sz w:val="20"/>
          <w:szCs w:val="20"/>
          <w:color w:val="auto"/>
        </w:rPr>
      </w:pPr>
      <w:r>
        <w:rPr>
          <w:rFonts w:ascii="Arial" w:cs="Arial" w:eastAsia="Arial" w:hAnsi="Arial"/>
          <w:sz w:val="16"/>
          <w:szCs w:val="16"/>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93" w:lineRule="exact"/>
        <w:rPr>
          <w:sz w:val="20"/>
          <w:szCs w:val="20"/>
          <w:color w:val="auto"/>
        </w:rPr>
      </w:pPr>
    </w:p>
    <w:p>
      <w:pPr>
        <w:ind w:left="1240" w:hanging="41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and their affiliates for our future success;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legislation allows us to incur additional leverage;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93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77"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240" w:right="160" w:hanging="415"/>
        <w:spacing w:after="0" w:line="263"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240" w:hanging="415"/>
        <w:spacing w:after="0" w:line="311" w:lineRule="auto"/>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54" w:lineRule="exact"/>
        <w:rPr>
          <w:rFonts w:ascii="Arial" w:cs="Arial" w:eastAsia="Arial" w:hAnsi="Arial"/>
          <w:sz w:val="16"/>
          <w:szCs w:val="16"/>
          <w:color w:val="auto"/>
        </w:rPr>
      </w:pPr>
    </w:p>
    <w:p>
      <w:pPr>
        <w:ind w:left="1240" w:right="300" w:hanging="415"/>
        <w:spacing w:after="0" w:line="277"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7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998970" cy="2575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7"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93" w:lineRule="exact"/>
        <w:rPr>
          <w:rFonts w:ascii="Arial" w:cs="Arial" w:eastAsia="Arial" w:hAnsi="Arial"/>
          <w:sz w:val="18"/>
          <w:szCs w:val="18"/>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principal executive offices are located at 301 Commerce Street, Suite 3300, Fort Worth, TX 76102 and our telephone number is</w:t>
      </w:r>
    </w:p>
    <w:p>
      <w:pPr>
        <w:spacing w:after="0" w:line="35" w:lineRule="exact"/>
        <w:rPr>
          <w:sz w:val="20"/>
          <w:szCs w:val="20"/>
          <w:color w:val="auto"/>
        </w:rPr>
      </w:pPr>
    </w:p>
    <w:p>
      <w:pPr>
        <w:ind w:left="300" w:right="160" w:hanging="2"/>
        <w:spacing w:after="0" w:line="260"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559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00" w:right="200" w:firstLine="426"/>
        <w:spacing w:after="0" w:line="289"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66" w:lineRule="exact"/>
        <w:rPr>
          <w:sz w:val="20"/>
          <w:szCs w:val="20"/>
          <w:color w:val="auto"/>
        </w:rPr>
      </w:pPr>
    </w:p>
    <w:p>
      <w:pPr>
        <w:ind w:left="300" w:right="280" w:firstLine="426"/>
        <w:spacing w:after="0" w:line="296" w:lineRule="auto"/>
        <w:rPr>
          <w:sz w:val="20"/>
          <w:szCs w:val="20"/>
          <w:color w:val="auto"/>
        </w:rPr>
      </w:pPr>
      <w:r>
        <w:rPr>
          <w:rFonts w:ascii="Arial" w:cs="Arial" w:eastAsia="Arial" w:hAnsi="Arial"/>
          <w:sz w:val="16"/>
          <w:szCs w:val="16"/>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61" w:lineRule="exact"/>
        <w:rPr>
          <w:sz w:val="20"/>
          <w:szCs w:val="20"/>
          <w:color w:val="auto"/>
        </w:rPr>
      </w:pPr>
    </w:p>
    <w:p>
      <w:pPr>
        <w:ind w:left="300" w:right="300" w:firstLine="426"/>
        <w:spacing w:after="0" w:line="293" w:lineRule="auto"/>
        <w:rPr>
          <w:sz w:val="20"/>
          <w:szCs w:val="20"/>
          <w:color w:val="auto"/>
        </w:rPr>
      </w:pPr>
      <w:r>
        <w:rPr>
          <w:rFonts w:ascii="Arial" w:cs="Arial" w:eastAsia="Arial" w:hAnsi="Arial"/>
          <w:sz w:val="16"/>
          <w:szCs w:val="16"/>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20" w:type="dxa"/>
            <w:vAlign w:val="bottom"/>
          </w:tcPr>
          <w:p>
            <w:pPr>
              <w:ind w:left="1220"/>
              <w:spacing w:after="0"/>
              <w:rPr>
                <w:sz w:val="20"/>
                <w:szCs w:val="20"/>
                <w:color w:val="auto"/>
              </w:rPr>
            </w:pPr>
            <w:r>
              <w:rPr>
                <w:rFonts w:ascii="Arial" w:cs="Arial" w:eastAsia="Arial" w:hAnsi="Arial"/>
                <w:sz w:val="18"/>
                <w:szCs w:val="18"/>
                <w:color w:val="auto"/>
                <w:w w:val="94"/>
              </w:rPr>
              <w:t>Unless otherwise specified in a prospectus supplement, we intend to use the net proceeds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from the sale of our securities for general corporate purposes, which may include, among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other things, investing in portfolio companies in accordance with our investment objective</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of the proceeds from such offering. See “Use of Proceeds.”</w:t>
            </w:r>
          </w:p>
        </w:tc>
      </w:tr>
      <w:tr>
        <w:trPr>
          <w:trHeight w:val="459"/>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Symbol on the NYSE</w:t>
            </w:r>
          </w:p>
        </w:tc>
        <w:tc>
          <w:tcPr>
            <w:tcW w:w="8020" w:type="dxa"/>
            <w:vAlign w:val="bottom"/>
          </w:tcPr>
          <w:p>
            <w:pPr>
              <w:ind w:left="1220"/>
              <w:spacing w:after="0"/>
              <w:rPr>
                <w:sz w:val="20"/>
                <w:szCs w:val="20"/>
                <w:color w:val="auto"/>
              </w:rPr>
            </w:pPr>
            <w:r>
              <w:rPr>
                <w:rFonts w:ascii="Arial" w:cs="Arial" w:eastAsia="Arial" w:hAnsi="Arial"/>
                <w:sz w:val="18"/>
                <w:szCs w:val="18"/>
                <w:color w:val="auto"/>
              </w:rPr>
              <w:t>“TSLX”</w:t>
            </w:r>
          </w:p>
        </w:tc>
      </w:tr>
      <w:tr>
        <w:trPr>
          <w:trHeight w:val="458"/>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Distributions</w:t>
            </w: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To the extent we have earnings available for distribution, we expect to continue distributing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4"/>
              </w:rPr>
              <w:t>quarterly dividends to our stockholders. The specific tax characteristics of our distributions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will be reported to stockholders after the end of the calendar year. Future quarterly</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dividends, if any, will be determined by our Board. See “Price Range of Common Stock</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and Distributions.”</w:t>
            </w:r>
          </w:p>
        </w:tc>
      </w:tr>
      <w:tr>
        <w:trPr>
          <w:trHeight w:val="240"/>
        </w:trPr>
        <w:tc>
          <w:tcPr>
            <w:tcW w:w="30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00" w:type="dxa"/>
            <w:vAlign w:val="bottom"/>
          </w:tcPr>
          <w:p>
            <w:pPr>
              <w:spacing w:after="0"/>
              <w:rPr>
                <w:sz w:val="24"/>
                <w:szCs w:val="24"/>
                <w:color w:val="auto"/>
              </w:rPr>
            </w:pPr>
          </w:p>
        </w:tc>
        <w:tc>
          <w:tcPr>
            <w:tcW w:w="8020" w:type="dxa"/>
            <w:vAlign w:val="bottom"/>
          </w:tcPr>
          <w:p>
            <w:pPr>
              <w:ind w:left="24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4"/>
              </w:rPr>
              <w:t>To maintain our tax treatment as a RIC, we must make certain distributions. See “Material</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U.S. Federal Income Tax Considerations—Regulated Investment Company Classification.”</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Anti-Takeover Provisions</w:t>
            </w: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7"/>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9"/>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certain other measures adopted by us. See “Description of Our Capital Stock—Anti-</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Takeover Provisions.”</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Leverage</w:t>
            </w: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to finance a portion of our investments. As a result, we are exposed to the risks of leverage,</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perceived risks of such leverage. See “Regulation as a Business Development Company” in</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Part I, Item 1 of our 2018 Annual Report.</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Taxation</w:t>
            </w: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be subject to corporate-level U.S. federal income taxation only in respect of earnings that</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we retain and do not distribute.</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status as a RIC and to avoid being subject to corporate-level U.S. federal</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7"/>
              </w:rPr>
              <w:t>interest, gains from the sale or other disposition of stock or securities and other</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for tax purposes equal to at least 90% of our investment company taxable income and net</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7"/>
              </w:rPr>
              <w:t>As a RIC, we generally will not be subject to corporate-level U.S. federal income tax on</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4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40" w:type="dxa"/>
            <w:vAlign w:val="bottom"/>
          </w:tcPr>
          <w:p>
            <w:pPr>
              <w:ind w:left="22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30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7"/>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or gains were earned. See “Price Range of Common Stock and Distributions” and</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“Material U.S. Federal Income Tax Considerations.”</w:t>
            </w:r>
          </w:p>
        </w:tc>
      </w:tr>
      <w:tr>
        <w:trPr>
          <w:trHeight w:val="458"/>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Reinvestment Plan</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shares of our common stock, rather than receiving the cash distribution. If a stockholder</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elects to “opt out,” that stockholder will receive cash dividends or other distributions.</w:t>
            </w:r>
          </w:p>
        </w:tc>
      </w:tr>
      <w:tr>
        <w:trPr>
          <w:trHeight w:val="445"/>
        </w:trPr>
        <w:tc>
          <w:tcPr>
            <w:tcW w:w="3300" w:type="dxa"/>
            <w:vAlign w:val="bottom"/>
            <w:tcBorders>
              <w:left w:val="single" w:sz="8" w:color="auto"/>
            </w:tcBorders>
          </w:tcPr>
          <w:p>
            <w:pPr>
              <w:spacing w:after="0"/>
              <w:rPr>
                <w:sz w:val="24"/>
                <w:szCs w:val="24"/>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dividends will be reinvested, those stockholders will not receive cash with which to pay</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any applicable taxes on reinvested dividends. See “Dividend Reinvestment Plan.”</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Management Arrangements</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companies, see “Management Agreements” in Part I, Item 1 of our 2018 Annual Report</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and Note 3 to our consolidated financial statements in our 2019 Q1 Quarterly Report.</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Trading at a Discount</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that our shares may trade at a discount to our net asset value is separate and distinct from</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20" w:type="dxa"/>
            <w:vAlign w:val="bottom"/>
          </w:tcPr>
          <w:p>
            <w:pPr>
              <w:ind w:left="21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91"/>
              </w:rPr>
              <w:t>cannot predict whether our shares will trade at a price per share above, at or below net asset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value per share. See “Risk Factors—Risks Related to Offerings Pursuant to This</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Prospectus.”</w:t>
            </w:r>
          </w:p>
        </w:tc>
      </w:tr>
      <w:tr>
        <w:trPr>
          <w:trHeight w:val="458"/>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Available Information</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is a part, under the Securities Act. This registration statement contains additional</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information about us and the securities being offered by this prospectus. We are also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required to file periodic reports, current reports, proxy statements and other information</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with the SEC. This information is available on the SEC’s website at http://www.sec.gov.</w:t>
            </w:r>
          </w:p>
        </w:tc>
      </w:tr>
      <w:tr>
        <w:trPr>
          <w:trHeight w:val="445"/>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We maintain a website at http://www.tpgspecialtylending.com and make all of our periodic</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and current reports, proxy statements and other information available, free of charge, on or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through our website. Information on our website is not incorporated into or part of this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prospectus. You may also obtain such information free of charge by contacting us in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writing at 888 7th Avenue, 35th Floor, New York, NY 10106, Attention: TSLX Investor</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Relations, or by emailing us at IRTSL@tpg.com.</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 Incorporated by Reference</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The rules of the SEC allow us to incorporate by reference information into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The information incorporated by reference is considered to be a part of this prospectus,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information that we file later with the SEC will automatically update and supersede this</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2"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Sales load</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r>
      <w:tr>
        <w:trPr>
          <w:trHeight w:val="202"/>
        </w:trPr>
        <w:tc>
          <w:tcPr>
            <w:tcW w:w="79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5"/>
                <w:szCs w:val="15"/>
                <w:color w:val="auto"/>
              </w:rPr>
              <w:t>(5)</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r>
              <w:rPr>
                <w:rFonts w:ascii="Arial" w:cs="Arial" w:eastAsia="Arial" w:hAnsi="Arial"/>
                <w:sz w:val="15"/>
                <w:szCs w:val="15"/>
                <w:color w:val="auto"/>
              </w:rPr>
              <w:t>(6)</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Interest payments on borrowed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3.68%</w:t>
            </w:r>
            <w:r>
              <w:rPr>
                <w:rFonts w:ascii="Arial" w:cs="Arial" w:eastAsia="Arial" w:hAnsi="Arial"/>
                <w:sz w:val="15"/>
                <w:szCs w:val="15"/>
                <w:color w:val="auto"/>
              </w:rPr>
              <w:t>(7)</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 annual expenses</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10.76%</w:t>
            </w:r>
          </w:p>
        </w:tc>
      </w:tr>
    </w:tbl>
    <w:p>
      <w:pPr>
        <w:spacing w:after="0" w:line="214" w:lineRule="exact"/>
        <w:rPr>
          <w:sz w:val="20"/>
          <w:szCs w:val="20"/>
          <w:color w:val="auto"/>
        </w:rPr>
      </w:pPr>
    </w:p>
    <w:p>
      <w:pPr>
        <w:ind w:left="720" w:right="240" w:hanging="422"/>
        <w:spacing w:after="0" w:line="25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720" w:right="420" w:hanging="422"/>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720" w:right="140" w:hanging="422"/>
        <w:spacing w:after="0" w:line="281"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2" w:lineRule="exact"/>
        <w:rPr>
          <w:rFonts w:ascii="Arial" w:cs="Arial" w:eastAsia="Arial" w:hAnsi="Arial"/>
          <w:sz w:val="16"/>
          <w:szCs w:val="16"/>
          <w:color w:val="auto"/>
        </w:rPr>
      </w:pPr>
    </w:p>
    <w:p>
      <w:pPr>
        <w:ind w:left="720" w:right="400" w:hanging="422"/>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$1,063.2 million as of December 31, 2018.</w:t>
      </w:r>
    </w:p>
    <w:p>
      <w:pPr>
        <w:ind w:left="720" w:hanging="422"/>
        <w:spacing w:after="0" w:line="252"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9" w:right="6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62" w:lineRule="exact"/>
        <w:rPr>
          <w:sz w:val="20"/>
          <w:szCs w:val="20"/>
          <w:color w:val="auto"/>
        </w:rPr>
      </w:pPr>
    </w:p>
    <w:p>
      <w:pPr>
        <w:ind w:left="720" w:right="60"/>
        <w:spacing w:after="0" w:line="279" w:lineRule="auto"/>
        <w:rPr>
          <w:sz w:val="20"/>
          <w:szCs w:val="20"/>
          <w:color w:val="auto"/>
        </w:rPr>
      </w:pPr>
      <w:r>
        <w:rPr>
          <w:rFonts w:ascii="Arial" w:cs="Arial" w:eastAsia="Arial" w:hAnsi="Arial"/>
          <w:sz w:val="17"/>
          <w:szCs w:val="17"/>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63" w:lineRule="exact"/>
        <w:rPr>
          <w:sz w:val="20"/>
          <w:szCs w:val="20"/>
          <w:color w:val="auto"/>
        </w:rPr>
      </w:pPr>
    </w:p>
    <w:p>
      <w:pPr>
        <w:ind w:left="720" w:right="200"/>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70" w:lineRule="exact"/>
        <w:rPr>
          <w:sz w:val="20"/>
          <w:szCs w:val="20"/>
          <w:color w:val="auto"/>
        </w:rPr>
      </w:pPr>
    </w:p>
    <w:p>
      <w:pPr>
        <w:jc w:val="both"/>
        <w:ind w:left="720" w:right="60" w:hanging="422"/>
        <w:spacing w:after="0" w:line="259"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720" w:right="4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7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69" w:lineRule="exact"/>
        <w:rPr>
          <w:rFonts w:ascii="Arial" w:cs="Arial" w:eastAsia="Arial" w:hAnsi="Arial"/>
          <w:sz w:val="18"/>
          <w:szCs w:val="18"/>
          <w:color w:val="auto"/>
        </w:rPr>
      </w:pPr>
    </w:p>
    <w:p>
      <w:pPr>
        <w:ind w:left="720" w:right="20"/>
        <w:spacing w:after="0" w:line="263"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75" w:lineRule="exact"/>
        <w:rPr>
          <w:rFonts w:ascii="Arial" w:cs="Arial" w:eastAsia="Arial" w:hAnsi="Arial"/>
          <w:sz w:val="18"/>
          <w:szCs w:val="18"/>
          <w:color w:val="auto"/>
        </w:rPr>
      </w:pPr>
    </w:p>
    <w:p>
      <w:pPr>
        <w:ind w:left="720" w:right="340"/>
        <w:spacing w:after="0" w:line="286" w:lineRule="auto"/>
        <w:rPr>
          <w:rFonts w:ascii="Arial" w:cs="Arial" w:eastAsia="Arial" w:hAnsi="Arial"/>
          <w:sz w:val="18"/>
          <w:szCs w:val="18"/>
          <w:color w:val="auto"/>
        </w:rPr>
      </w:pPr>
      <w:r>
        <w:rPr>
          <w:rFonts w:ascii="Arial" w:cs="Arial" w:eastAsia="Arial" w:hAnsi="Arial"/>
          <w:sz w:val="17"/>
          <w:szCs w:val="17"/>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70" w:lineRule="exact"/>
        <w:rPr>
          <w:rFonts w:ascii="Arial" w:cs="Arial" w:eastAsia="Arial" w:hAnsi="Arial"/>
          <w:sz w:val="18"/>
          <w:szCs w:val="18"/>
          <w:color w:val="auto"/>
        </w:rPr>
      </w:pPr>
    </w:p>
    <w:p>
      <w:pPr>
        <w:ind w:left="720" w:right="540" w:hanging="422"/>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spacing w:after="0" w:line="284" w:lineRule="auto"/>
        <w:rPr>
          <w:sz w:val="20"/>
          <w:szCs w:val="20"/>
          <w:color w:val="auto"/>
        </w:rPr>
      </w:pPr>
      <w:r>
        <w:rPr>
          <w:rFonts w:ascii="Arial" w:cs="Arial" w:eastAsia="Arial" w:hAnsi="Arial"/>
          <w:sz w:val="16"/>
          <w:szCs w:val="16"/>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720" w:right="60" w:hanging="422"/>
        <w:spacing w:after="0" w:line="273"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300" w:right="180" w:firstLine="426"/>
        <w:spacing w:after="0" w:line="273"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3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3 years</w:t>
            </w:r>
          </w:p>
        </w:tc>
        <w:tc>
          <w:tcPr>
            <w:tcW w:w="3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6"/>
              </w:rPr>
              <w:t>10 years</w:t>
            </w:r>
          </w:p>
        </w:tc>
      </w:tr>
      <w:tr>
        <w:trPr>
          <w:trHeight w:val="182"/>
        </w:trPr>
        <w:tc>
          <w:tcPr>
            <w:tcW w:w="7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  88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$ 253</w:t>
            </w: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$ 407</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8" w:lineRule="exact"/>
        <w:rPr>
          <w:sz w:val="20"/>
          <w:szCs w:val="20"/>
          <w:color w:val="auto"/>
        </w:rPr>
      </w:pPr>
    </w:p>
    <w:p>
      <w:pPr>
        <w:ind w:left="300" w:right="580" w:firstLine="426"/>
        <w:spacing w:after="0" w:line="312"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501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998970" cy="4650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300" w:right="220" w:firstLine="426"/>
        <w:spacing w:after="0" w:line="273"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78" w:lineRule="exact"/>
        <w:rPr>
          <w:sz w:val="20"/>
          <w:szCs w:val="20"/>
          <w:color w:val="auto"/>
        </w:rPr>
      </w:pPr>
    </w:p>
    <w:p>
      <w:pPr>
        <w:ind w:left="300" w:right="380" w:firstLine="426"/>
        <w:spacing w:after="0" w:line="293" w:lineRule="auto"/>
        <w:rPr>
          <w:sz w:val="20"/>
          <w:szCs w:val="20"/>
          <w:color w:val="auto"/>
        </w:rPr>
      </w:pPr>
      <w:r>
        <w:rPr>
          <w:rFonts w:ascii="Arial" w:cs="Arial" w:eastAsia="Arial" w:hAnsi="Arial"/>
          <w:sz w:val="16"/>
          <w:szCs w:val="16"/>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10"/>
            <w:vMerge w:val="restart"/>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in millions, except per share amounts)</w:t>
            </w:r>
          </w:p>
        </w:tc>
        <w:tc>
          <w:tcPr>
            <w:tcW w:w="900" w:type="dxa"/>
            <w:vAlign w:val="bottom"/>
          </w:tcPr>
          <w:p>
            <w:pPr>
              <w:spacing w:after="0"/>
              <w:rPr>
                <w:sz w:val="14"/>
                <w:szCs w:val="14"/>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$52.5</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$57.8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261.9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210.9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Expenses</w:t>
            </w:r>
          </w:p>
        </w:tc>
        <w:tc>
          <w:tcPr>
            <w:tcW w:w="9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26.6</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 (Loss)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Net Realized Gain (Loss)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$0.59</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gridSpan w:val="2"/>
          </w:tcPr>
          <w:p>
            <w:pPr>
              <w:jc w:val="right"/>
              <w:ind w:right="30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10"/>
            <w:vMerge w:val="restart"/>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1,824.9</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1,706.0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1,693.7</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1,657.4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1,485.7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1,263.5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1,720.2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1,506.5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debt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724.5</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608.0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703.4</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680.7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642.4</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net assets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1,074.1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1,063.2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969.3</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952.2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820.7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5"/>
              </w:rPr>
              <w:t>Fair value of debt investments as a percentage of principal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call price</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hanging="42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720" w:right="140" w:hanging="422"/>
        <w:spacing w:after="0" w:line="281"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4" w:lineRule="exact"/>
        <w:rPr>
          <w:rFonts w:ascii="Arial" w:cs="Arial" w:eastAsia="Arial" w:hAnsi="Arial"/>
          <w:sz w:val="16"/>
          <w:szCs w:val="16"/>
          <w:color w:val="auto"/>
        </w:rPr>
      </w:pPr>
    </w:p>
    <w:p>
      <w:pPr>
        <w:ind w:left="720" w:right="160"/>
        <w:spacing w:after="0" w:line="250" w:lineRule="auto"/>
        <w:rPr>
          <w:rFonts w:ascii="Arial" w:cs="Arial" w:eastAsia="Arial" w:hAnsi="Arial"/>
          <w:sz w:val="16"/>
          <w:szCs w:val="16"/>
          <w:color w:val="auto"/>
        </w:rPr>
      </w:pPr>
      <w:r>
        <w:rPr>
          <w:rFonts w:ascii="Arial" w:cs="Arial" w:eastAsia="Arial" w:hAnsi="Arial"/>
          <w:sz w:val="18"/>
          <w:szCs w:val="18"/>
          <w:color w:val="auto"/>
        </w:rPr>
        <w:t>$17.8 million for the three months ended March 31, 2019 and the years ended December 31, 2018, 2017, 2016, 2015 and 2014 respectively. The corresponding impact on the total return calculation is not material.</w:t>
      </w:r>
    </w:p>
    <w:p>
      <w:pPr>
        <w:ind w:left="720" w:right="20" w:hanging="422"/>
        <w:spacing w:after="0" w:line="269" w:lineRule="auto"/>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76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QUARTERLY FINANCIAL DATA</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2"/>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$52,487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$25,849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$26,638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$12,107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$38,745</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16.34</w:t>
            </w:r>
          </w:p>
        </w:tc>
        <w:tc>
          <w:tcPr>
            <w:tcW w:w="60" w:type="dxa"/>
            <w:vAlign w:val="bottom"/>
          </w:tcPr>
          <w:p>
            <w:pPr>
              <w:spacing w:after="0"/>
              <w:rPr>
                <w:sz w:val="20"/>
                <w:szCs w:val="20"/>
                <w:color w:val="auto"/>
              </w:rPr>
            </w:pPr>
          </w:p>
        </w:tc>
      </w:tr>
      <w:tr>
        <w:trPr>
          <w:trHeight w:val="377"/>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$ 74,741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92"/>
              </w:rPr>
              <w:t>$63,004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$66,401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$57,767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2340" w:type="dxa"/>
            <w:vAlign w:val="bottom"/>
            <w:gridSpan w:val="7"/>
          </w:tcPr>
          <w:p>
            <w:pPr>
              <w:ind w:left="1680"/>
              <w:spacing w:after="0"/>
              <w:rPr>
                <w:sz w:val="20"/>
                <w:szCs w:val="20"/>
                <w:color w:val="auto"/>
              </w:rPr>
            </w:pPr>
            <w:r>
              <w:rPr>
                <w:rFonts w:ascii="Arial" w:cs="Arial" w:eastAsia="Arial" w:hAnsi="Arial"/>
                <w:sz w:val="18"/>
                <w:szCs w:val="18"/>
                <w:color w:val="auto"/>
                <w:w w:val="91"/>
              </w:rPr>
              <w:t>$ 30,634</w:t>
            </w:r>
          </w:p>
        </w:tc>
        <w:tc>
          <w:tcPr>
            <w:tcW w:w="140" w:type="dxa"/>
            <w:vAlign w:val="bottom"/>
          </w:tcPr>
          <w:p>
            <w:pPr>
              <w:spacing w:after="0"/>
              <w:rPr>
                <w:sz w:val="18"/>
                <w:szCs w:val="18"/>
                <w:color w:val="auto"/>
              </w:rPr>
            </w:pPr>
          </w:p>
        </w:tc>
        <w:tc>
          <w:tcPr>
            <w:tcW w:w="780" w:type="dxa"/>
            <w:vAlign w:val="bottom"/>
            <w:gridSpan w:val="6"/>
          </w:tcPr>
          <w:p>
            <w:pPr>
              <w:jc w:val="center"/>
              <w:ind w:left="93"/>
              <w:spacing w:after="0"/>
              <w:rPr>
                <w:sz w:val="20"/>
                <w:szCs w:val="20"/>
                <w:color w:val="auto"/>
              </w:rPr>
            </w:pPr>
            <w:r>
              <w:rPr>
                <w:rFonts w:ascii="Arial" w:cs="Arial" w:eastAsia="Arial" w:hAnsi="Arial"/>
                <w:sz w:val="18"/>
                <w:szCs w:val="18"/>
                <w:color w:val="auto"/>
                <w:w w:val="92"/>
              </w:rPr>
              <w:t>$30,711</w:t>
            </w:r>
          </w:p>
        </w:tc>
        <w:tc>
          <w:tcPr>
            <w:tcW w:w="2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$30,099</w:t>
            </w:r>
          </w:p>
        </w:tc>
        <w:tc>
          <w:tcPr>
            <w:tcW w:w="16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$26,581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40" w:type="dxa"/>
            <w:vAlign w:val="bottom"/>
            <w:gridSpan w:val="7"/>
            <w:shd w:val="clear" w:color="auto" w:fill="CCEEFF"/>
          </w:tcPr>
          <w:p>
            <w:pPr>
              <w:ind w:left="1680"/>
              <w:spacing w:after="0"/>
              <w:rPr>
                <w:sz w:val="20"/>
                <w:szCs w:val="20"/>
                <w:color w:val="auto"/>
              </w:rPr>
            </w:pPr>
            <w:r>
              <w:rPr>
                <w:rFonts w:ascii="Arial" w:cs="Arial" w:eastAsia="Arial" w:hAnsi="Arial"/>
                <w:sz w:val="18"/>
                <w:szCs w:val="18"/>
                <w:color w:val="auto"/>
                <w:w w:val="91"/>
              </w:rPr>
              <w:t>$ 44,107</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Arial" w:cs="Arial" w:eastAsia="Arial" w:hAnsi="Arial"/>
                <w:sz w:val="18"/>
                <w:szCs w:val="18"/>
                <w:color w:val="auto"/>
                <w:w w:val="92"/>
              </w:rPr>
              <w:t>$32,293</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$36,302</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$31,186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480" w:type="dxa"/>
            <w:vAlign w:val="bottom"/>
            <w:gridSpan w:val="8"/>
          </w:tcPr>
          <w:p>
            <w:pPr>
              <w:ind w:left="1680"/>
              <w:spacing w:after="0"/>
              <w:rPr>
                <w:sz w:val="20"/>
                <w:szCs w:val="20"/>
                <w:color w:val="auto"/>
              </w:rPr>
            </w:pPr>
            <w:r>
              <w:rPr>
                <w:rFonts w:ascii="Arial" w:cs="Arial" w:eastAsia="Arial" w:hAnsi="Arial"/>
                <w:sz w:val="18"/>
                <w:szCs w:val="18"/>
                <w:color w:val="auto"/>
              </w:rPr>
              <w:t>$(29,875)</w:t>
            </w:r>
          </w:p>
        </w:tc>
        <w:tc>
          <w:tcPr>
            <w:tcW w:w="780" w:type="dxa"/>
            <w:vAlign w:val="bottom"/>
            <w:gridSpan w:val="6"/>
          </w:tcPr>
          <w:p>
            <w:pPr>
              <w:jc w:val="center"/>
              <w:ind w:left="93"/>
              <w:spacing w:after="0"/>
              <w:rPr>
                <w:sz w:val="20"/>
                <w:szCs w:val="20"/>
                <w:color w:val="auto"/>
              </w:rPr>
            </w:pPr>
            <w:r>
              <w:rPr>
                <w:rFonts w:ascii="Arial" w:cs="Arial" w:eastAsia="Arial" w:hAnsi="Arial"/>
                <w:sz w:val="18"/>
                <w:szCs w:val="18"/>
                <w:color w:val="auto"/>
                <w:w w:val="99"/>
              </w:rPr>
              <w:t>$ 5,087</w:t>
            </w:r>
          </w:p>
        </w:tc>
        <w:tc>
          <w:tcPr>
            <w:tcW w:w="20" w:type="dxa"/>
            <w:vAlign w:val="bottom"/>
          </w:tcPr>
          <w:p>
            <w:pPr>
              <w:spacing w:after="0"/>
              <w:rPr>
                <w:sz w:val="18"/>
                <w:szCs w:val="18"/>
                <w:color w:val="auto"/>
              </w:rPr>
            </w:pPr>
          </w:p>
        </w:tc>
        <w:tc>
          <w:tcPr>
            <w:tcW w:w="980" w:type="dxa"/>
            <w:vAlign w:val="bottom"/>
            <w:gridSpan w:val="7"/>
          </w:tcPr>
          <w:p>
            <w:pPr>
              <w:jc w:val="right"/>
              <w:ind w:right="100"/>
              <w:spacing w:after="0"/>
              <w:rPr>
                <w:sz w:val="20"/>
                <w:szCs w:val="20"/>
                <w:color w:val="auto"/>
              </w:rPr>
            </w:pPr>
            <w:r>
              <w:rPr>
                <w:rFonts w:ascii="Arial" w:cs="Arial" w:eastAsia="Arial" w:hAnsi="Arial"/>
                <w:sz w:val="18"/>
                <w:szCs w:val="18"/>
                <w:color w:val="auto"/>
              </w:rPr>
              <w:t>$ (2,733)</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2,650</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40" w:type="dxa"/>
            <w:vAlign w:val="bottom"/>
            <w:gridSpan w:val="7"/>
            <w:shd w:val="clear" w:color="auto" w:fill="CCEEFF"/>
          </w:tcPr>
          <w:p>
            <w:pPr>
              <w:ind w:left="1680"/>
              <w:spacing w:after="0"/>
              <w:rPr>
                <w:sz w:val="20"/>
                <w:szCs w:val="20"/>
                <w:color w:val="auto"/>
              </w:rPr>
            </w:pPr>
            <w:r>
              <w:rPr>
                <w:rFonts w:ascii="Arial" w:cs="Arial" w:eastAsia="Arial" w:hAnsi="Arial"/>
                <w:sz w:val="18"/>
                <w:szCs w:val="18"/>
                <w:color w:val="auto"/>
                <w:w w:val="91"/>
              </w:rPr>
              <w:t>$ 14,232</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Arial" w:cs="Arial" w:eastAsia="Arial" w:hAnsi="Arial"/>
                <w:sz w:val="18"/>
                <w:szCs w:val="18"/>
                <w:color w:val="auto"/>
                <w:w w:val="92"/>
              </w:rPr>
              <w:t>$37,380</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$33,569</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$33,836</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800" w:type="dxa"/>
            <w:vAlign w:val="bottom"/>
            <w:gridSpan w:val="3"/>
          </w:tcPr>
          <w:p>
            <w:pPr>
              <w:ind w:left="1680"/>
              <w:spacing w:after="0"/>
              <w:rPr>
                <w:sz w:val="20"/>
                <w:szCs w:val="20"/>
                <w:color w:val="auto"/>
              </w:rPr>
            </w:pPr>
            <w:r>
              <w:rPr>
                <w:rFonts w:ascii="Arial" w:cs="Arial" w:eastAsia="Arial" w:hAnsi="Arial"/>
                <w:sz w:val="18"/>
                <w:szCs w:val="18"/>
                <w:color w:val="auto"/>
                <w:w w:val="99"/>
              </w:rPr>
              <w:t>$</w:t>
            </w:r>
          </w:p>
        </w:tc>
        <w:tc>
          <w:tcPr>
            <w:tcW w:w="540" w:type="dxa"/>
            <w:vAlign w:val="bottom"/>
            <w:gridSpan w:val="4"/>
          </w:tcPr>
          <w:p>
            <w:pPr>
              <w:ind w:left="140"/>
              <w:spacing w:after="0"/>
              <w:rPr>
                <w:sz w:val="20"/>
                <w:szCs w:val="20"/>
                <w:color w:val="auto"/>
              </w:rPr>
            </w:pPr>
            <w:r>
              <w:rPr>
                <w:rFonts w:ascii="Arial" w:cs="Arial" w:eastAsia="Arial" w:hAnsi="Arial"/>
                <w:sz w:val="18"/>
                <w:szCs w:val="18"/>
                <w:color w:val="auto"/>
                <w:w w:val="84"/>
              </w:rPr>
              <w:t>16.25</w:t>
            </w:r>
          </w:p>
        </w:tc>
        <w:tc>
          <w:tcPr>
            <w:tcW w:w="140" w:type="dxa"/>
            <w:vAlign w:val="bottom"/>
          </w:tcPr>
          <w:p>
            <w:pPr>
              <w:spacing w:after="0"/>
              <w:rPr>
                <w:sz w:val="20"/>
                <w:szCs w:val="20"/>
                <w:color w:val="auto"/>
              </w:rPr>
            </w:pPr>
          </w:p>
        </w:tc>
        <w:tc>
          <w:tcPr>
            <w:tcW w:w="780" w:type="dxa"/>
            <w:vAlign w:val="bottom"/>
            <w:gridSpan w:val="6"/>
          </w:tcPr>
          <w:p>
            <w:pPr>
              <w:jc w:val="center"/>
              <w:ind w:left="93"/>
              <w:spacing w:after="0"/>
              <w:rPr>
                <w:sz w:val="20"/>
                <w:szCs w:val="20"/>
                <w:color w:val="auto"/>
              </w:rPr>
            </w:pPr>
            <w:r>
              <w:rPr>
                <w:rFonts w:ascii="Arial" w:cs="Arial" w:eastAsia="Arial" w:hAnsi="Arial"/>
                <w:sz w:val="18"/>
                <w:szCs w:val="18"/>
                <w:color w:val="auto"/>
                <w:w w:val="99"/>
              </w:rPr>
              <w:t>$ 16.47</w:t>
            </w:r>
          </w:p>
        </w:tc>
        <w:tc>
          <w:tcPr>
            <w:tcW w:w="20" w:type="dxa"/>
            <w:vAlign w:val="bottom"/>
          </w:tcPr>
          <w:p>
            <w:pPr>
              <w:spacing w:after="0"/>
              <w:rPr>
                <w:sz w:val="20"/>
                <w:szCs w:val="20"/>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$ 16.36</w:t>
            </w:r>
          </w:p>
        </w:tc>
        <w:tc>
          <w:tcPr>
            <w:tcW w:w="160" w:type="dxa"/>
            <w:vAlign w:val="bottom"/>
          </w:tcPr>
          <w:p>
            <w:pPr>
              <w:spacing w:after="0"/>
              <w:rPr>
                <w:sz w:val="20"/>
                <w:szCs w:val="20"/>
                <w:color w:val="auto"/>
              </w:rPr>
            </w:pP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16.27</w:t>
            </w:r>
          </w:p>
        </w:tc>
        <w:tc>
          <w:tcPr>
            <w:tcW w:w="60" w:type="dxa"/>
            <w:vAlign w:val="bottom"/>
          </w:tcPr>
          <w:p>
            <w:pPr>
              <w:spacing w:after="0"/>
              <w:rPr>
                <w:sz w:val="20"/>
                <w:szCs w:val="20"/>
                <w:color w:val="auto"/>
              </w:rPr>
            </w:pPr>
          </w:p>
        </w:tc>
      </w:tr>
      <w:tr>
        <w:trPr>
          <w:trHeight w:val="377"/>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$48,825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$52,305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$58,819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$50,948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2240" w:type="dxa"/>
            <w:vAlign w:val="bottom"/>
            <w:gridSpan w:val="5"/>
          </w:tcPr>
          <w:p>
            <w:pPr>
              <w:jc w:val="right"/>
              <w:spacing w:after="0"/>
              <w:rPr>
                <w:sz w:val="20"/>
                <w:szCs w:val="20"/>
                <w:color w:val="auto"/>
              </w:rPr>
            </w:pPr>
            <w:r>
              <w:rPr>
                <w:rFonts w:ascii="Arial" w:cs="Arial" w:eastAsia="Arial" w:hAnsi="Arial"/>
                <w:sz w:val="18"/>
                <w:szCs w:val="18"/>
                <w:color w:val="auto"/>
              </w:rPr>
              <w:t>$21,946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6"/>
          </w:tcPr>
          <w:p>
            <w:pPr>
              <w:jc w:val="right"/>
              <w:ind w:right="120"/>
              <w:spacing w:after="0"/>
              <w:rPr>
                <w:sz w:val="20"/>
                <w:szCs w:val="20"/>
                <w:color w:val="auto"/>
              </w:rPr>
            </w:pPr>
            <w:r>
              <w:rPr>
                <w:rFonts w:ascii="Arial" w:cs="Arial" w:eastAsia="Arial" w:hAnsi="Arial"/>
                <w:sz w:val="18"/>
                <w:szCs w:val="18"/>
                <w:color w:val="auto"/>
                <w:w w:val="98"/>
              </w:rPr>
              <w:t>$21,376</w:t>
            </w:r>
          </w:p>
        </w:tc>
        <w:tc>
          <w:tcPr>
            <w:tcW w:w="2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$24,887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$22,429</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8"/>
              </w:rPr>
              <w:t>$30,929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$28,519</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780" w:type="dxa"/>
            <w:vAlign w:val="bottom"/>
            <w:gridSpan w:val="6"/>
          </w:tcPr>
          <w:p>
            <w:pPr>
              <w:jc w:val="right"/>
              <w:ind w:right="60"/>
              <w:spacing w:after="0"/>
              <w:rPr>
                <w:sz w:val="20"/>
                <w:szCs w:val="20"/>
                <w:color w:val="auto"/>
              </w:rPr>
            </w:pPr>
            <w:r>
              <w:rPr>
                <w:rFonts w:ascii="Arial" w:cs="Arial" w:eastAsia="Arial" w:hAnsi="Arial"/>
                <w:sz w:val="18"/>
                <w:szCs w:val="18"/>
                <w:color w:val="auto"/>
                <w:w w:val="97"/>
              </w:rPr>
              <w:t>$ (6,170)</w:t>
            </w:r>
          </w:p>
        </w:tc>
        <w:tc>
          <w:tcPr>
            <w:tcW w:w="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 (2,106)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$26,746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8"/>
              </w:rPr>
              <w:t>$24,759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$31,826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$28,278</w:t>
            </w:r>
          </w:p>
        </w:tc>
        <w:tc>
          <w:tcPr>
            <w:tcW w:w="60" w:type="dxa"/>
            <w:vAlign w:val="bottom"/>
            <w:shd w:val="clear" w:color="auto" w:fill="CCEEFF"/>
          </w:tcPr>
          <w:p>
            <w:pPr>
              <w:spacing w:after="0"/>
              <w:rPr>
                <w:sz w:val="18"/>
                <w:szCs w:val="18"/>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16.09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$ 16.09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$ 16.15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720" w:hanging="422"/>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65"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6"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080" w:right="8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Convertible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uncertainty between the U.S. and other countries with respect to trade policies, treaties and tariffs;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base interest rates, such as LIBOR, CDOR, BBSY, EURIBOR, the Federal Funds Effective Rate or the Prime Rate;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2019 Convertible Notes and the 2022 Convertible Notes.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76"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Rules 10b5-1 and 10b-18 under the Exchange Act, under which Goldman Sachs &amp; Co. LLC, as agent for us, will buy up to $50 million of our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in the aggregate during the period ending on the earlier of the date on which all the capital committed to the plan has been exhausted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30, 2019.</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57"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7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7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the board of directors and class voting rights on certain matters.</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1080" w:right="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Price Range</w:t>
            </w:r>
          </w:p>
        </w:tc>
        <w:tc>
          <w:tcPr>
            <w:tcW w:w="260" w:type="dxa"/>
            <w:vAlign w:val="bottom"/>
            <w:vMerge w:val="restart"/>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High Sales</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5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0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340" w:type="dxa"/>
            <w:vAlign w:val="bottom"/>
          </w:tcPr>
          <w:p>
            <w:pPr>
              <w:spacing w:after="0"/>
              <w:rPr>
                <w:sz w:val="10"/>
                <w:szCs w:val="10"/>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Low</w:t>
            </w: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0"/>
              </w:rPr>
              <w:t>Asset</w:t>
            </w:r>
          </w:p>
        </w:tc>
        <w:tc>
          <w:tcPr>
            <w:tcW w:w="10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$16.04</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$20.39</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$18.27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$16.15</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$20.99</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$20.31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$16.09</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$21.61</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$19.94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$16.09</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$21.12</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$19.80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$17.47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$16.36</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$19.19</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$17.51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$16.47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$18.04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$16.25</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$21.00</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$18.09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$16.34</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$20.99</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$18.44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6, 2019)</w:t>
            </w: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$20.29</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$20.01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9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40" w:right="54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dividends declared during the three months ended March 31, 2019 and years ended December 31, 2018 and 2017:</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w w:val="97"/>
              </w:rPr>
              <w:t>Dividend</w:t>
            </w:r>
            <w:r>
              <w:rPr>
                <w:rFonts w:ascii="Arial" w:cs="Arial" w:eastAsia="Arial" w:hAnsi="Arial"/>
                <w:sz w:val="12"/>
                <w:szCs w:val="12"/>
                <w:b w:val="1"/>
                <w:bCs w:val="1"/>
                <w:color w:val="auto"/>
                <w:w w:val="97"/>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6"/>
            <w:shd w:val="clear" w:color="auto" w:fill="CCEEFF"/>
          </w:tcPr>
          <w:p>
            <w:pPr>
              <w:jc w:val="center"/>
              <w:ind w:left="36"/>
              <w:spacing w:after="0" w:line="203" w:lineRule="exact"/>
              <w:rPr>
                <w:sz w:val="20"/>
                <w:szCs w:val="20"/>
                <w:color w:val="auto"/>
              </w:rPr>
            </w:pPr>
            <w:r>
              <w:rPr>
                <w:rFonts w:ascii="Arial" w:cs="Arial" w:eastAsia="Arial" w:hAnsi="Arial"/>
                <w:sz w:val="18"/>
                <w:szCs w:val="18"/>
                <w:color w:val="auto"/>
                <w:w w:val="90"/>
              </w:rPr>
              <w:t>Supplemental</w:t>
            </w: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gridSpan w:val="5"/>
            <w:shd w:val="clear" w:color="auto" w:fill="CCEEFF"/>
          </w:tcPr>
          <w:p>
            <w:pPr>
              <w:ind w:left="140"/>
              <w:spacing w:after="0" w:line="203" w:lineRule="exact"/>
              <w:rPr>
                <w:sz w:val="20"/>
                <w:szCs w:val="20"/>
                <w:color w:val="auto"/>
              </w:rPr>
            </w:pPr>
            <w:r>
              <w:rPr>
                <w:rFonts w:ascii="Arial" w:cs="Arial" w:eastAsia="Arial" w:hAnsi="Arial"/>
                <w:sz w:val="18"/>
                <w:szCs w:val="18"/>
                <w:color w:val="auto"/>
                <w:w w:val="96"/>
              </w:rPr>
              <w:t>February 28, 2019</w:t>
            </w: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29, 2019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76"/>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auto"/>
              </w:rPr>
              <w:t>March 15, 2019</w:t>
            </w:r>
          </w:p>
        </w:tc>
        <w:tc>
          <w:tcPr>
            <w:tcW w:w="26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3"/>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21, 2018</w:t>
            </w: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Supplemental</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4"/>
            <w:shd w:val="clear" w:color="auto" w:fill="CCEEFF"/>
          </w:tcPr>
          <w:p>
            <w:pPr>
              <w:ind w:left="100"/>
              <w:spacing w:after="0" w:line="203" w:lineRule="exact"/>
              <w:rPr>
                <w:sz w:val="20"/>
                <w:szCs w:val="20"/>
                <w:color w:val="auto"/>
              </w:rPr>
            </w:pPr>
            <w:r>
              <w:rPr>
                <w:rFonts w:ascii="Arial" w:cs="Arial" w:eastAsia="Arial" w:hAnsi="Arial"/>
                <w:sz w:val="18"/>
                <w:szCs w:val="18"/>
                <w:color w:val="auto"/>
              </w:rPr>
              <w:t>February 28, 2018</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jc w:val="center"/>
              <w:ind w:right="38"/>
              <w:spacing w:after="0" w:line="203" w:lineRule="exact"/>
              <w:rPr>
                <w:sz w:val="20"/>
                <w:szCs w:val="20"/>
                <w:color w:val="auto"/>
              </w:rPr>
            </w:pPr>
            <w:r>
              <w:rPr>
                <w:rFonts w:ascii="Arial" w:cs="Arial" w:eastAsia="Arial" w:hAnsi="Arial"/>
                <w:sz w:val="18"/>
                <w:szCs w:val="18"/>
                <w:color w:val="auto"/>
                <w:w w:val="91"/>
              </w:rPr>
              <w:t>March 30, 2018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3"/>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8"/>
                <w:szCs w:val="18"/>
                <w:color w:val="auto"/>
              </w:rPr>
            </w:pPr>
          </w:p>
        </w:tc>
        <w:tc>
          <w:tcPr>
            <w:tcW w:w="1920" w:type="dxa"/>
            <w:vAlign w:val="bottom"/>
            <w:gridSpan w:val="7"/>
          </w:tcPr>
          <w:p>
            <w:pPr>
              <w:jc w:val="center"/>
              <w:ind w:right="660"/>
              <w:spacing w:after="0"/>
              <w:rPr>
                <w:sz w:val="20"/>
                <w:szCs w:val="20"/>
                <w:color w:val="auto"/>
              </w:rPr>
            </w:pPr>
            <w:r>
              <w:rPr>
                <w:rFonts w:ascii="Arial" w:cs="Arial" w:eastAsia="Arial" w:hAnsi="Arial"/>
                <w:sz w:val="18"/>
                <w:szCs w:val="18"/>
                <w:color w:val="auto"/>
                <w:w w:val="91"/>
              </w:rPr>
              <w:t>March 15,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95"/>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Arial" w:cs="Arial" w:eastAsia="Arial" w:hAnsi="Arial"/>
                <w:sz w:val="18"/>
                <w:szCs w:val="18"/>
                <w:color w:val="auto"/>
                <w:w w:val="89"/>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740"/>
              <w:spacing w:after="0"/>
              <w:rPr>
                <w:sz w:val="20"/>
                <w:szCs w:val="20"/>
                <w:color w:val="auto"/>
              </w:rPr>
            </w:pPr>
            <w:r>
              <w:rPr>
                <w:rFonts w:ascii="Arial" w:cs="Arial" w:eastAsia="Arial" w:hAnsi="Arial"/>
                <w:sz w:val="18"/>
                <w:szCs w:val="18"/>
                <w:color w:val="auto"/>
                <w:w w:val="91"/>
              </w:rPr>
              <w:t>May 31, 2018</w:t>
            </w:r>
          </w:p>
        </w:tc>
        <w:tc>
          <w:tcPr>
            <w:tcW w:w="16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740"/>
              <w:spacing w:after="0"/>
              <w:rPr>
                <w:sz w:val="20"/>
                <w:szCs w:val="20"/>
                <w:color w:val="auto"/>
              </w:rPr>
            </w:pPr>
            <w:r>
              <w:rPr>
                <w:rFonts w:ascii="Arial" w:cs="Arial" w:eastAsia="Arial" w:hAnsi="Arial"/>
                <w:sz w:val="18"/>
                <w:szCs w:val="18"/>
                <w:color w:val="auto"/>
                <w:w w:val="87"/>
              </w:rPr>
              <w:t>June 15,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91"/>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Arial" w:cs="Arial" w:eastAsia="Arial" w:hAnsi="Arial"/>
                <w:sz w:val="18"/>
                <w:szCs w:val="18"/>
                <w:color w:val="auto"/>
                <w:w w:val="89"/>
              </w:rPr>
              <w:t>Supplemental</w:t>
            </w:r>
          </w:p>
        </w:tc>
        <w:tc>
          <w:tcPr>
            <w:tcW w:w="140" w:type="dxa"/>
            <w:vAlign w:val="bottom"/>
            <w:shd w:val="clear" w:color="auto" w:fill="CCEEFF"/>
          </w:tcPr>
          <w:p>
            <w:pPr>
              <w:spacing w:after="0"/>
              <w:rPr>
                <w:sz w:val="18"/>
                <w:szCs w:val="18"/>
                <w:color w:val="auto"/>
              </w:rPr>
            </w:pPr>
          </w:p>
        </w:tc>
        <w:tc>
          <w:tcPr>
            <w:tcW w:w="1920" w:type="dxa"/>
            <w:vAlign w:val="bottom"/>
            <w:gridSpan w:val="7"/>
            <w:shd w:val="clear" w:color="auto" w:fill="CCEEFF"/>
          </w:tcPr>
          <w:p>
            <w:pPr>
              <w:jc w:val="center"/>
              <w:ind w:right="680"/>
              <w:spacing w:after="0"/>
              <w:rPr>
                <w:sz w:val="20"/>
                <w:szCs w:val="20"/>
                <w:color w:val="auto"/>
              </w:rPr>
            </w:pPr>
            <w:r>
              <w:rPr>
                <w:rFonts w:ascii="Arial" w:cs="Arial" w:eastAsia="Arial" w:hAnsi="Arial"/>
                <w:sz w:val="18"/>
                <w:szCs w:val="18"/>
                <w:color w:val="auto"/>
                <w:w w:val="91"/>
              </w:rPr>
              <w:t>August 31, 2018</w:t>
            </w:r>
          </w:p>
        </w:tc>
        <w:tc>
          <w:tcPr>
            <w:tcW w:w="16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tcPr>
          <w:p>
            <w:pPr>
              <w:jc w:val="center"/>
              <w:ind w:right="540"/>
              <w:spacing w:after="0"/>
              <w:rPr>
                <w:sz w:val="20"/>
                <w:szCs w:val="20"/>
                <w:color w:val="auto"/>
              </w:rPr>
            </w:pPr>
            <w:r>
              <w:rPr>
                <w:rFonts w:ascii="Arial" w:cs="Arial" w:eastAsia="Arial" w:hAnsi="Arial"/>
                <w:sz w:val="18"/>
                <w:szCs w:val="18"/>
                <w:color w:val="auto"/>
                <w:w w:val="88"/>
              </w:rPr>
              <w:t>September 14,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6,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Arial" w:cs="Arial" w:eastAsia="Arial" w:hAnsi="Arial"/>
                <w:sz w:val="18"/>
                <w:szCs w:val="18"/>
                <w:color w:val="auto"/>
                <w:w w:val="89"/>
              </w:rPr>
              <w:t>Supplemental</w:t>
            </w:r>
          </w:p>
        </w:tc>
        <w:tc>
          <w:tcPr>
            <w:tcW w:w="2060" w:type="dxa"/>
            <w:vAlign w:val="bottom"/>
            <w:gridSpan w:val="8"/>
            <w:shd w:val="clear" w:color="auto" w:fill="CCEEFF"/>
          </w:tcPr>
          <w:p>
            <w:pPr>
              <w:jc w:val="center"/>
              <w:ind w:right="540"/>
              <w:spacing w:after="0"/>
              <w:rPr>
                <w:sz w:val="20"/>
                <w:szCs w:val="20"/>
                <w:color w:val="auto"/>
              </w:rPr>
            </w:pPr>
            <w:r>
              <w:rPr>
                <w:rFonts w:ascii="Arial" w:cs="Arial" w:eastAsia="Arial" w:hAnsi="Arial"/>
                <w:sz w:val="18"/>
                <w:szCs w:val="18"/>
                <w:color w:val="auto"/>
                <w:w w:val="91"/>
              </w:rPr>
              <w:t>November 30, 2018</w:t>
            </w:r>
          </w:p>
        </w:tc>
        <w:tc>
          <w:tcPr>
            <w:tcW w:w="16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100" w:type="dxa"/>
            <w:vAlign w:val="bottom"/>
          </w:tcPr>
          <w:p>
            <w:pPr>
              <w:spacing w:after="0"/>
              <w:rPr>
                <w:sz w:val="19"/>
                <w:szCs w:val="19"/>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tcPr>
          <w:p>
            <w:pPr>
              <w:jc w:val="center"/>
              <w:ind w:right="540"/>
              <w:spacing w:after="0"/>
              <w:rPr>
                <w:sz w:val="20"/>
                <w:szCs w:val="20"/>
                <w:color w:val="auto"/>
              </w:rPr>
            </w:pPr>
            <w:r>
              <w:rPr>
                <w:rFonts w:ascii="Arial" w:cs="Arial" w:eastAsia="Arial" w:hAnsi="Arial"/>
                <w:sz w:val="18"/>
                <w:szCs w:val="18"/>
                <w:color w:val="auto"/>
                <w:w w:val="88"/>
              </w:rPr>
              <w:t>December 14,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22, 2017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2"/>
              </w:rPr>
              <w:t>Base</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3"/>
            <w:shd w:val="clear" w:color="auto" w:fill="CCEEFF"/>
          </w:tcPr>
          <w:p>
            <w:pPr>
              <w:jc w:val="center"/>
              <w:ind w:right="200"/>
              <w:spacing w:after="0" w:line="203" w:lineRule="exact"/>
              <w:rPr>
                <w:sz w:val="20"/>
                <w:szCs w:val="20"/>
                <w:color w:val="auto"/>
              </w:rPr>
            </w:pPr>
            <w:r>
              <w:rPr>
                <w:rFonts w:ascii="Arial" w:cs="Arial" w:eastAsia="Arial" w:hAnsi="Arial"/>
                <w:sz w:val="18"/>
                <w:szCs w:val="18"/>
                <w:color w:val="auto"/>
                <w:w w:val="95"/>
              </w:rPr>
              <w:t>April 7, 2017</w:t>
            </w:r>
            <w:r>
              <w:rPr>
                <w:rFonts w:ascii="Arial" w:cs="Arial" w:eastAsia="Arial" w:hAnsi="Arial"/>
                <w:sz w:val="15"/>
                <w:szCs w:val="15"/>
                <w:color w:val="auto"/>
                <w:w w:val="95"/>
              </w:rPr>
              <w:t>(2)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gridSpan w:val="3"/>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5"/>
              </w:rPr>
              <w:t>April 28, 2017</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Arial" w:cs="Arial" w:eastAsia="Arial" w:hAnsi="Arial"/>
                <w:sz w:val="18"/>
                <w:szCs w:val="18"/>
                <w:color w:val="auto"/>
                <w:w w:val="91"/>
              </w:rPr>
              <w:t>May 31, 2017</w:t>
            </w:r>
          </w:p>
        </w:tc>
        <w:tc>
          <w:tcPr>
            <w:tcW w:w="260" w:type="dxa"/>
            <w:vAlign w:val="bottom"/>
          </w:tcPr>
          <w:p>
            <w:pPr>
              <w:spacing w:after="0"/>
              <w:rPr>
                <w:sz w:val="18"/>
                <w:szCs w:val="18"/>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Arial" w:cs="Arial" w:eastAsia="Arial" w:hAnsi="Arial"/>
                <w:sz w:val="18"/>
                <w:szCs w:val="18"/>
                <w:color w:val="auto"/>
                <w:w w:val="82"/>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620"/>
              <w:spacing w:after="0"/>
              <w:rPr>
                <w:sz w:val="20"/>
                <w:szCs w:val="20"/>
                <w:color w:val="auto"/>
              </w:rPr>
            </w:pPr>
            <w:r>
              <w:rPr>
                <w:rFonts w:ascii="Arial" w:cs="Arial" w:eastAsia="Arial" w:hAnsi="Arial"/>
                <w:sz w:val="18"/>
                <w:szCs w:val="18"/>
                <w:color w:val="auto"/>
                <w:w w:val="87"/>
              </w:rPr>
              <w:t>June 15, 2017</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Arial" w:cs="Arial" w:eastAsia="Arial" w:hAnsi="Arial"/>
                <w:sz w:val="18"/>
                <w:szCs w:val="18"/>
                <w:color w:val="auto"/>
                <w:w w:val="91"/>
              </w:rPr>
              <w:t>August 31, 2017</w:t>
            </w:r>
          </w:p>
        </w:tc>
        <w:tc>
          <w:tcPr>
            <w:tcW w:w="16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88"/>
              </w:rPr>
              <w:t>September 15, 2017</w:t>
            </w:r>
          </w:p>
        </w:tc>
        <w:tc>
          <w:tcPr>
            <w:tcW w:w="16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November 7,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Supplemental</w:t>
            </w:r>
          </w:p>
        </w:tc>
        <w:tc>
          <w:tcPr>
            <w:tcW w:w="2060" w:type="dxa"/>
            <w:vAlign w:val="bottom"/>
            <w:gridSpan w:val="8"/>
          </w:tcPr>
          <w:p>
            <w:pPr>
              <w:jc w:val="center"/>
              <w:ind w:right="420"/>
              <w:spacing w:after="0"/>
              <w:rPr>
                <w:sz w:val="20"/>
                <w:szCs w:val="20"/>
                <w:color w:val="auto"/>
              </w:rPr>
            </w:pPr>
            <w:r>
              <w:rPr>
                <w:rFonts w:ascii="Arial" w:cs="Arial" w:eastAsia="Arial" w:hAnsi="Arial"/>
                <w:sz w:val="18"/>
                <w:szCs w:val="18"/>
                <w:color w:val="auto"/>
                <w:w w:val="91"/>
              </w:rPr>
              <w:t>November 30, 2017</w:t>
            </w:r>
          </w:p>
        </w:tc>
        <w:tc>
          <w:tcPr>
            <w:tcW w:w="166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shd w:val="clear" w:color="auto" w:fill="CCEEFF"/>
          </w:tcPr>
          <w:p>
            <w:pPr>
              <w:jc w:val="center"/>
              <w:ind w:right="400"/>
              <w:spacing w:after="0"/>
              <w:rPr>
                <w:sz w:val="20"/>
                <w:szCs w:val="20"/>
                <w:color w:val="auto"/>
              </w:rPr>
            </w:pPr>
            <w:r>
              <w:rPr>
                <w:rFonts w:ascii="Arial" w:cs="Arial" w:eastAsia="Arial" w:hAnsi="Arial"/>
                <w:sz w:val="18"/>
                <w:szCs w:val="18"/>
                <w:color w:val="auto"/>
                <w:w w:val="89"/>
              </w:rPr>
              <w:t>December 15, 2017</w:t>
            </w:r>
          </w:p>
        </w:tc>
        <w:tc>
          <w:tcPr>
            <w:tcW w:w="16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20" w:hanging="424"/>
        <w:spacing w:after="0" w:line="274"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540" w:right="120" w:hanging="424"/>
        <w:spacing w:after="0" w:line="253"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93"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3"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00"/>
          </w:cols>
          <w:pgMar w:left="320" w:top="459" w:right="7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Involuntary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Treasury</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Coverage</w:t>
            </w: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5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700" w:type="dxa"/>
            <w:vAlign w:val="bottom"/>
            <w:gridSpan w:val="3"/>
            <w:vMerge w:val="continue"/>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Value Per Unit</w:t>
            </w:r>
            <w:r>
              <w:rPr>
                <w:rFonts w:ascii="Arial" w:cs="Arial" w:eastAsia="Arial" w:hAnsi="Arial"/>
                <w:sz w:val="12"/>
                <w:szCs w:val="12"/>
                <w:b w:val="1"/>
                <w:bCs w:val="1"/>
                <w:color w:val="auto"/>
                <w:w w:val="94"/>
              </w:rPr>
              <w:t>(4)</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2,329.5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2,445.9</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2,116.7</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320" w:hanging="424"/>
        <w:spacing w:after="0" w:line="258"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ind w:left="120" w:right="440"/>
        <w:spacing w:after="0" w:line="245" w:lineRule="auto"/>
        <w:rPr>
          <w:sz w:val="20"/>
          <w:szCs w:val="20"/>
          <w:color w:val="auto"/>
        </w:rPr>
      </w:pPr>
      <w:r>
        <w:rPr>
          <w:rFonts w:ascii="Arial" w:cs="Arial" w:eastAsia="Arial" w:hAnsi="Arial"/>
          <w:sz w:val="13"/>
          <w:szCs w:val="13"/>
          <w:b w:val="1"/>
          <w:bCs w:val="1"/>
          <w:color w:val="auto"/>
        </w:rPr>
        <w:t xml:space="preserve">Debt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(3)(5)(6)</w:t>
      </w:r>
    </w:p>
    <w:p>
      <w:pPr>
        <w:ind w:left="120"/>
        <w:spacing w:after="0" w:line="223" w:lineRule="auto"/>
        <w:rPr>
          <w:sz w:val="20"/>
          <w:szCs w:val="20"/>
          <w:color w:val="auto"/>
        </w:rPr>
      </w:pPr>
      <w:r>
        <w:rPr>
          <w:rFonts w:ascii="Arial" w:cs="Arial" w:eastAsia="Arial" w:hAnsi="Arial"/>
          <w:sz w:val="14"/>
          <w:szCs w:val="14"/>
          <w:b w:val="1"/>
          <w:bCs w:val="1"/>
          <w:color w:val="auto"/>
        </w:rPr>
        <w:t>Business services</w:t>
      </w:r>
    </w:p>
    <w:p>
      <w:pPr>
        <w:ind w:left="120"/>
        <w:spacing w:after="0"/>
        <w:rPr>
          <w:sz w:val="20"/>
          <w:szCs w:val="20"/>
          <w:color w:val="auto"/>
        </w:rPr>
      </w:pPr>
      <w:r>
        <w:rPr>
          <w:rFonts w:ascii="Arial" w:cs="Arial" w:eastAsia="Arial" w:hAnsi="Arial"/>
          <w:sz w:val="14"/>
          <w:szCs w:val="14"/>
          <w:color w:val="auto"/>
        </w:rPr>
        <w:t xml:space="preserve">Acceo Solutions, Inc. </w:t>
      </w:r>
      <w:r>
        <w:rPr>
          <w:rFonts w:ascii="Arial" w:cs="Arial" w:eastAsia="Arial" w:hAnsi="Arial"/>
          <w:sz w:val="12"/>
          <w:szCs w:val="12"/>
          <w:color w:val="auto"/>
        </w:rPr>
        <w:t>(3)(4)(5)</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12"/>
          <w:szCs w:val="12"/>
          <w:color w:val="auto"/>
        </w:rPr>
        <w:t>(3)</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Jive Software, Inc. </w:t>
      </w:r>
      <w:r>
        <w:rPr>
          <w:rFonts w:ascii="Arial" w:cs="Arial" w:eastAsia="Arial" w:hAnsi="Arial"/>
          <w:sz w:val="12"/>
          <w:szCs w:val="12"/>
          <w:color w:val="auto"/>
        </w:rPr>
        <w:t>(3)(5)</w:t>
      </w:r>
    </w:p>
    <w:p>
      <w:pPr>
        <w:ind w:left="120"/>
        <w:spacing w:after="0" w:line="221" w:lineRule="auto"/>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(3)</w:t>
      </w:r>
    </w:p>
    <w:p>
      <w:pPr>
        <w:ind w:left="120"/>
        <w:spacing w:after="0" w:line="221" w:lineRule="auto"/>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(3)(5)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12"/>
          <w:szCs w:val="12"/>
          <w:color w:val="auto"/>
        </w:rPr>
        <w:t>(3)</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Chemicals</w:t>
      </w:r>
    </w:p>
    <w:p>
      <w:pPr>
        <w:ind w:left="120"/>
        <w:spacing w:after="0" w:line="226" w:lineRule="auto"/>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(3)</w:t>
      </w:r>
    </w:p>
    <w:p>
      <w:pPr>
        <w:ind w:left="120"/>
        <w:spacing w:after="0" w:line="221" w:lineRule="auto"/>
        <w:rPr>
          <w:sz w:val="20"/>
          <w:szCs w:val="20"/>
          <w:color w:val="auto"/>
        </w:rPr>
      </w:pPr>
      <w:r>
        <w:rPr>
          <w:rFonts w:ascii="Arial" w:cs="Arial" w:eastAsia="Arial" w:hAnsi="Arial"/>
          <w:sz w:val="14"/>
          <w:szCs w:val="14"/>
          <w:b w:val="1"/>
          <w:bCs w:val="1"/>
          <w:color w:val="auto"/>
        </w:rPr>
        <w:t>Education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Curriculum Associates, LLC </w:t>
      </w:r>
      <w:r>
        <w:rPr>
          <w:rFonts w:ascii="Arial" w:cs="Arial" w:eastAsia="Arial" w:hAnsi="Arial"/>
          <w:sz w:val="12"/>
          <w:szCs w:val="12"/>
          <w:color w:val="auto"/>
        </w:rPr>
        <w:t>(3)(5)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Frontline Technologies Group, LLC </w:t>
      </w:r>
      <w:r>
        <w:rPr>
          <w:rFonts w:ascii="Arial" w:cs="Arial" w:eastAsia="Arial" w:hAnsi="Arial"/>
          <w:sz w:val="11"/>
          <w:szCs w:val="11"/>
          <w:color w:val="auto"/>
        </w:rPr>
        <w:t>(3)</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Illuminate Education, Inc.</w:t>
      </w:r>
      <w:r>
        <w:rPr>
          <w:rFonts w:ascii="Arial" w:cs="Arial" w:eastAsia="Arial" w:hAnsi="Arial"/>
          <w:sz w:val="12"/>
          <w:szCs w:val="12"/>
          <w:color w:val="auto"/>
        </w:rPr>
        <w:t>(3)(5)</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Electronics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Monitronics International, Inc. </w:t>
      </w:r>
      <w:r>
        <w:rPr>
          <w:rFonts w:ascii="Arial" w:cs="Arial" w:eastAsia="Arial" w:hAnsi="Arial"/>
          <w:sz w:val="12"/>
          <w:szCs w:val="12"/>
          <w:color w:val="auto"/>
        </w:rPr>
        <w:t>(3)(11)</w:t>
      </w:r>
    </w:p>
    <w:p>
      <w:pPr>
        <w:spacing w:after="0" w:line="1" w:lineRule="exact"/>
        <w:rPr>
          <w:sz w:val="20"/>
          <w:szCs w:val="20"/>
          <w:color w:val="auto"/>
        </w:rPr>
      </w:pPr>
    </w:p>
    <w:p>
      <w:pPr>
        <w:ind w:left="120" w:right="700"/>
        <w:spacing w:after="0" w:line="229" w:lineRule="auto"/>
        <w:rPr>
          <w:sz w:val="20"/>
          <w:szCs w:val="20"/>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 xml:space="preserve">AppStar Financial, LLC </w:t>
      </w:r>
      <w:r>
        <w:rPr>
          <w:rFonts w:ascii="Arial" w:cs="Arial" w:eastAsia="Arial" w:hAnsi="Arial"/>
          <w:sz w:val="12"/>
          <w:szCs w:val="12"/>
          <w:color w:val="auto"/>
        </w:rPr>
        <w:t>(3)</w:t>
      </w:r>
      <w:r>
        <w:rPr>
          <w:rFonts w:ascii="Arial" w:cs="Arial" w:eastAsia="Arial" w:hAnsi="Arial"/>
          <w:sz w:val="14"/>
          <w:szCs w:val="14"/>
          <w:color w:val="auto"/>
        </w:rPr>
        <w:t xml:space="preserve"> AvidXchange, Inc. </w:t>
      </w:r>
      <w:r>
        <w:rPr>
          <w:rFonts w:ascii="Arial" w:cs="Arial" w:eastAsia="Arial" w:hAnsi="Arial"/>
          <w:sz w:val="12"/>
          <w:szCs w:val="12"/>
          <w:color w:val="auto"/>
        </w:rPr>
        <w:t>(3)</w:t>
      </w:r>
      <w:r>
        <w:rPr>
          <w:rFonts w:ascii="Arial" w:cs="Arial" w:eastAsia="Arial" w:hAnsi="Arial"/>
          <w:sz w:val="14"/>
          <w:szCs w:val="14"/>
          <w:color w:val="auto"/>
        </w:rPr>
        <w:t xml:space="preserve"> G Treasury SS, LLC </w:t>
      </w:r>
      <w:r>
        <w:rPr>
          <w:rFonts w:ascii="Arial" w:cs="Arial" w:eastAsia="Arial" w:hAnsi="Arial"/>
          <w:sz w:val="12"/>
          <w:szCs w:val="12"/>
          <w:color w:val="auto"/>
        </w:rPr>
        <w:t>(3)</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GC Agile Holdings Limited </w:t>
      </w:r>
      <w:r>
        <w:rPr>
          <w:rFonts w:ascii="Arial" w:cs="Arial" w:eastAsia="Arial" w:hAnsi="Arial"/>
          <w:sz w:val="12"/>
          <w:szCs w:val="12"/>
          <w:color w:val="auto"/>
        </w:rPr>
        <w:t>(3)(4)</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Government Brands, LLC </w:t>
      </w:r>
      <w:r>
        <w:rPr>
          <w:rFonts w:ascii="Arial" w:cs="Arial" w:eastAsia="Arial" w:hAnsi="Arial"/>
          <w:sz w:val="12"/>
          <w:szCs w:val="12"/>
          <w:color w:val="auto"/>
        </w:rPr>
        <w:t>(3)</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PayLease, LLC </w:t>
      </w:r>
      <w:r>
        <w:rPr>
          <w:rFonts w:ascii="Arial" w:cs="Arial" w:eastAsia="Arial" w:hAnsi="Arial"/>
          <w:sz w:val="12"/>
          <w:szCs w:val="12"/>
          <w:color w:val="auto"/>
        </w:rPr>
        <w:t>(3)</w:t>
      </w:r>
    </w:p>
    <w:p>
      <w:pPr>
        <w:ind w:left="120"/>
        <w:spacing w:after="0"/>
        <w:rPr>
          <w:sz w:val="20"/>
          <w:szCs w:val="20"/>
          <w:color w:val="auto"/>
        </w:rPr>
      </w:pPr>
      <w:r>
        <w:rPr>
          <w:rFonts w:ascii="Arial" w:cs="Arial" w:eastAsia="Arial" w:hAnsi="Arial"/>
          <w:sz w:val="14"/>
          <w:szCs w:val="14"/>
          <w:color w:val="auto"/>
        </w:rPr>
        <w:t xml:space="preserve">PaySimple, Inc. </w:t>
      </w:r>
      <w:r>
        <w:rPr>
          <w:rFonts w:ascii="Arial" w:cs="Arial" w:eastAsia="Arial" w:hAnsi="Arial"/>
          <w:sz w:val="12"/>
          <w:szCs w:val="12"/>
          <w:color w:val="auto"/>
        </w:rPr>
        <w:t>(3)(5)</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PrimeRevenue, Inc.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Initial</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Reference</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2"/>
        </w:trPr>
        <w:tc>
          <w:tcPr>
            <w:tcW w:w="25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Investment</w:t>
            </w:r>
          </w:p>
        </w:tc>
        <w:tc>
          <w:tcPr>
            <w:tcW w:w="200" w:type="dxa"/>
            <w:vAlign w:val="bottom"/>
            <w:vMerge w:val="restart"/>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Acquisition</w:t>
            </w: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Rate and</w:t>
            </w: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Spread</w:t>
            </w:r>
          </w:p>
        </w:tc>
        <w:tc>
          <w:tcPr>
            <w:tcW w:w="26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40" w:type="dxa"/>
            <w:vAlign w:val="bottom"/>
          </w:tcPr>
          <w:p>
            <w:pPr>
              <w:spacing w:after="0"/>
              <w:rPr>
                <w:sz w:val="14"/>
                <w:szCs w:val="14"/>
                <w:color w:val="auto"/>
              </w:rPr>
            </w:pPr>
          </w:p>
        </w:tc>
        <w:tc>
          <w:tcPr>
            <w:tcW w:w="540" w:type="dxa"/>
            <w:vAlign w:val="bottom"/>
          </w:tcPr>
          <w:p>
            <w:pPr>
              <w:jc w:val="right"/>
              <w:ind w:right="89"/>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520" w:type="dxa"/>
            <w:vAlign w:val="bottom"/>
          </w:tcPr>
          <w:p>
            <w:pPr>
              <w:spacing w:after="0"/>
              <w:rPr>
                <w:sz w:val="20"/>
                <w:szCs w:val="20"/>
                <w:color w:val="auto"/>
              </w:rPr>
            </w:pPr>
            <w:r>
              <w:rPr>
                <w:rFonts w:ascii="Arial" w:cs="Arial" w:eastAsia="Arial" w:hAnsi="Arial"/>
                <w:sz w:val="14"/>
                <w:szCs w:val="14"/>
                <w:color w:val="auto"/>
                <w:w w:val="97"/>
              </w:rPr>
              <w:t>First-lien loan ($46,441 par, due 10/2023)</w:t>
            </w:r>
          </w:p>
        </w:tc>
        <w:tc>
          <w:tcPr>
            <w:tcW w:w="2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10/16/2018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45,781</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$ 45,628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(CAD 64,513 par, due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7/6/2018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C + 5.25%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7.23%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48,205</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47,444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7/2023)</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(CAD)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63,384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($52,381 par, due 8/2023)</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8/13/2018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51,676</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51,595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revolving loan ($2,095 par, due</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8/13/2018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+ 7.25%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2,061</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2,056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Arial" w:cs="Arial" w:eastAsia="Arial" w:hAnsi="Arial"/>
                <w:sz w:val="14"/>
                <w:szCs w:val="14"/>
                <w:color w:val="auto"/>
              </w:rPr>
              <w:t>8/2023)</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($51,435 par, due 6/2022)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6/12/2017</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+ 9.25%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50,085</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53,621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($68,880 par, due 1/2024)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+ 6.75%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67,328</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69,811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($74,789 par, due 4/2024)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3/30/2018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+ 6.75%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73,200</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75,163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($36,360 par, due 3/2022)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7/1/2016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35,970</w:t>
            </w:r>
          </w:p>
        </w:tc>
        <w:tc>
          <w:tcPr>
            <w:tcW w:w="2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36,457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328,525</w:t>
            </w:r>
          </w:p>
        </w:tc>
        <w:tc>
          <w:tcPr>
            <w:tcW w:w="240" w:type="dxa"/>
            <w:vAlign w:val="bottom"/>
            <w:vMerge w:val="continue"/>
          </w:tcPr>
          <w:p>
            <w:pPr>
              <w:spacing w:after="0"/>
              <w:rPr>
                <w:sz w:val="13"/>
                <w:szCs w:val="13"/>
                <w:color w:val="auto"/>
              </w:rPr>
            </w:pPr>
          </w:p>
        </w:tc>
        <w:tc>
          <w:tcPr>
            <w:tcW w:w="540" w:type="dxa"/>
            <w:vAlign w:val="bottom"/>
          </w:tcPr>
          <w:p>
            <w:pPr>
              <w:ind w:left="80"/>
              <w:spacing w:after="0" w:line="155" w:lineRule="exact"/>
              <w:rPr>
                <w:sz w:val="20"/>
                <w:szCs w:val="20"/>
                <w:color w:val="auto"/>
              </w:rPr>
            </w:pPr>
            <w:r>
              <w:rPr>
                <w:rFonts w:ascii="Arial" w:cs="Arial" w:eastAsia="Arial" w:hAnsi="Arial"/>
                <w:sz w:val="14"/>
                <w:szCs w:val="14"/>
                <w:color w:val="auto"/>
                <w:w w:val="86"/>
              </w:rPr>
              <w:t>336,147</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gridSpan w:val="2"/>
          </w:tcPr>
          <w:p>
            <w:pPr>
              <w:spacing w:after="0"/>
              <w:rPr>
                <w:sz w:val="20"/>
                <w:szCs w:val="20"/>
                <w:color w:val="auto"/>
              </w:rPr>
            </w:pPr>
            <w:r>
              <w:rPr>
                <w:rFonts w:ascii="Arial" w:cs="Arial" w:eastAsia="Arial" w:hAnsi="Arial"/>
                <w:sz w:val="14"/>
                <w:szCs w:val="14"/>
                <w:color w:val="auto"/>
                <w:w w:val="99"/>
              </w:rPr>
              <w:t>Second-lien loan ($3,341 par, due 10/2021)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10/31/2016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+ 12.00%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3,341</w:t>
            </w:r>
          </w:p>
        </w:tc>
        <w:tc>
          <w:tcPr>
            <w:tcW w:w="24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3,341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($49,625 par, due 2/2024)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2/28/2018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48,307</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50,617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($49,192 par, due 9/2023)</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9/18/2017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+ 6.50%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48,716</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49,192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($64,513 par, due 8/2022)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8/25/2017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63,512</w:t>
            </w:r>
          </w:p>
        </w:tc>
        <w:tc>
          <w:tcPr>
            <w:tcW w:w="2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63,706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160,535</w:t>
            </w:r>
          </w:p>
        </w:tc>
        <w:tc>
          <w:tcPr>
            <w:tcW w:w="240" w:type="dxa"/>
            <w:vAlign w:val="bottom"/>
            <w:vMerge w:val="continue"/>
          </w:tcPr>
          <w:p>
            <w:pPr>
              <w:spacing w:after="0"/>
              <w:rPr>
                <w:sz w:val="13"/>
                <w:szCs w:val="13"/>
                <w:color w:val="auto"/>
              </w:rPr>
            </w:pPr>
          </w:p>
        </w:tc>
        <w:tc>
          <w:tcPr>
            <w:tcW w:w="540" w:type="dxa"/>
            <w:vAlign w:val="bottom"/>
          </w:tcPr>
          <w:p>
            <w:pPr>
              <w:ind w:left="80"/>
              <w:spacing w:after="0" w:line="155" w:lineRule="exact"/>
              <w:rPr>
                <w:sz w:val="20"/>
                <w:szCs w:val="20"/>
                <w:color w:val="auto"/>
              </w:rPr>
            </w:pPr>
            <w:r>
              <w:rPr>
                <w:rFonts w:ascii="Arial" w:cs="Arial" w:eastAsia="Arial" w:hAnsi="Arial"/>
                <w:sz w:val="14"/>
                <w:szCs w:val="14"/>
                <w:color w:val="auto"/>
                <w:w w:val="86"/>
              </w:rPr>
              <w:t>163,515</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($1,164 par, due 9/2022)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1/2/2019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+ 5.50%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c>
          <w:tcPr>
            <w:tcW w:w="24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969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($18,056 par, due 8/2020)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8/18/2015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+ 7.50%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17,912</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18,207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($54,449 par, due 8/2020)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8/7/2015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54,133</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55,130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($30,749 par, due 4/2022)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+ 9.25%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30,196</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30,277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($32,910 par, due 6/2025)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1/31/2019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32,198</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32,310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($46,151 par, due 3/2023)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3/15/2018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+ 9.25%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45,325</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45,512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($59,807 par, due 7/2022)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7/28/2017</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+ 7.00%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58,892</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59,649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($59,621 par, due 3/2022)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4/17/2018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+ 8.25%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59,365</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59,173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($20,270 par, due 12/2023)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12/31/2018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+ 8.50%</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19,957</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20,204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PIK)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-4389120</wp:posOffset>
            </wp:positionV>
            <wp:extent cx="699516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-4200525</wp:posOffset>
            </wp:positionV>
            <wp:extent cx="699516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-4003675</wp:posOffset>
            </wp:positionV>
            <wp:extent cx="699516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6995160" cy="29146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-3609340</wp:posOffset>
            </wp:positionV>
            <wp:extent cx="699516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-3326130</wp:posOffset>
            </wp:positionV>
            <wp:extent cx="699516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-3138170</wp:posOffset>
            </wp:positionV>
            <wp:extent cx="699516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-2914650</wp:posOffset>
            </wp:positionV>
            <wp:extent cx="6995160"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-2726055</wp:posOffset>
            </wp:positionV>
            <wp:extent cx="699516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-2529205</wp:posOffset>
            </wp:positionV>
            <wp:extent cx="699516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-2306320</wp:posOffset>
            </wp:positionV>
            <wp:extent cx="6995160"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-2100580</wp:posOffset>
            </wp:positionV>
            <wp:extent cx="699516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-1903095</wp:posOffset>
            </wp:positionV>
            <wp:extent cx="6995160" cy="94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-1714500</wp:posOffset>
            </wp:positionV>
            <wp:extent cx="6995160"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-1234440</wp:posOffset>
            </wp:positionV>
            <wp:extent cx="6995160"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-763270</wp:posOffset>
            </wp:positionV>
            <wp:extent cx="6995160" cy="3771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380" w:space="680"/>
            <w:col w:w="802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80"/>
          </w:cols>
          <w:pgMar w:left="320" w:top="459" w:right="49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8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1"/>
              </w:rPr>
              <w:t>Reference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Company </w:t>
            </w:r>
            <w:r>
              <w:rPr>
                <w:rFonts w:ascii="Arial" w:cs="Arial" w:eastAsia="Arial" w:hAnsi="Arial"/>
                <w:sz w:val="12"/>
                <w:szCs w:val="12"/>
                <w:b w:val="1"/>
                <w:bCs w:val="1"/>
                <w:color w:val="auto"/>
                <w:w w:val="92"/>
              </w:rPr>
              <w:t>(1)</w:t>
            </w:r>
          </w:p>
        </w:tc>
        <w:tc>
          <w:tcPr>
            <w:tcW w:w="184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4"/>
              </w:rPr>
              <w:t>Acquisition</w:t>
            </w:r>
          </w:p>
        </w:tc>
        <w:tc>
          <w:tcPr>
            <w:tcW w:w="820" w:type="dxa"/>
            <w:vAlign w:val="bottom"/>
            <w:gridSpan w:val="2"/>
          </w:tcPr>
          <w:p>
            <w:pPr>
              <w:jc w:val="center"/>
              <w:ind w:right="108"/>
              <w:spacing w:after="0" w:line="151" w:lineRule="exact"/>
              <w:rPr>
                <w:sz w:val="20"/>
                <w:szCs w:val="20"/>
                <w:color w:val="auto"/>
              </w:rPr>
            </w:pPr>
            <w:r>
              <w:rPr>
                <w:rFonts w:ascii="Arial" w:cs="Arial" w:eastAsia="Arial" w:hAnsi="Arial"/>
                <w:sz w:val="14"/>
                <w:szCs w:val="14"/>
                <w:b w:val="1"/>
                <w:bCs w:val="1"/>
                <w:color w:val="auto"/>
                <w:w w:val="94"/>
              </w:rPr>
              <w:t>Rate and</w:t>
            </w:r>
          </w:p>
        </w:tc>
        <w:tc>
          <w:tcPr>
            <w:tcW w:w="760" w:type="dxa"/>
            <w:vAlign w:val="bottom"/>
            <w:gridSpan w:val="2"/>
          </w:tcPr>
          <w:p>
            <w:pPr>
              <w:jc w:val="right"/>
              <w:ind w:right="208"/>
              <w:spacing w:after="0" w:line="151" w:lineRule="exact"/>
              <w:rPr>
                <w:sz w:val="20"/>
                <w:szCs w:val="20"/>
                <w:color w:val="auto"/>
              </w:rPr>
            </w:pPr>
            <w:r>
              <w:rPr>
                <w:rFonts w:ascii="Arial" w:cs="Arial" w:eastAsia="Arial" w:hAnsi="Arial"/>
                <w:sz w:val="14"/>
                <w:szCs w:val="14"/>
                <w:b w:val="1"/>
                <w:bCs w:val="1"/>
                <w:color w:val="auto"/>
                <w:w w:val="90"/>
              </w:rPr>
              <w:t>Interest</w:t>
            </w:r>
          </w:p>
        </w:tc>
        <w:tc>
          <w:tcPr>
            <w:tcW w:w="820" w:type="dxa"/>
            <w:vAlign w:val="bottom"/>
            <w:gridSpan w:val="2"/>
          </w:tcPr>
          <w:p>
            <w:pPr>
              <w:jc w:val="right"/>
              <w:ind w:right="160"/>
              <w:spacing w:after="0" w:line="151" w:lineRule="exact"/>
              <w:rPr>
                <w:sz w:val="20"/>
                <w:szCs w:val="20"/>
                <w:color w:val="auto"/>
              </w:rPr>
            </w:pPr>
            <w:r>
              <w:rPr>
                <w:rFonts w:ascii="Arial" w:cs="Arial" w:eastAsia="Arial" w:hAnsi="Arial"/>
                <w:sz w:val="14"/>
                <w:szCs w:val="14"/>
                <w:b w:val="1"/>
                <w:bCs w:val="1"/>
                <w:color w:val="auto"/>
                <w:w w:val="93"/>
              </w:rPr>
              <w:t>Amortized</w:t>
            </w:r>
          </w:p>
        </w:tc>
        <w:tc>
          <w:tcPr>
            <w:tcW w:w="104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Fair Value</w:t>
            </w:r>
          </w:p>
        </w:tc>
        <w:tc>
          <w:tcPr>
            <w:tcW w:w="960" w:type="dxa"/>
            <w:vAlign w:val="bottom"/>
            <w:gridSpan w:val="2"/>
          </w:tcPr>
          <w:p>
            <w:pPr>
              <w:jc w:val="right"/>
              <w:ind w:right="148"/>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5"/>
        </w:trPr>
        <w:tc>
          <w:tcPr>
            <w:tcW w:w="78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8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center"/>
              <w:ind w:right="108"/>
              <w:spacing w:after="0" w:line="155" w:lineRule="exact"/>
              <w:rPr>
                <w:sz w:val="20"/>
                <w:szCs w:val="20"/>
                <w:color w:val="auto"/>
              </w:rPr>
            </w:pPr>
            <w:r>
              <w:rPr>
                <w:rFonts w:ascii="Arial" w:cs="Arial" w:eastAsia="Arial" w:hAnsi="Arial"/>
                <w:sz w:val="14"/>
                <w:szCs w:val="14"/>
                <w:b w:val="1"/>
                <w:bCs w:val="1"/>
                <w:color w:val="auto"/>
                <w:w w:val="92"/>
              </w:rPr>
              <w:t>Spread</w:t>
            </w:r>
          </w:p>
        </w:tc>
        <w:tc>
          <w:tcPr>
            <w:tcW w:w="760" w:type="dxa"/>
            <w:vAlign w:val="bottom"/>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840" w:type="dxa"/>
            <w:vAlign w:val="bottom"/>
          </w:tcPr>
          <w:p>
            <w:pPr>
              <w:jc w:val="right"/>
              <w:ind w:right="248"/>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96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35"/>
        </w:trPr>
        <w:tc>
          <w:tcPr>
            <w:tcW w:w="26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(3)(5)</w:t>
            </w:r>
          </w:p>
        </w:tc>
        <w:tc>
          <w:tcPr>
            <w:tcW w:w="360" w:type="dxa"/>
            <w:vAlign w:val="bottom"/>
            <w:tcBorders>
              <w:top w:val="single" w:sz="8" w:color="CCEEFF"/>
            </w:tcBorders>
            <w:shd w:val="clear" w:color="auto" w:fill="CCEEFF"/>
          </w:tcPr>
          <w:p>
            <w:pPr>
              <w:spacing w:after="0"/>
              <w:rPr>
                <w:sz w:val="11"/>
                <w:szCs w:val="11"/>
                <w:color w:val="auto"/>
              </w:rPr>
            </w:pPr>
          </w:p>
        </w:tc>
        <w:tc>
          <w:tcPr>
            <w:tcW w:w="26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First-lien loan ($28,693 par, due 1/2022)</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7/31/2017</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w w:val="90"/>
              </w:rPr>
              <w:t>L + 6.50</w:t>
            </w:r>
          </w:p>
        </w:tc>
        <w:tc>
          <w:tcPr>
            <w:tcW w:w="200" w:type="dxa"/>
            <w:vAlign w:val="bottom"/>
            <w:tcBorders>
              <w:top w:val="single" w:sz="8" w:color="CCEEFF"/>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9.00</w:t>
            </w:r>
          </w:p>
        </w:tc>
        <w:tc>
          <w:tcPr>
            <w:tcW w:w="260" w:type="dxa"/>
            <w:vAlign w:val="bottom"/>
            <w:tcBorders>
              <w:top w:val="single" w:sz="8" w:color="CCEEFF"/>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9"/>
              </w:rPr>
              <w:t>%</w:t>
            </w:r>
          </w:p>
        </w:tc>
        <w:tc>
          <w:tcPr>
            <w:tcW w:w="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28,195</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29,984</w:t>
            </w: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w:t>
            </w:r>
          </w:p>
        </w:tc>
        <w:tc>
          <w:tcPr>
            <w:tcW w:w="18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346,173</w:t>
            </w:r>
          </w:p>
        </w:tc>
        <w:tc>
          <w:tcPr>
            <w:tcW w:w="16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350,446</w:t>
            </w:r>
          </w:p>
        </w:tc>
        <w:tc>
          <w:tcPr>
            <w:tcW w:w="20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Ltd.</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($2,500 par, due 9/2023)</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9/21/2018</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11.30%</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11.30%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Convertible note ($2,500 par, due 9/2023)</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9/21/2018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8.00%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2,531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12"/>
                <w:szCs w:val="12"/>
                <w:color w:val="auto"/>
              </w:rPr>
              <w:t>(3)(5)</w:t>
            </w:r>
          </w:p>
        </w:tc>
        <w:tc>
          <w:tcPr>
            <w:tcW w:w="3140" w:type="dxa"/>
            <w:vAlign w:val="bottom"/>
            <w:gridSpan w:val="3"/>
          </w:tcPr>
          <w:p>
            <w:pPr>
              <w:ind w:left="360"/>
              <w:spacing w:after="0"/>
              <w:rPr>
                <w:sz w:val="20"/>
                <w:szCs w:val="20"/>
                <w:color w:val="auto"/>
              </w:rPr>
            </w:pPr>
            <w:r>
              <w:rPr>
                <w:rFonts w:ascii="Arial" w:cs="Arial" w:eastAsia="Arial" w:hAnsi="Arial"/>
                <w:sz w:val="14"/>
                <w:szCs w:val="14"/>
                <w:color w:val="auto"/>
              </w:rPr>
              <w:t>First-lien loan ($36,409 par, due 6/2022)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6/30/2017</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L + 8.00%</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10.50%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35,655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36,227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First-lien loan ($29,925 par, due 10/2023)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10/30/2018</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+ 7.00%</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9.50%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28,778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28,952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12"/>
                <w:szCs w:val="12"/>
                <w:color w:val="auto"/>
              </w:rPr>
              <w:t>(3)(5)</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($41,606 par, due 9/2020)</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9/30/2015</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+ 7.50%</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41,176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41,815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($27,590 par, due 9/2019)</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2/29/2016</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10.35%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26,712</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27,314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12"/>
                <w:szCs w:val="12"/>
                <w:color w:val="auto"/>
              </w:rPr>
              <w:t>(3)(5)</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($21,938 par, due 2/2024)</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2/11/2019</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21,317</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21,390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158,456</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160,535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12"/>
                <w:szCs w:val="12"/>
                <w:color w:val="auto"/>
              </w:rPr>
              <w:t>(3)(7)</w:t>
            </w:r>
          </w:p>
        </w:tc>
        <w:tc>
          <w:tcPr>
            <w:tcW w:w="314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rPr>
              <w:t>First-lien loan ($30,410 par, due 9/2019)</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9/29/2015</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+ 9.50%</w:t>
            </w:r>
          </w:p>
        </w:tc>
        <w:tc>
          <w:tcPr>
            <w:tcW w:w="760" w:type="dxa"/>
            <w:vAlign w:val="bottom"/>
            <w:gridSpan w:val="2"/>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12.10%</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28,556</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30,333</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4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First-lien revolving loan ($894 par, due</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9/29/2015</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L + 9.50%</w:t>
            </w:r>
          </w:p>
        </w:tc>
        <w:tc>
          <w:tcPr>
            <w:tcW w:w="760" w:type="dxa"/>
            <w:vAlign w:val="bottom"/>
            <w:gridSpan w:val="2"/>
          </w:tcPr>
          <w:p>
            <w:pPr>
              <w:jc w:val="right"/>
              <w:ind w:right="188"/>
              <w:spacing w:after="0" w:line="130" w:lineRule="exact"/>
              <w:rPr>
                <w:sz w:val="20"/>
                <w:szCs w:val="20"/>
                <w:color w:val="auto"/>
              </w:rPr>
            </w:pPr>
            <w:r>
              <w:rPr>
                <w:rFonts w:ascii="Arial" w:cs="Arial" w:eastAsia="Arial" w:hAnsi="Arial"/>
                <w:sz w:val="14"/>
                <w:szCs w:val="14"/>
                <w:color w:val="auto"/>
              </w:rPr>
              <w:t>12.00%</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894</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886</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9/2019)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29,450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31,219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(3)</w:t>
            </w:r>
          </w:p>
        </w:tc>
        <w:tc>
          <w:tcPr>
            <w:tcW w:w="314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rPr>
              <w:t>First-lien loan ($17,261 par, due 7/2023)</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7/23/2018</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+ 8.50%</w:t>
            </w:r>
          </w:p>
        </w:tc>
        <w:tc>
          <w:tcPr>
            <w:tcW w:w="760" w:type="dxa"/>
            <w:vAlign w:val="bottom"/>
            <w:gridSpan w:val="2"/>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11.13%</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17,011</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17,008</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2.50%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PageUp People Limited </w:t>
            </w:r>
            <w:r>
              <w:rPr>
                <w:rFonts w:ascii="Arial" w:cs="Arial" w:eastAsia="Arial" w:hAnsi="Arial"/>
                <w:sz w:val="12"/>
                <w:szCs w:val="12"/>
                <w:color w:val="auto"/>
              </w:rPr>
              <w:t>(3)(4)</w:t>
            </w:r>
          </w:p>
        </w:tc>
        <w:tc>
          <w:tcPr>
            <w:tcW w:w="314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First-lien loan (AUD 47,078 par, due</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1/11/2018</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B + 7.25%</w:t>
            </w:r>
          </w:p>
        </w:tc>
        <w:tc>
          <w:tcPr>
            <w:tcW w:w="760" w:type="dxa"/>
            <w:vAlign w:val="bottom"/>
            <w:gridSpan w:val="2"/>
          </w:tcPr>
          <w:p>
            <w:pPr>
              <w:jc w:val="right"/>
              <w:ind w:right="188"/>
              <w:spacing w:after="0" w:line="130" w:lineRule="exact"/>
              <w:rPr>
                <w:sz w:val="20"/>
                <w:szCs w:val="20"/>
                <w:color w:val="auto"/>
              </w:rPr>
            </w:pPr>
            <w:r>
              <w:rPr>
                <w:rFonts w:ascii="Arial" w:cs="Arial" w:eastAsia="Arial" w:hAnsi="Arial"/>
                <w:sz w:val="14"/>
                <w:szCs w:val="14"/>
                <w:color w:val="auto"/>
              </w:rPr>
              <w:t>9.27%</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36,372</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33,164</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12/2022)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(AUD 46,688)</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1.25%</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53,383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50,172</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Insurity,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($60,837 par, due 10/2020)</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10/31/2014</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9.18%</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60,593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61,293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(3)(5)</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($50,000 par, due 10/2023)</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6/30/2017</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+ 7.75%</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10.36%</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49,455</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49,250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110,048</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110,543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($37,715 par, due 1/2022)</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6/18/2018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+ 6.00%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37,184</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37,149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12"/>
                <w:szCs w:val="12"/>
                <w:color w:val="auto"/>
              </w:rPr>
              <w:t>(3)</w:t>
            </w:r>
          </w:p>
        </w:tc>
        <w:tc>
          <w:tcPr>
            <w:tcW w:w="3140" w:type="dxa"/>
            <w:vAlign w:val="bottom"/>
            <w:gridSpan w:val="3"/>
          </w:tcPr>
          <w:p>
            <w:pPr>
              <w:ind w:left="360"/>
              <w:spacing w:after="0"/>
              <w:rPr>
                <w:sz w:val="20"/>
                <w:szCs w:val="20"/>
                <w:color w:val="auto"/>
              </w:rPr>
            </w:pPr>
            <w:r>
              <w:rPr>
                <w:rFonts w:ascii="Arial" w:cs="Arial" w:eastAsia="Arial" w:hAnsi="Arial"/>
                <w:sz w:val="14"/>
                <w:szCs w:val="14"/>
                <w:color w:val="auto"/>
              </w:rPr>
              <w:t>First-lien loan ($54,700 par, due 10/2022)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10/3/2017</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L + 8.00%</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10.49%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53,699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54,260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90,883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91,409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ScentAir Technologies, Inc. </w:t>
            </w:r>
            <w:r>
              <w:rPr>
                <w:rFonts w:ascii="Arial" w:cs="Arial" w:eastAsia="Arial" w:hAnsi="Arial"/>
                <w:sz w:val="12"/>
                <w:szCs w:val="12"/>
                <w:color w:val="auto"/>
              </w:rPr>
              <w:t>(3)</w:t>
            </w:r>
          </w:p>
        </w:tc>
        <w:tc>
          <w:tcPr>
            <w:tcW w:w="31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First-lien loan ($19,986 par, due 12/2019)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12/30/2014</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+ 7.25%</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19,918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4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First-lien revolving loan ($1,393 par, due</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w w:val="99"/>
              </w:rPr>
              <w:t>12/30/2014</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L + 7.25%</w:t>
            </w:r>
          </w:p>
        </w:tc>
        <w:tc>
          <w:tcPr>
            <w:tcW w:w="76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9.75%</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1,387</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1,393</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40" w:type="dxa"/>
            <w:vAlign w:val="bottom"/>
            <w:gridSpan w:val="2"/>
          </w:tcPr>
          <w:p>
            <w:pPr>
              <w:ind w:left="360"/>
              <w:spacing w:after="0"/>
              <w:rPr>
                <w:sz w:val="20"/>
                <w:szCs w:val="20"/>
                <w:color w:val="auto"/>
              </w:rPr>
            </w:pPr>
            <w:r>
              <w:rPr>
                <w:rFonts w:ascii="Arial" w:cs="Arial" w:eastAsia="Arial" w:hAnsi="Arial"/>
                <w:sz w:val="14"/>
                <w:szCs w:val="14"/>
                <w:color w:val="auto"/>
              </w:rPr>
              <w:t>12/2019)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21,305</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21,379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Marketing services</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(3)(5)(6)</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($36,797 par, due 5/2023)</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36,243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36,153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rPr>
              <w:t>ABL FILO term loan ($13,000 par, due</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9/12/2017</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10.23%</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12,773</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12,967</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9/2022)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3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ind w:left="140"/>
              <w:spacing w:after="0"/>
              <w:rPr>
                <w:sz w:val="20"/>
                <w:szCs w:val="20"/>
                <w:color w:val="auto"/>
              </w:rPr>
            </w:pPr>
            <w:r>
              <w:rPr>
                <w:rFonts w:ascii="Arial" w:cs="Arial" w:eastAsia="Arial" w:hAnsi="Arial"/>
                <w:sz w:val="14"/>
                <w:szCs w:val="14"/>
                <w:b w:val="1"/>
                <w:bCs w:val="1"/>
                <w:color w:val="auto"/>
              </w:rPr>
              <w:t>fuels</w:t>
            </w: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12"/>
                <w:szCs w:val="12"/>
                <w:color w:val="auto"/>
              </w:rPr>
              <w:t>(3)</w:t>
            </w:r>
          </w:p>
        </w:tc>
        <w:tc>
          <w:tcPr>
            <w:tcW w:w="31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First-lien loan ($14,906 par, due 11/2023)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11/14/2018</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10.44%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14,512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14,383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Reference</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Company </w:t>
            </w:r>
            <w:r>
              <w:rPr>
                <w:rFonts w:ascii="Arial" w:cs="Arial" w:eastAsia="Arial" w:hAnsi="Arial"/>
                <w:sz w:val="12"/>
                <w:szCs w:val="12"/>
                <w:b w:val="1"/>
                <w:bCs w:val="1"/>
                <w:color w:val="auto"/>
                <w:w w:val="92"/>
              </w:rPr>
              <w:t>(1)</w:t>
            </w:r>
          </w:p>
        </w:tc>
        <w:tc>
          <w:tcPr>
            <w:tcW w:w="19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Rate and</w:t>
            </w: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8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8"/>
              </w:rPr>
              <w:t>Date</w:t>
            </w: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Spread</w:t>
            </w:r>
          </w:p>
        </w:tc>
        <w:tc>
          <w:tcPr>
            <w:tcW w:w="7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78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9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
        </w:trPr>
        <w:tc>
          <w:tcPr>
            <w:tcW w:w="27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(3)(7)</w:t>
            </w:r>
          </w:p>
        </w:tc>
        <w:tc>
          <w:tcPr>
            <w:tcW w:w="420" w:type="dxa"/>
            <w:vAlign w:val="bottom"/>
            <w:vMerge w:val="restart"/>
            <w:shd w:val="clear" w:color="auto" w:fill="CCEEFF"/>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700" w:type="dxa"/>
            <w:vAlign w:val="bottom"/>
            <w:gridSpan w:val="2"/>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First-lien loan ($17,429 par, due 6/2020)</w:t>
            </w:r>
          </w:p>
        </w:tc>
        <w:tc>
          <w:tcPr>
            <w:tcW w:w="1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6/29/2018</w:t>
            </w:r>
          </w:p>
        </w:tc>
        <w:tc>
          <w:tcPr>
            <w:tcW w:w="16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17,428</w:t>
            </w:r>
          </w:p>
        </w:tc>
        <w:tc>
          <w:tcPr>
            <w:tcW w:w="14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160" w:type="dxa"/>
            <w:vAlign w:val="bottom"/>
            <w:vMerge w:val="continue"/>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31,940</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31,595</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4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Ironwood Pharmaceuticals, Inc. </w:t>
            </w:r>
            <w:r>
              <w:rPr>
                <w:rFonts w:ascii="Arial" w:cs="Arial" w:eastAsia="Arial" w:hAnsi="Arial"/>
                <w:sz w:val="12"/>
                <w:szCs w:val="12"/>
                <w:color w:val="auto"/>
              </w:rPr>
              <w:t>(4)(5)(9)</w:t>
            </w:r>
          </w:p>
        </w:tc>
        <w:tc>
          <w:tcPr>
            <w:tcW w:w="3340" w:type="dxa"/>
            <w:vAlign w:val="bottom"/>
            <w:gridSpan w:val="3"/>
          </w:tcPr>
          <w:p>
            <w:pPr>
              <w:ind w:left="420"/>
              <w:spacing w:after="0"/>
              <w:rPr>
                <w:sz w:val="20"/>
                <w:szCs w:val="20"/>
                <w:color w:val="auto"/>
              </w:rPr>
            </w:pPr>
            <w:r>
              <w:rPr>
                <w:rFonts w:ascii="Arial" w:cs="Arial" w:eastAsia="Arial" w:hAnsi="Arial"/>
                <w:sz w:val="14"/>
                <w:szCs w:val="14"/>
                <w:color w:val="auto"/>
              </w:rPr>
              <w:t>Secured note ($30,610 par, due 9/2026)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1/5/2017</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8.38%</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8.38%</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30,493</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31,529</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12"/>
                <w:szCs w:val="12"/>
                <w:color w:val="auto"/>
              </w:rPr>
              <w:t>(4)(5)(9)</w:t>
            </w:r>
          </w:p>
        </w:tc>
        <w:tc>
          <w:tcPr>
            <w:tcW w:w="33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Secured note ($74,950 par, due 10/2020)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10/5/2015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76,824</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105,104</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108,353</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Retail and consumer products</w:t>
            </w:r>
          </w:p>
        </w:tc>
        <w:tc>
          <w:tcPr>
            <w:tcW w:w="4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12"/>
                <w:szCs w:val="12"/>
                <w:color w:val="auto"/>
              </w:rPr>
              <w:t>(3)</w:t>
            </w:r>
          </w:p>
        </w:tc>
        <w:tc>
          <w:tcPr>
            <w:tcW w:w="3340" w:type="dxa"/>
            <w:vAlign w:val="bottom"/>
            <w:gridSpan w:val="3"/>
          </w:tcPr>
          <w:p>
            <w:pPr>
              <w:ind w:left="420"/>
              <w:spacing w:after="0"/>
              <w:rPr>
                <w:sz w:val="20"/>
                <w:szCs w:val="20"/>
                <w:color w:val="auto"/>
              </w:rPr>
            </w:pPr>
            <w:r>
              <w:rPr>
                <w:rFonts w:ascii="Arial" w:cs="Arial" w:eastAsia="Arial" w:hAnsi="Arial"/>
                <w:sz w:val="14"/>
                <w:szCs w:val="14"/>
                <w:color w:val="auto"/>
              </w:rPr>
              <w:t>ABL FILO term loan ($32,500 par, due 4/2021)</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9/6/2017</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L + 7.75%</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10.36%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32,197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32,825</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American Achievement Corporation </w:t>
            </w:r>
            <w:r>
              <w:rPr>
                <w:rFonts w:ascii="Arial" w:cs="Arial" w:eastAsia="Arial" w:hAnsi="Arial"/>
                <w:sz w:val="12"/>
                <w:szCs w:val="12"/>
                <w:color w:val="auto"/>
              </w:rPr>
              <w:t>(3)</w:t>
            </w: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First-lien loan ($22,214 par, due 9/2020)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9/30/2015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L + 8.25%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22,105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21,992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340" w:type="dxa"/>
            <w:vAlign w:val="bottom"/>
            <w:gridSpan w:val="3"/>
          </w:tcPr>
          <w:p>
            <w:pPr>
              <w:ind w:left="420"/>
              <w:spacing w:after="0" w:line="130" w:lineRule="exact"/>
              <w:rPr>
                <w:sz w:val="20"/>
                <w:szCs w:val="20"/>
                <w:color w:val="auto"/>
              </w:rPr>
            </w:pPr>
            <w:r>
              <w:rPr>
                <w:rFonts w:ascii="Arial" w:cs="Arial" w:eastAsia="Arial" w:hAnsi="Arial"/>
                <w:sz w:val="14"/>
                <w:szCs w:val="14"/>
                <w:color w:val="auto"/>
              </w:rPr>
              <w:t>Secured Promissory Note ($795 par, due</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12/19/2018</w:t>
            </w: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L + 8.25%</w:t>
            </w: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10.74%</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789</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795</w:t>
            </w:r>
          </w:p>
        </w:tc>
        <w:tc>
          <w:tcPr>
            <w:tcW w:w="9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20" w:type="dxa"/>
            <w:vAlign w:val="bottom"/>
            <w:gridSpan w:val="2"/>
          </w:tcPr>
          <w:p>
            <w:pPr>
              <w:ind w:left="420"/>
              <w:spacing w:after="0"/>
              <w:rPr>
                <w:sz w:val="20"/>
                <w:szCs w:val="20"/>
                <w:color w:val="auto"/>
              </w:rPr>
            </w:pPr>
            <w:r>
              <w:rPr>
                <w:rFonts w:ascii="Arial" w:cs="Arial" w:eastAsia="Arial" w:hAnsi="Arial"/>
                <w:sz w:val="14"/>
                <w:szCs w:val="14"/>
                <w:color w:val="auto"/>
              </w:rPr>
              <w:t>12/2020)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PayLess Inc. </w:t>
            </w:r>
            <w:r>
              <w:rPr>
                <w:rFonts w:ascii="Arial" w:cs="Arial" w:eastAsia="Arial" w:hAnsi="Arial"/>
                <w:sz w:val="12"/>
                <w:szCs w:val="12"/>
                <w:color w:val="auto"/>
              </w:rPr>
              <w:t>(3)(5)</w:t>
            </w:r>
          </w:p>
        </w:tc>
        <w:tc>
          <w:tcPr>
            <w:tcW w:w="33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ABL FILO term loan ($14,235 par, due 8/2022)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3/1/2018</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+ 10.00%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14,000</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14,235</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12"/>
                <w:szCs w:val="12"/>
                <w:color w:val="auto"/>
              </w:rPr>
              <w:t>(3)</w:t>
            </w:r>
          </w:p>
        </w:tc>
        <w:tc>
          <w:tcPr>
            <w:tcW w:w="3340" w:type="dxa"/>
            <w:vAlign w:val="bottom"/>
            <w:gridSpan w:val="3"/>
          </w:tcPr>
          <w:p>
            <w:pPr>
              <w:ind w:left="420"/>
              <w:spacing w:after="0"/>
              <w:rPr>
                <w:sz w:val="20"/>
                <w:szCs w:val="20"/>
                <w:color w:val="auto"/>
              </w:rPr>
            </w:pPr>
            <w:r>
              <w:rPr>
                <w:rFonts w:ascii="Arial" w:cs="Arial" w:eastAsia="Arial" w:hAnsi="Arial"/>
                <w:sz w:val="14"/>
                <w:szCs w:val="14"/>
                <w:color w:val="auto"/>
              </w:rPr>
              <w:t>ABL FILO term loan ($75,000 par, due 2/2024)</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2/11/2019</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9.74%</w:t>
            </w:r>
          </w:p>
        </w:tc>
        <w:tc>
          <w:tcPr>
            <w:tcW w:w="660" w:type="dxa"/>
            <w:vAlign w:val="bottom"/>
          </w:tcPr>
          <w:p>
            <w:pPr>
              <w:jc w:val="right"/>
              <w:spacing w:after="0"/>
              <w:rPr>
                <w:sz w:val="20"/>
                <w:szCs w:val="20"/>
                <w:color w:val="auto"/>
              </w:rPr>
            </w:pPr>
            <w:r>
              <w:rPr>
                <w:rFonts w:ascii="Arial" w:cs="Arial" w:eastAsia="Arial" w:hAnsi="Arial"/>
                <w:sz w:val="14"/>
                <w:szCs w:val="14"/>
                <w:color w:val="auto"/>
              </w:rPr>
              <w:t>74,265</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75,000</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143,356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144,847</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5"/>
        </w:trPr>
        <w:tc>
          <w:tcPr>
            <w:tcW w:w="2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Transportation</w:t>
            </w:r>
          </w:p>
        </w:tc>
        <w:tc>
          <w:tcPr>
            <w:tcW w:w="4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12"/>
                <w:szCs w:val="12"/>
                <w:color w:val="auto"/>
              </w:rPr>
              <w:t>(3)(4)(5)</w:t>
            </w:r>
          </w:p>
        </w:tc>
        <w:tc>
          <w:tcPr>
            <w:tcW w:w="33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First-lien loan ($82,500 par, due 5/2023)</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5/4/2018</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+ 5.75%</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84,188</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Debt Investments</w:t>
            </w: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rPr>
              <w:t>1,759,407</w:t>
            </w:r>
          </w:p>
        </w:tc>
        <w:tc>
          <w:tcPr>
            <w:tcW w:w="14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u w:val="single" w:color="auto"/>
                <w:color w:val="auto"/>
                <w:w w:val="96"/>
              </w:rPr>
              <w:t>1,783,406</w:t>
            </w:r>
          </w:p>
        </w:tc>
        <w:tc>
          <w:tcPr>
            <w:tcW w:w="160" w:type="dxa"/>
            <w:vAlign w:val="bottom"/>
            <w:vMerge w:val="continue"/>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-12065</wp:posOffset>
            </wp:positionV>
            <wp:extent cx="5060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120" w:right="460"/>
        <w:spacing w:after="0" w:line="245" w:lineRule="auto"/>
        <w:rPr>
          <w:sz w:val="20"/>
          <w:szCs w:val="20"/>
          <w:color w:val="auto"/>
        </w:rPr>
      </w:pPr>
      <w:r>
        <w:rPr>
          <w:rFonts w:ascii="Arial" w:cs="Arial" w:eastAsia="Arial" w:hAnsi="Arial"/>
          <w:sz w:val="13"/>
          <w:szCs w:val="13"/>
          <w:b w:val="1"/>
          <w:bCs w:val="1"/>
          <w:color w:val="auto"/>
        </w:rPr>
        <w:t xml:space="preserve">Equity and Other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(6)(13)(14)</w:t>
      </w:r>
    </w:p>
    <w:p>
      <w:pPr>
        <w:ind w:left="120"/>
        <w:spacing w:after="0" w:line="223" w:lineRule="auto"/>
        <w:rPr>
          <w:sz w:val="20"/>
          <w:szCs w:val="20"/>
          <w:color w:val="auto"/>
        </w:rPr>
      </w:pPr>
      <w:r>
        <w:rPr>
          <w:rFonts w:ascii="Arial" w:cs="Arial" w:eastAsia="Arial" w:hAnsi="Arial"/>
          <w:sz w:val="14"/>
          <w:szCs w:val="14"/>
          <w:b w:val="1"/>
          <w:bCs w:val="1"/>
          <w:color w:val="auto"/>
        </w:rPr>
        <w:t>Business Services</w:t>
      </w:r>
    </w:p>
    <w:p>
      <w:pPr>
        <w:ind w:left="120"/>
        <w:spacing w:after="0"/>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(13)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(13)</w:t>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Chemicals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(13)</w:t>
      </w:r>
    </w:p>
    <w:p>
      <w:pPr>
        <w:ind w:left="120"/>
        <w:spacing w:after="0" w:line="222" w:lineRule="auto"/>
        <w:rPr>
          <w:sz w:val="20"/>
          <w:szCs w:val="20"/>
          <w:color w:val="auto"/>
        </w:rPr>
      </w:pPr>
      <w:r>
        <w:rPr>
          <w:rFonts w:ascii="Arial" w:cs="Arial" w:eastAsia="Arial" w:hAnsi="Arial"/>
          <w:sz w:val="14"/>
          <w:szCs w:val="14"/>
          <w:b w:val="1"/>
          <w:bCs w:val="1"/>
          <w:color w:val="auto"/>
        </w:rPr>
        <w:t>Financial services</w:t>
      </w:r>
    </w:p>
    <w:p>
      <w:pPr>
        <w:ind w:left="120"/>
        <w:spacing w:after="0" w:line="222" w:lineRule="auto"/>
        <w:rPr>
          <w:sz w:val="20"/>
          <w:szCs w:val="20"/>
          <w:color w:val="auto"/>
        </w:rPr>
      </w:pPr>
      <w:r>
        <w:rPr>
          <w:rFonts w:ascii="Arial" w:cs="Arial" w:eastAsia="Arial" w:hAnsi="Arial"/>
          <w:sz w:val="14"/>
          <w:szCs w:val="14"/>
          <w:color w:val="auto"/>
        </w:rPr>
        <w:t xml:space="preserve">AvidXchange, Inc. </w:t>
      </w:r>
      <w:r>
        <w:rPr>
          <w:rFonts w:ascii="Arial" w:cs="Arial" w:eastAsia="Arial" w:hAnsi="Arial"/>
          <w:sz w:val="12"/>
          <w:szCs w:val="12"/>
          <w:color w:val="auto"/>
        </w:rPr>
        <w:t>(13)</w:t>
      </w:r>
    </w:p>
    <w:p>
      <w:pPr>
        <w:ind w:left="120"/>
        <w:spacing w:after="0"/>
        <w:rPr>
          <w:sz w:val="20"/>
          <w:szCs w:val="20"/>
          <w:color w:val="auto"/>
        </w:rPr>
      </w:pPr>
      <w:r>
        <w:rPr>
          <w:rFonts w:ascii="Arial" w:cs="Arial" w:eastAsia="Arial" w:hAnsi="Arial"/>
          <w:sz w:val="13"/>
          <w:szCs w:val="13"/>
          <w:color w:val="auto"/>
        </w:rPr>
        <w:t xml:space="preserve">Oxford Square Capital Corp. </w:t>
      </w:r>
      <w:r>
        <w:rPr>
          <w:rFonts w:ascii="Arial" w:cs="Arial" w:eastAsia="Arial" w:hAnsi="Arial"/>
          <w:sz w:val="11"/>
          <w:szCs w:val="11"/>
          <w:color w:val="auto"/>
        </w:rPr>
        <w:t>(4)(12)</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(13)</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Healthcare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Caris Life Sciences, Ltd. </w:t>
      </w:r>
      <w:r>
        <w:rPr>
          <w:rFonts w:ascii="Arial" w:cs="Arial" w:eastAsia="Arial" w:hAnsi="Arial"/>
          <w:sz w:val="12"/>
          <w:szCs w:val="12"/>
          <w:color w:val="auto"/>
        </w:rPr>
        <w:t>(13)(14)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Vita Topco, Inc. </w:t>
      </w:r>
      <w:r>
        <w:rPr>
          <w:rFonts w:ascii="Arial" w:cs="Arial" w:eastAsia="Arial" w:hAnsi="Arial"/>
          <w:sz w:val="12"/>
          <w:szCs w:val="12"/>
          <w:color w:val="auto"/>
        </w:rPr>
        <w:t>(13)(14)(15)</w:t>
      </w:r>
    </w:p>
    <w:p>
      <w:pPr>
        <w:spacing w:after="0" w:line="174" w:lineRule="exact"/>
        <w:rPr>
          <w:sz w:val="20"/>
          <w:szCs w:val="20"/>
          <w:color w:val="auto"/>
        </w:rPr>
      </w:pPr>
    </w:p>
    <w:p>
      <w:pPr>
        <w:ind w:left="120" w:right="740"/>
        <w:spacing w:after="0" w:line="297" w:lineRule="auto"/>
        <w:rPr>
          <w:sz w:val="20"/>
          <w:szCs w:val="20"/>
          <w:color w:val="auto"/>
        </w:rPr>
      </w:pPr>
      <w:r>
        <w:rPr>
          <w:rFonts w:ascii="Arial" w:cs="Arial" w:eastAsia="Arial" w:hAnsi="Arial"/>
          <w:sz w:val="13"/>
          <w:szCs w:val="13"/>
          <w:b w:val="1"/>
          <w:bCs w:val="1"/>
          <w:color w:val="auto"/>
        </w:rPr>
        <w:t xml:space="preserve">Hotel, gaming, and leisure </w:t>
      </w:r>
      <w:r>
        <w:rPr>
          <w:rFonts w:ascii="Arial" w:cs="Arial" w:eastAsia="Arial" w:hAnsi="Arial"/>
          <w:sz w:val="13"/>
          <w:szCs w:val="13"/>
          <w:color w:val="auto"/>
        </w:rPr>
        <w:t xml:space="preserve">IRGSE Holding Corp. </w:t>
      </w:r>
      <w:r>
        <w:rPr>
          <w:rFonts w:ascii="Arial" w:cs="Arial" w:eastAsia="Arial" w:hAnsi="Arial"/>
          <w:sz w:val="11"/>
          <w:szCs w:val="11"/>
          <w:color w:val="auto"/>
        </w:rPr>
        <w:t>(7)(13)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Preferred Units (4,441,090 units)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10/16/2018</w:t>
            </w:r>
          </w:p>
        </w:tc>
        <w:tc>
          <w:tcPr>
            <w:tcW w:w="660" w:type="dxa"/>
            <w:vAlign w:val="bottom"/>
          </w:tcPr>
          <w:p>
            <w:pPr>
              <w:jc w:val="right"/>
              <w:spacing w:after="0"/>
              <w:rPr>
                <w:sz w:val="20"/>
                <w:szCs w:val="20"/>
                <w:color w:val="auto"/>
              </w:rPr>
            </w:pPr>
            <w:r>
              <w:rPr>
                <w:rFonts w:ascii="Arial" w:cs="Arial" w:eastAsia="Arial" w:hAnsi="Arial"/>
                <w:sz w:val="14"/>
                <w:szCs w:val="14"/>
                <w:color w:val="auto"/>
              </w:rPr>
              <w:t>4,441</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4,441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Class A Units (1,262 units)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rPr>
                <w:sz w:val="20"/>
                <w:szCs w:val="20"/>
                <w:color w:val="auto"/>
              </w:rPr>
            </w:pPr>
            <w:r>
              <w:rPr>
                <w:rFonts w:ascii="Arial" w:cs="Arial" w:eastAsia="Arial" w:hAnsi="Arial"/>
                <w:sz w:val="14"/>
                <w:szCs w:val="14"/>
                <w:color w:val="auto"/>
              </w:rPr>
              <w:t>1,262</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1,325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B Units (517,020 units)</w:t>
            </w:r>
          </w:p>
        </w:tc>
        <w:tc>
          <w:tcPr>
            <w:tcW w:w="264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A Shares (1,197 shares)</w:t>
            </w:r>
          </w:p>
        </w:tc>
        <w:tc>
          <w:tcPr>
            <w:tcW w:w="264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1,532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Class B Shares (398,557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2,471</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tcPr>
          <w:p>
            <w:pPr>
              <w:spacing w:after="0"/>
              <w:rPr>
                <w:sz w:val="20"/>
                <w:szCs w:val="20"/>
                <w:color w:val="auto"/>
              </w:rPr>
            </w:pPr>
            <w:r>
              <w:rPr>
                <w:rFonts w:ascii="Arial" w:cs="Arial" w:eastAsia="Arial" w:hAnsi="Arial"/>
                <w:sz w:val="14"/>
                <w:szCs w:val="14"/>
                <w:color w:val="auto"/>
              </w:rPr>
              <w:t>Common Units (2,672,990 units)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rPr>
                <w:sz w:val="20"/>
                <w:szCs w:val="20"/>
                <w:color w:val="auto"/>
              </w:rPr>
            </w:pPr>
            <w:r>
              <w:rPr>
                <w:rFonts w:ascii="Arial" w:cs="Arial" w:eastAsia="Arial" w:hAnsi="Arial"/>
                <w:sz w:val="14"/>
                <w:szCs w:val="14"/>
                <w:color w:val="auto"/>
              </w:rPr>
              <w:t>3,828</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3,560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Series E Preferred Equity (214,132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8/7/2015</w:t>
            </w:r>
          </w:p>
        </w:tc>
        <w:tc>
          <w:tcPr>
            <w:tcW w:w="660" w:type="dxa"/>
            <w:vAlign w:val="bottom"/>
          </w:tcPr>
          <w:p>
            <w:pPr>
              <w:jc w:val="right"/>
              <w:spacing w:after="0"/>
              <w:rPr>
                <w:sz w:val="20"/>
                <w:szCs w:val="20"/>
                <w:color w:val="auto"/>
              </w:rPr>
            </w:pPr>
            <w:r>
              <w:rPr>
                <w:rFonts w:ascii="Arial" w:cs="Arial" w:eastAsia="Arial" w:hAnsi="Arial"/>
                <w:sz w:val="14"/>
                <w:szCs w:val="14"/>
                <w:color w:val="auto"/>
              </w:rPr>
              <w:t>3,846</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7,481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Common Shares (1,059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8/5/2015</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(35,000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7/31/2017</w:t>
            </w:r>
          </w:p>
        </w:tc>
        <w:tc>
          <w:tcPr>
            <w:tcW w:w="660" w:type="dxa"/>
            <w:vAlign w:val="bottom"/>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7,997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7,353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720" w:type="dxa"/>
            <w:vAlign w:val="bottom"/>
          </w:tcPr>
          <w:p>
            <w:pPr>
              <w:spacing w:after="0"/>
              <w:rPr>
                <w:sz w:val="20"/>
                <w:szCs w:val="20"/>
                <w:color w:val="auto"/>
              </w:rPr>
            </w:pPr>
            <w:r>
              <w:rPr>
                <w:rFonts w:ascii="Arial" w:cs="Arial" w:eastAsia="Arial" w:hAnsi="Arial"/>
                <w:sz w:val="14"/>
                <w:szCs w:val="14"/>
                <w:color w:val="auto"/>
              </w:rPr>
              <w:t>Common Shares Class A (1,980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9/21/2018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(1,000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2/11/2019</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0"/>
                <w:szCs w:val="20"/>
                <w:color w:val="auto"/>
              </w:rPr>
            </w:pPr>
            <w:r>
              <w:rPr>
                <w:rFonts w:ascii="Arial" w:cs="Arial" w:eastAsia="Arial" w:hAnsi="Arial"/>
                <w:sz w:val="14"/>
                <w:szCs w:val="14"/>
                <w:color w:val="auto"/>
              </w:rPr>
              <w:t xml:space="preserve">Class A Units (27,690,171 units) </w:t>
            </w:r>
            <w:r>
              <w:rPr>
                <w:rFonts w:ascii="Arial" w:cs="Arial" w:eastAsia="Arial" w:hAnsi="Arial"/>
                <w:sz w:val="12"/>
                <w:szCs w:val="12"/>
                <w:color w:val="auto"/>
              </w:rPr>
              <w:t>(14)</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20,063</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(8,800,000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20,163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-2425065</wp:posOffset>
            </wp:positionV>
            <wp:extent cx="699516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-2236470</wp:posOffset>
            </wp:positionV>
            <wp:extent cx="699516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-2039620</wp:posOffset>
            </wp:positionV>
            <wp:extent cx="699516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-1851025</wp:posOffset>
            </wp:positionV>
            <wp:extent cx="6995160"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-1645285</wp:posOffset>
            </wp:positionV>
            <wp:extent cx="699516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-1439545</wp:posOffset>
            </wp:positionV>
            <wp:extent cx="6995160"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-1242060</wp:posOffset>
            </wp:positionV>
            <wp:extent cx="6995160" cy="93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-1045210</wp:posOffset>
            </wp:positionV>
            <wp:extent cx="699516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-822325</wp:posOffset>
            </wp:positionV>
            <wp:extent cx="699516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-624840</wp:posOffset>
            </wp:positionV>
            <wp:extent cx="6995160" cy="94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-401955</wp:posOffset>
            </wp:positionV>
            <wp:extent cx="6995160" cy="93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-213995</wp:posOffset>
            </wp:positionV>
            <wp:extent cx="699516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520" w:space="720"/>
            <w:col w:w="79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9"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Reference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Company </w:t>
            </w:r>
            <w:r>
              <w:rPr>
                <w:rFonts w:ascii="Arial" w:cs="Arial" w:eastAsia="Arial" w:hAnsi="Arial"/>
                <w:sz w:val="12"/>
                <w:szCs w:val="12"/>
                <w:b w:val="1"/>
                <w:bCs w:val="1"/>
                <w:color w:val="auto"/>
                <w:w w:val="92"/>
              </w:rPr>
              <w:t>(1)</w:t>
            </w:r>
          </w:p>
        </w:tc>
        <w:tc>
          <w:tcPr>
            <w:tcW w:w="192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298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1"/>
              </w:rPr>
              <w:t>Acquisition</w:t>
            </w:r>
          </w:p>
        </w:tc>
        <w:tc>
          <w:tcPr>
            <w:tcW w:w="70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94"/>
              </w:rPr>
              <w:t>Rate and</w:t>
            </w:r>
          </w:p>
        </w:tc>
        <w:tc>
          <w:tcPr>
            <w:tcW w:w="5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740" w:type="dxa"/>
            <w:vAlign w:val="bottom"/>
            <w:gridSpan w:val="2"/>
          </w:tcPr>
          <w:p>
            <w:pPr>
              <w:jc w:val="right"/>
              <w:ind w:right="80"/>
              <w:spacing w:after="0" w:line="151" w:lineRule="exact"/>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3"/>
                <w:szCs w:val="13"/>
                <w:color w:val="auto"/>
              </w:rPr>
            </w:pPr>
          </w:p>
        </w:tc>
        <w:tc>
          <w:tcPr>
            <w:tcW w:w="8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5"/>
        </w:trPr>
        <w:tc>
          <w:tcPr>
            <w:tcW w:w="78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8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Date</w:t>
            </w:r>
          </w:p>
        </w:tc>
        <w:tc>
          <w:tcPr>
            <w:tcW w:w="70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Spread</w:t>
            </w:r>
          </w:p>
        </w:tc>
        <w:tc>
          <w:tcPr>
            <w:tcW w:w="5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5"/>
                <w:szCs w:val="15"/>
                <w:color w:val="auto"/>
              </w:rPr>
            </w:pP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74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10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2"/>
        </w:trPr>
        <w:tc>
          <w:tcPr>
            <w:tcW w:w="27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Human resource support services</w:t>
            </w:r>
          </w:p>
        </w:tc>
        <w:tc>
          <w:tcPr>
            <w:tcW w:w="46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(13)(14)(15)</w:t>
            </w:r>
          </w:p>
        </w:tc>
        <w:tc>
          <w:tcPr>
            <w:tcW w:w="3440" w:type="dxa"/>
            <w:vAlign w:val="bottom"/>
            <w:gridSpan w:val="3"/>
          </w:tcPr>
          <w:p>
            <w:pPr>
              <w:ind w:left="460"/>
              <w:spacing w:after="0"/>
              <w:rPr>
                <w:sz w:val="20"/>
                <w:szCs w:val="20"/>
                <w:color w:val="auto"/>
              </w:rPr>
            </w:pPr>
            <w:r>
              <w:rPr>
                <w:rFonts w:ascii="Arial" w:cs="Arial" w:eastAsia="Arial" w:hAnsi="Arial"/>
                <w:sz w:val="14"/>
                <w:szCs w:val="14"/>
                <w:color w:val="auto"/>
              </w:rPr>
              <w:t>Class A Units (44,944 units)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8/24/2018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2,014</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2,014</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(13)(14)</w:t>
            </w:r>
          </w:p>
        </w:tc>
        <w:tc>
          <w:tcPr>
            <w:tcW w:w="344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Common Shares Class A (1,020 units)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6/30/2017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1,020</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Common Shares Class B (987,929 units)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6/30/2017</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(6)(13)(14)</w:t>
            </w:r>
          </w:p>
        </w:tc>
        <w:tc>
          <w:tcPr>
            <w:tcW w:w="344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Series A Preferred Shares (3,840,000 shares)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5/31/2018</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3,840</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3,840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6"/>
        </w:trPr>
        <w:tc>
          <w:tcPr>
            <w:tcW w:w="27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6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fuels</w:t>
            </w:r>
          </w:p>
        </w:tc>
        <w:tc>
          <w:tcPr>
            <w:tcW w:w="4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(7)(13)(14)</w:t>
            </w:r>
          </w:p>
        </w:tc>
        <w:tc>
          <w:tcPr>
            <w:tcW w:w="3440" w:type="dxa"/>
            <w:vAlign w:val="bottom"/>
            <w:gridSpan w:val="3"/>
          </w:tcPr>
          <w:p>
            <w:pPr>
              <w:ind w:left="460"/>
              <w:spacing w:after="0"/>
              <w:rPr>
                <w:sz w:val="20"/>
                <w:szCs w:val="20"/>
                <w:color w:val="auto"/>
              </w:rPr>
            </w:pPr>
            <w:r>
              <w:rPr>
                <w:rFonts w:ascii="Arial" w:cs="Arial" w:eastAsia="Arial" w:hAnsi="Arial"/>
                <w:sz w:val="14"/>
                <w:szCs w:val="14"/>
                <w:color w:val="auto"/>
              </w:rPr>
              <w:t>Class A-1 Member Units (1,360 units)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5/3/2017</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10,366</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2,021</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Class A-2 Member Units (933 units)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6/4/2014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8,874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Northern Oil and Gas, Inc. </w:t>
            </w:r>
            <w:r>
              <w:rPr>
                <w:rFonts w:ascii="Arial" w:cs="Arial" w:eastAsia="Arial" w:hAnsi="Arial"/>
                <w:sz w:val="12"/>
                <w:szCs w:val="12"/>
                <w:color w:val="auto"/>
              </w:rPr>
              <w:t>(12)(13)</w:t>
            </w:r>
          </w:p>
        </w:tc>
        <w:tc>
          <w:tcPr>
            <w:tcW w:w="3440" w:type="dxa"/>
            <w:vAlign w:val="bottom"/>
            <w:gridSpan w:val="3"/>
          </w:tcPr>
          <w:p>
            <w:pPr>
              <w:ind w:left="460"/>
              <w:spacing w:after="0"/>
              <w:rPr>
                <w:sz w:val="20"/>
                <w:szCs w:val="20"/>
                <w:color w:val="auto"/>
              </w:rPr>
            </w:pPr>
            <w:r>
              <w:rPr>
                <w:rFonts w:ascii="Arial" w:cs="Arial" w:eastAsia="Arial" w:hAnsi="Arial"/>
                <w:sz w:val="14"/>
                <w:szCs w:val="14"/>
                <w:color w:val="auto"/>
              </w:rPr>
              <w:t>Common Shares (493,316 shares)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5/15/2018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740</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1,352</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19,980</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3,373</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Equity and Other Investments</w:t>
            </w: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66,312</w:t>
            </w: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1,825,719</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1,824,861</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169.6%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portfolio company investments are subject to contractual restrictions on sales.</w:t>
      </w:r>
    </w:p>
    <w:p>
      <w:pPr>
        <w:ind w:left="540" w:hanging="424"/>
        <w:spacing w:after="0"/>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ind w:left="540" w:right="180" w:hanging="424"/>
        <w:spacing w:after="0" w:line="238" w:lineRule="auto"/>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3"/>
          <w:szCs w:val="13"/>
          <w:color w:val="auto"/>
        </w:rPr>
      </w:pPr>
    </w:p>
    <w:p>
      <w:pPr>
        <w:jc w:val="both"/>
        <w:ind w:left="540" w:right="220" w:hanging="424"/>
        <w:spacing w:after="0" w:line="221"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540" w:right="140" w:hanging="424"/>
        <w:spacing w:after="0" w:line="238" w:lineRule="auto"/>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540" w:right="160" w:hanging="424"/>
        <w:spacing w:after="0" w:line="232"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160" w:type="dxa"/>
            <w:vAlign w:val="bottom"/>
            <w:gridSpan w:val="18"/>
          </w:tcPr>
          <w:p>
            <w:pPr>
              <w:ind w:left="760"/>
              <w:spacing w:after="0"/>
              <w:rPr>
                <w:sz w:val="20"/>
                <w:szCs w:val="20"/>
                <w:color w:val="auto"/>
              </w:rPr>
            </w:pPr>
            <w:r>
              <w:rPr>
                <w:rFonts w:ascii="Arial" w:cs="Arial" w:eastAsia="Arial" w:hAnsi="Arial"/>
                <w:sz w:val="14"/>
                <w:szCs w:val="14"/>
                <w:b w:val="1"/>
                <w:bCs w:val="1"/>
                <w:color w:val="auto"/>
                <w:w w:val="94"/>
              </w:rPr>
              <w:t>Non-controlled, Affiliated Investments during the three months ended March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150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w w:val="93"/>
              </w:rPr>
              <w:t>Additions (a)</w:t>
            </w: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5"/>
                <w:szCs w:val="15"/>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(Loss)</w:t>
            </w: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86"/>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35"/>
        </w:trPr>
        <w:tc>
          <w:tcPr>
            <w:tcW w:w="21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AFS Technologies, Inc.</w:t>
            </w: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45,342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4,742</w:t>
            </w:r>
          </w:p>
        </w:tc>
        <w:tc>
          <w:tcPr>
            <w:tcW w:w="3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60"/>
              <w:spacing w:after="0" w:line="135" w:lineRule="exact"/>
              <w:rPr>
                <w:sz w:val="20"/>
                <w:szCs w:val="20"/>
                <w:color w:val="auto"/>
              </w:rPr>
            </w:pPr>
            <w:r>
              <w:rPr>
                <w:rFonts w:ascii="Arial" w:cs="Arial" w:eastAsia="Arial" w:hAnsi="Arial"/>
                <w:sz w:val="14"/>
                <w:szCs w:val="14"/>
                <w:color w:val="auto"/>
                <w:w w:val="73"/>
              </w:rPr>
              <w:t>(294)</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279</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gridSpan w:val="2"/>
            <w:shd w:val="clear" w:color="auto" w:fill="CCEEFF"/>
          </w:tcPr>
          <w:p>
            <w:pPr>
              <w:ind w:left="240"/>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50,069</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120"/>
              <w:spacing w:after="0" w:line="135" w:lineRule="exact"/>
              <w:rPr>
                <w:sz w:val="20"/>
                <w:szCs w:val="20"/>
                <w:color w:val="auto"/>
              </w:rPr>
            </w:pPr>
            <w:r>
              <w:rPr>
                <w:rFonts w:ascii="Arial" w:cs="Arial" w:eastAsia="Arial" w:hAnsi="Arial"/>
                <w:sz w:val="14"/>
                <w:szCs w:val="14"/>
                <w:color w:val="auto"/>
                <w:w w:val="76"/>
              </w:rPr>
              <w:t>19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1,248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38,590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1,489</w:t>
            </w:r>
          </w:p>
        </w:tc>
        <w:tc>
          <w:tcPr>
            <w:tcW w:w="180" w:type="dxa"/>
            <w:vAlign w:val="bottom"/>
          </w:tcPr>
          <w:p>
            <w:pPr>
              <w:spacing w:after="0"/>
              <w:rPr>
                <w:sz w:val="12"/>
                <w:szCs w:val="12"/>
                <w:color w:val="auto"/>
              </w:rPr>
            </w:pPr>
          </w:p>
        </w:tc>
        <w:tc>
          <w:tcPr>
            <w:tcW w:w="11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39,993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8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83,932</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6,231</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(528)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427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90,062</w:t>
            </w:r>
          </w:p>
        </w:tc>
        <w:tc>
          <w:tcPr>
            <w:tcW w:w="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31</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2,411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80" w:right="440" w:hanging="332"/>
        <w:spacing w:after="0" w:line="253" w:lineRule="auto"/>
        <w:tabs>
          <w:tab w:leader="none" w:pos="8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right="300" w:hanging="332"/>
        <w:spacing w:after="0" w:line="238" w:lineRule="auto"/>
        <w:tabs>
          <w:tab w:leader="none" w:pos="8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540" w:right="80" w:hanging="424"/>
        <w:spacing w:after="0" w:line="233"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60" w:type="dxa"/>
            <w:vAlign w:val="bottom"/>
            <w:gridSpan w:val="16"/>
          </w:tcPr>
          <w:p>
            <w:pPr>
              <w:spacing w:after="0"/>
              <w:rPr>
                <w:sz w:val="20"/>
                <w:szCs w:val="20"/>
                <w:color w:val="auto"/>
              </w:rPr>
            </w:pPr>
            <w:r>
              <w:rPr>
                <w:rFonts w:ascii="Arial" w:cs="Arial" w:eastAsia="Arial" w:hAnsi="Arial"/>
                <w:sz w:val="14"/>
                <w:szCs w:val="14"/>
                <w:b w:val="1"/>
                <w:bCs w:val="1"/>
                <w:color w:val="auto"/>
                <w:w w:val="97"/>
              </w:rPr>
              <w:t>Controlled, Affiliated Investments during the three months ended March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168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Additions (a)</w:t>
            </w:r>
          </w:p>
        </w:tc>
        <w:tc>
          <w:tcPr>
            <w:tcW w:w="180" w:type="dxa"/>
            <w:vAlign w:val="bottom"/>
          </w:tcPr>
          <w:p>
            <w:pPr>
              <w:spacing w:after="0"/>
              <w:rPr>
                <w:sz w:val="15"/>
                <w:szCs w:val="15"/>
                <w:color w:val="auto"/>
              </w:rPr>
            </w:pPr>
          </w:p>
        </w:tc>
        <w:tc>
          <w:tcPr>
            <w:tcW w:w="9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89"/>
              </w:rPr>
              <w:t>Reductions (b)</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0"/>
              </w:rPr>
              <w:t>(Loss)</w:t>
            </w: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86"/>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36"/>
        </w:trPr>
        <w:tc>
          <w:tcPr>
            <w:tcW w:w="22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IRGSE Holding Corp.</w:t>
            </w: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34,527</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center"/>
              <w:ind w:left="268"/>
              <w:spacing w:after="0" w:line="135" w:lineRule="exact"/>
              <w:rPr>
                <w:sz w:val="20"/>
                <w:szCs w:val="20"/>
                <w:color w:val="auto"/>
              </w:rPr>
            </w:pPr>
            <w:r>
              <w:rPr>
                <w:rFonts w:ascii="Arial" w:cs="Arial" w:eastAsia="Arial" w:hAnsi="Arial"/>
                <w:sz w:val="14"/>
                <w:szCs w:val="14"/>
                <w:color w:val="auto"/>
                <w:w w:val="96"/>
              </w:rPr>
              <w:t>1,262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(922)</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40"/>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34,867</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w w:val="71"/>
              </w:rPr>
              <w:t>5</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937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21,978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(2,745)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19,233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56,505</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1,262</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(3,667)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54,100</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5</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1,439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80" w:right="440" w:hanging="332"/>
        <w:spacing w:after="0" w:line="230" w:lineRule="auto"/>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880" w:right="300" w:hanging="332"/>
        <w:spacing w:after="0" w:line="232" w:lineRule="auto"/>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540" w:right="240" w:hanging="424"/>
        <w:spacing w:after="0" w:line="230"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March 31, 2019, the estimated cost basis of investments for U.S. federal tax purposes was $1,825,595, resulting in estimated gross unrealized gains and losses of $86,883 and $82,732, respectively.</w:t>
      </w:r>
    </w:p>
    <w:p>
      <w:pPr>
        <w:ind w:left="540" w:right="28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540" w:right="10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In accordance with Financial Accounting Standards Board Accounting Standards Codification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equity investment is non-income producing.</w:t>
      </w:r>
    </w:p>
    <w:p>
      <w:pPr>
        <w:ind w:left="540" w:right="1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Ownership of equity investments may occur through a holding company or partnership.</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in the section entitled “Certain Relationships and Related Party Transactions” in our 2019 Annual Proxy is incorporated herein by reference.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information in the sections entitled “Election of Directors” and “Security Ownership of Certain Beneficial Owners and Management” in our 2019 Annual Proxy is incorporated herein by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4"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77"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4"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9" w:lineRule="exact"/>
        <w:rPr>
          <w:sz w:val="20"/>
          <w:szCs w:val="20"/>
          <w:color w:val="auto"/>
        </w:rPr>
      </w:pPr>
    </w:p>
    <w:p>
      <w:pPr>
        <w:ind w:left="120" w:right="240" w:firstLine="440"/>
        <w:spacing w:after="0" w:line="269" w:lineRule="auto"/>
        <w:rPr>
          <w:sz w:val="20"/>
          <w:szCs w:val="20"/>
          <w:color w:val="auto"/>
        </w:rPr>
      </w:pPr>
      <w:r>
        <w:rPr>
          <w:rFonts w:ascii="Arial" w:cs="Arial" w:eastAsia="Arial" w:hAnsi="Arial"/>
          <w:sz w:val="17"/>
          <w:szCs w:val="17"/>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8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76"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20"/>
          </w:cols>
          <w:pgMar w:left="320" w:top="459" w:right="6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Example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20%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2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9"/>
        </w:trPr>
        <w:tc>
          <w:tcPr>
            <w:tcW w:w="2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16.25</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13.68</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15.44</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65,412,817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68,683,458</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78,495,380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16.11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Shares Held by Stockholder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65,413</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Percentage Held by Stockholder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Total Net Asset Value Held by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1,063,202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1,060,662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1,053,519</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1,027,732</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1,010,008</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Total Investment by Stockholder A</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(Assumed to be $16.25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1,063,202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1,063,202</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1,063,202</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1,063,202</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1,063,202</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Total Dilution to Stockholder A (Total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420"/>
              <w:spacing w:after="0" w:line="149" w:lineRule="exact"/>
              <w:rPr>
                <w:sz w:val="20"/>
                <w:szCs w:val="20"/>
                <w:color w:val="auto"/>
              </w:rPr>
            </w:pPr>
            <w:r>
              <w:rPr>
                <w:rFonts w:ascii="Arial" w:cs="Arial" w:eastAsia="Arial" w:hAnsi="Arial"/>
                <w:sz w:val="14"/>
                <w:szCs w:val="14"/>
                <w:color w:val="auto"/>
              </w:rPr>
              <w:t>Net Asset Value Less Total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420"/>
              <w:spacing w:after="0"/>
              <w:rPr>
                <w:sz w:val="20"/>
                <w:szCs w:val="20"/>
                <w:color w:val="auto"/>
              </w:rPr>
            </w:pPr>
            <w:r>
              <w:rPr>
                <w:rFonts w:ascii="Arial" w:cs="Arial" w:eastAsia="Arial" w:hAnsi="Arial"/>
                <w:sz w:val="14"/>
                <w:szCs w:val="14"/>
                <w:color w:val="auto"/>
              </w:rPr>
              <w:t>Investment)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(2,539)</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(9,682)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(35,470)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(53,194)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Investment per Share Held by</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Stockholder A (Assumed to be $16.25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per Share on Shares Held Prior to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Net Asset Value per Share Held by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16.21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16.11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15.71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15.44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 per Share Held by Stockholder</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 (Net Asset Value per Share Less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(0.14)</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(0.81)</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 to Stockholder A</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420"/>
              <w:spacing w:after="0" w:line="149" w:lineRule="exact"/>
              <w:rPr>
                <w:sz w:val="20"/>
                <w:szCs w:val="20"/>
                <w:color w:val="auto"/>
              </w:rPr>
            </w:pPr>
            <w:r>
              <w:rPr>
                <w:rFonts w:ascii="Arial" w:cs="Arial" w:eastAsia="Arial" w:hAnsi="Arial"/>
                <w:sz w:val="14"/>
                <w:szCs w:val="14"/>
                <w:color w:val="auto"/>
              </w:rPr>
              <w:t>(Dilution per Share Divided by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(0.89%)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9"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9"/>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Following Sale</w:t>
            </w:r>
          </w:p>
        </w:tc>
        <w:tc>
          <w:tcPr>
            <w:tcW w:w="4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13.68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65,412,817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78,495,380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78,495,380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16.25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Held by Stockholder A</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65,413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71,954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85,037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Total Net Asset Value Held by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Stockholder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1,063,202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1,130,505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6.33%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1,336,051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25.66%</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$16.25 per Share on Shares Held Prior to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1,063,202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1,152,714</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1,331,739</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Asset Value Less Total Investment)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(22,209)</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4,312</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Investment per Share Held by Stockholder A (Assumed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 be $16.25 per Share on Shares Held Prior to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16.02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 Value per Share Less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(0.31)</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 (Dilution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per Share Divided by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Example 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Example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Arial" w:cs="Arial" w:eastAsia="Arial" w:hAnsi="Arial"/>
                <w:sz w:val="14"/>
                <w:szCs w:val="14"/>
                <w:b w:val="1"/>
                <w:bCs w:val="1"/>
                <w:color w:val="auto"/>
                <w:w w:val="99"/>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7"/>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Arial" w:cs="Arial" w:eastAsia="Arial" w:hAnsi="Arial"/>
                <w:sz w:val="14"/>
                <w:szCs w:val="14"/>
                <w:b w:val="1"/>
                <w:bCs w:val="1"/>
                <w:color w:val="auto"/>
                <w:w w:val="99"/>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Sale</w:t>
            </w:r>
          </w:p>
        </w:tc>
        <w:tc>
          <w:tcPr>
            <w:tcW w:w="80" w:type="dxa"/>
            <w:vAlign w:val="bottom"/>
          </w:tcPr>
          <w:p>
            <w:pPr>
              <w:spacing w:after="0"/>
              <w:rPr>
                <w:sz w:val="14"/>
                <w:szCs w:val="14"/>
                <w:color w:val="auto"/>
              </w:rPr>
            </w:pPr>
          </w:p>
        </w:tc>
        <w:tc>
          <w:tcPr>
            <w:tcW w:w="9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3"/>
              </w:rPr>
              <w:t>Discount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3"/>
              </w:rPr>
              <w:t>Below</w:t>
            </w:r>
          </w:p>
        </w:tc>
        <w:tc>
          <w:tcPr>
            <w:tcW w:w="104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8"/>
        </w:trPr>
        <w:tc>
          <w:tcPr>
            <w:tcW w:w="2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Arial" w:cs="Arial" w:eastAsia="Arial" w:hAnsi="Arial"/>
                <w:sz w:val="14"/>
                <w:szCs w:val="14"/>
                <w:b w:val="1"/>
                <w:bCs w:val="1"/>
                <w:color w:val="auto"/>
              </w:rPr>
              <w:t>Decrease/Increase to Net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b w:val="1"/>
                <w:bCs w:val="1"/>
                <w:color w:val="auto"/>
              </w:rPr>
              <w:t>Asset 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65,412,817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68,683,458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78,495,380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Shares Offered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3,270,641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6,541,282</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13,082,563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16,353,204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16.21</w:t>
            </w:r>
          </w:p>
        </w:tc>
        <w:tc>
          <w:tcPr>
            <w:tcW w:w="7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16.11</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15.71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Investor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3,271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6,541</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13,083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16,353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53,033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105,352</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205,546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252,501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Public)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53,148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100,701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179,025</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209,794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Total Dilution/Accretion to Investor A (Total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Asset Value Less Total Investment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4,650</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26,521</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42,707</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Net Asset Value per Share Held by Investor</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16.21</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16.11</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15.71</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15.44</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Dilution/Accretion per Share Held by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40"/>
              <w:spacing w:after="0" w:line="149" w:lineRule="exact"/>
              <w:rPr>
                <w:sz w:val="20"/>
                <w:szCs w:val="20"/>
                <w:color w:val="auto"/>
              </w:rPr>
            </w:pPr>
            <w:r>
              <w:rPr>
                <w:rFonts w:ascii="Arial" w:cs="Arial" w:eastAsia="Arial" w:hAnsi="Arial"/>
                <w:sz w:val="14"/>
                <w:szCs w:val="14"/>
                <w:color w:val="auto"/>
              </w:rPr>
              <w:t>Investor A (Net Asset Value per Share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Less Investment per Share)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(0.04)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0.71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2.03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2.61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Percentage Dilution/Accretion to Investor A</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(Dilution per Share Divided by Investment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under the heading “Dividend Reinvestment Plan” in Part I, Item I of our 2018 Annual Report is incorporated herein by reference.</w:t>
      </w:r>
    </w:p>
    <w:p>
      <w:pPr>
        <w:spacing w:after="0" w:line="24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2"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9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540" w:right="60" w:hanging="331"/>
        <w:spacing w:after="0" w:line="259"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540" w:hanging="331"/>
        <w:spacing w:after="0" w:line="286" w:lineRule="auto"/>
        <w:tabs>
          <w:tab w:leader="none" w:pos="15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5"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spacing w:after="0" w:line="2"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1"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1080" w:right="16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92"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4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5"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1080" w:right="4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0"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Under applicable U.S. Treasury regulations, if a U.S. stockholder recognizes a loss with respect to our common stock or preferred stock of</w:t>
      </w:r>
    </w:p>
    <w:p>
      <w:pPr>
        <w:spacing w:after="0" w:line="23"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320" w:top="459" w:right="5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presents our outstanding classes of securities as of May 6,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w w:val="94"/>
              </w:rPr>
              <w:t>Amount Held by Us or for Our</w:t>
            </w:r>
          </w:p>
        </w:tc>
        <w:tc>
          <w:tcPr>
            <w:tcW w:w="2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1860" w:type="dxa"/>
            <w:vAlign w:val="bottom"/>
            <w:vMerge w:val="restart"/>
          </w:tcPr>
          <w:p>
            <w:pPr>
              <w:spacing w:after="0"/>
              <w:rPr>
                <w:sz w:val="12"/>
                <w:szCs w:val="12"/>
                <w:color w:val="auto"/>
              </w:rPr>
            </w:pPr>
          </w:p>
        </w:tc>
        <w:tc>
          <w:tcPr>
            <w:tcW w:w="232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w w:val="93"/>
              </w:rPr>
              <w:t>Amount Authorized</w:t>
            </w:r>
          </w:p>
        </w:tc>
        <w:tc>
          <w:tcPr>
            <w:tcW w:w="2980" w:type="dxa"/>
            <w:vAlign w:val="bottom"/>
            <w:gridSpan w:val="2"/>
            <w:vMerge w:val="continue"/>
          </w:tcPr>
          <w:p>
            <w:pPr>
              <w:spacing w:after="0"/>
              <w:rPr>
                <w:sz w:val="12"/>
                <w:szCs w:val="12"/>
                <w:color w:val="auto"/>
              </w:rPr>
            </w:pPr>
          </w:p>
        </w:tc>
        <w:tc>
          <w:tcPr>
            <w:tcW w:w="21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980" w:type="dxa"/>
            <w:vAlign w:val="bottom"/>
            <w:gridSpan w:val="2"/>
          </w:tcPr>
          <w:p>
            <w:pPr>
              <w:ind w:left="700"/>
              <w:spacing w:after="0" w:line="158" w:lineRule="exact"/>
              <w:rPr>
                <w:sz w:val="20"/>
                <w:szCs w:val="20"/>
                <w:color w:val="auto"/>
              </w:rPr>
            </w:pPr>
            <w:r>
              <w:rPr>
                <w:rFonts w:ascii="Arial" w:cs="Arial" w:eastAsia="Arial" w:hAnsi="Arial"/>
                <w:sz w:val="14"/>
                <w:szCs w:val="14"/>
                <w:b w:val="1"/>
                <w:bCs w:val="1"/>
                <w:color w:val="auto"/>
              </w:rPr>
              <w:t>Account</w:t>
            </w:r>
          </w:p>
        </w:tc>
        <w:tc>
          <w:tcPr>
            <w:tcW w:w="21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Account</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w:t>
            </w:r>
          </w:p>
        </w:tc>
        <w:tc>
          <w:tcPr>
            <w:tcW w:w="10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89,080</w:t>
            </w:r>
          </w:p>
        </w:tc>
        <w:tc>
          <w:tcPr>
            <w:tcW w:w="10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66,031,076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65"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70"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1080" w:right="2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10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4"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6"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1080" w:right="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4"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7" w:lineRule="exact"/>
        <w:rPr>
          <w:sz w:val="20"/>
          <w:szCs w:val="20"/>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jc w:val="both"/>
        <w:ind w:left="1080" w:right="140" w:hanging="424"/>
        <w:spacing w:after="0" w:line="34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60"/>
          </w:cols>
          <w:pgMar w:left="320" w:top="459" w:right="7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right="1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6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4"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1080" w:right="34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57" w:lineRule="auto"/>
        <w:rPr>
          <w:sz w:val="20"/>
          <w:szCs w:val="20"/>
          <w:color w:val="auto"/>
        </w:rPr>
      </w:pPr>
      <w:r>
        <w:rPr>
          <w:rFonts w:ascii="Arial" w:cs="Arial" w:eastAsia="Arial" w:hAnsi="Arial"/>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sz w:val="20"/>
          <w:szCs w:val="20"/>
          <w:color w:val="auto"/>
        </w:rPr>
      </w:pPr>
    </w:p>
    <w:p>
      <w:pPr>
        <w:ind w:left="1080" w:hanging="424"/>
        <w:spacing w:after="0" w:line="342"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applicable prospectus supplement occurs.</w:t>
      </w:r>
    </w:p>
    <w:p>
      <w:pPr>
        <w:spacing w:after="0" w:line="23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9" w:lineRule="exact"/>
        <w:rPr>
          <w:sz w:val="20"/>
          <w:szCs w:val="20"/>
          <w:color w:val="auto"/>
        </w:rPr>
      </w:pPr>
    </w:p>
    <w:p>
      <w:pPr>
        <w:ind w:left="1080" w:right="80" w:hanging="424"/>
        <w:spacing w:after="0" w:line="308"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1"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hanging="424"/>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1080" w:right="60" w:hanging="424"/>
        <w:spacing w:after="0" w:line="275"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40" w:right="4620" w:hanging="4884"/>
        <w:spacing w:after="0" w:line="490" w:lineRule="auto"/>
        <w:tabs>
          <w:tab w:leader="none" w:pos="1094"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76</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1080" w:hanging="424"/>
        <w:spacing w:after="0" w:line="34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10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3" w:lineRule="exact"/>
        <w:rPr>
          <w:sz w:val="20"/>
          <w:szCs w:val="20"/>
          <w:color w:val="auto"/>
        </w:rPr>
      </w:pPr>
    </w:p>
    <w:p>
      <w:pPr>
        <w:ind w:left="1080" w:right="160" w:hanging="424"/>
        <w:spacing w:after="0" w:line="286"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1080" w:right="2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60" w:hanging="424"/>
        <w:spacing w:after="0" w:line="286"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hanging="424"/>
        <w:spacing w:after="0" w:line="29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66"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6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information in the section entitled “Regulation as a Business Development Company” in Part I, Item 1 of our 2018 Annual Report is incorporated herein by reference.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“Available Information” below for more information regarding where you can obtain a copy of our codes of ethics and the Proxy Voting Policies and Procedures of our Advisor.</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660"/>
          </w:cols>
          <w:pgMar w:left="320" w:top="459" w:right="9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$118,545.27.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8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3" w:lineRule="exact"/>
        <w:rPr>
          <w:sz w:val="20"/>
          <w:szCs w:val="20"/>
          <w:color w:val="auto"/>
        </w:rPr>
      </w:pPr>
    </w:p>
    <w:p>
      <w:pPr>
        <w:jc w:val="both"/>
        <w:ind w:left="1080" w:right="20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2018, filed with the SEC on </w:t>
      </w:r>
      <w:hyperlink r:id="rId216">
        <w:r>
          <w:rPr>
            <w:rFonts w:ascii="Arial" w:cs="Arial" w:eastAsia="Arial" w:hAnsi="Arial"/>
            <w:sz w:val="18"/>
            <w:szCs w:val="18"/>
            <w:u w:val="single" w:color="auto"/>
            <w:color w:val="0000EE"/>
          </w:rPr>
          <w:t>February 20, 2019</w:t>
        </w:r>
      </w:hyperlink>
      <w:r>
        <w:rPr>
          <w:rFonts w:ascii="Arial" w:cs="Arial" w:eastAsia="Arial" w:hAnsi="Arial"/>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217">
        <w:r>
          <w:rPr>
            <w:rFonts w:ascii="Arial" w:cs="Arial" w:eastAsia="Arial" w:hAnsi="Arial"/>
            <w:sz w:val="18"/>
            <w:szCs w:val="18"/>
            <w:u w:val="single" w:color="auto"/>
            <w:color w:val="0000EE"/>
          </w:rPr>
          <w:t>April 5, 2019</w:t>
        </w:r>
      </w:hyperlink>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1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2019, filed with the SEC on May 2, 2019;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19">
        <w:r>
          <w:rPr>
            <w:rFonts w:ascii="Arial" w:cs="Arial" w:eastAsia="Arial" w:hAnsi="Arial"/>
            <w:sz w:val="18"/>
            <w:szCs w:val="18"/>
            <w:u w:val="single" w:color="auto"/>
            <w:color w:val="0000EE"/>
          </w:rPr>
          <w:t>February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0">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8" w:lineRule="exact"/>
        <w:rPr>
          <w:rFonts w:ascii="Arial" w:cs="Arial" w:eastAsia="Arial" w:hAnsi="Arial"/>
          <w:sz w:val="18"/>
          <w:szCs w:val="18"/>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4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IRTSL@tpg.com.</w:t>
      </w:r>
    </w:p>
    <w:p>
      <w:pPr>
        <w:spacing w:after="0" w:line="211" w:lineRule="exact"/>
        <w:rPr>
          <w:rFonts w:ascii="Arial" w:cs="Arial" w:eastAsia="Arial" w:hAnsi="Arial"/>
          <w:sz w:val="18"/>
          <w:szCs w:val="18"/>
          <w:color w:val="auto"/>
        </w:rPr>
      </w:pPr>
    </w:p>
    <w:p>
      <w:pPr>
        <w:ind w:left="120" w:firstLine="44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1077595</wp:posOffset>
            </wp:positionV>
            <wp:extent cx="1585595" cy="4800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15855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2.500%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1143635</wp:posOffset>
            </wp:positionV>
            <wp:extent cx="1474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i w:val="1"/>
          <w:iCs w:val="1"/>
          <w:color w:val="auto"/>
        </w:rPr>
        <w:t>Joint Book-Running Managers</w:t>
      </w:r>
    </w:p>
    <w:p>
      <w:pPr>
        <w:sectPr>
          <w:pgSz w:w="11900" w:h="16838" w:orient="portrait"/>
          <w:cols w:equalWidth="0" w:num="1">
            <w:col w:w="11040"/>
          </w:cols>
          <w:pgMar w:left="320" w:top="459" w:right="539" w:bottom="416" w:gutter="0" w:footer="0" w:header="0"/>
        </w:sectPr>
      </w:pPr>
    </w:p>
    <w:p>
      <w:pPr>
        <w:spacing w:after="0" w:line="266"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BofA Securities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1580"/>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SMBC Nikko</w:t>
      </w:r>
    </w:p>
    <w:p>
      <w:pPr>
        <w:spacing w:after="0" w:line="147" w:lineRule="exact"/>
        <w:rPr>
          <w:sz w:val="20"/>
          <w:szCs w:val="20"/>
          <w:color w:val="auto"/>
        </w:rPr>
      </w:pPr>
    </w:p>
    <w:p>
      <w:pPr>
        <w:sectPr>
          <w:pgSz w:w="11900" w:h="16838" w:orient="portrait"/>
          <w:cols w:equalWidth="0" w:num="3">
            <w:col w:w="4300" w:space="720"/>
            <w:col w:w="2900" w:space="720"/>
            <w:col w:w="2400"/>
          </w:cols>
          <w:pgMar w:left="320" w:top="459" w:right="539" w:bottom="416" w:gutter="0" w:footer="0" w:header="0"/>
          <w:type w:val="continuous"/>
        </w:sectPr>
      </w:pPr>
    </w:p>
    <w:p>
      <w:pPr>
        <w:ind w:left="58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Goldman Sachs &amp;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LLC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MUFG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b w:val="1"/>
          <w:bCs w:val="1"/>
          <w:color w:val="auto"/>
        </w:rPr>
        <w:t>RBC Capital</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Truist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Mizuho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Morgan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Stanley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HSBC</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6"/>
          <w:szCs w:val="16"/>
          <w:b w:val="1"/>
          <w:bCs w:val="1"/>
          <w:color w:val="auto"/>
        </w:rPr>
        <w:t>Wells Fargo</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w:t>
      </w:r>
    </w:p>
    <w:p>
      <w:pPr>
        <w:spacing w:after="0" w:line="200" w:lineRule="exact"/>
        <w:rPr>
          <w:sz w:val="20"/>
          <w:szCs w:val="20"/>
          <w:color w:val="auto"/>
        </w:rPr>
      </w:pPr>
    </w:p>
    <w:p>
      <w:pPr>
        <w:sectPr>
          <w:pgSz w:w="11900" w:h="16838" w:orient="portrait"/>
          <w:cols w:equalWidth="0" w:num="9">
            <w:col w:w="1320" w:space="700"/>
            <w:col w:w="1400" w:space="380"/>
            <w:col w:w="540" w:space="400"/>
            <w:col w:w="1000" w:space="380"/>
            <w:col w:w="740" w:space="360"/>
            <w:col w:w="740" w:space="360"/>
            <w:col w:w="620" w:space="320"/>
            <w:col w:w="480" w:space="320"/>
            <w:col w:w="980"/>
          </w:cols>
          <w:pgMar w:left="320" w:top="459" w:right="539" w:bottom="416" w:gutter="0" w:footer="0" w:header="0"/>
          <w:type w:val="continuous"/>
        </w:sectPr>
      </w:pP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i w:val="1"/>
          <w:iCs w:val="1"/>
          <w:color w:val="auto"/>
        </w:rPr>
        <w:t>Co-Managers</w:t>
      </w:r>
    </w:p>
    <w:p>
      <w:pPr>
        <w:sectPr>
          <w:pgSz w:w="11900" w:h="16838" w:orient="portrait"/>
          <w:cols w:equalWidth="0" w:num="1">
            <w:col w:w="11040"/>
          </w:cols>
          <w:pgMar w:left="320" w:top="459" w:right="539" w:bottom="416" w:gutter="0" w:footer="0" w:header="0"/>
          <w:type w:val="continuous"/>
        </w:sectPr>
      </w:pPr>
    </w:p>
    <w:p>
      <w:pPr>
        <w:spacing w:after="0" w:line="26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Keefe, Bruyette &amp; Woods,</w:t>
      </w:r>
    </w:p>
    <w:p>
      <w:pPr>
        <w:spacing w:after="0" w:line="4" w:lineRule="exact"/>
        <w:rPr>
          <w:sz w:val="20"/>
          <w:szCs w:val="20"/>
          <w:color w:val="auto"/>
        </w:rPr>
      </w:pPr>
    </w:p>
    <w:p>
      <w:pPr>
        <w:ind w:left="1600"/>
        <w:spacing w:after="0"/>
        <w:rPr>
          <w:sz w:val="20"/>
          <w:szCs w:val="20"/>
          <w:color w:val="auto"/>
        </w:rPr>
      </w:pPr>
      <w:r>
        <w:rPr>
          <w:rFonts w:ascii="Arial" w:cs="Arial" w:eastAsia="Arial" w:hAnsi="Arial"/>
          <w:sz w:val="12"/>
          <w:szCs w:val="12"/>
          <w:b w:val="1"/>
          <w:bCs w:val="1"/>
          <w:i w:val="1"/>
          <w:iCs w:val="1"/>
          <w:color w:val="auto"/>
        </w:rPr>
        <w:t>A Stifel Company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ICBC Standard Bank</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Santander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color w:val="auto"/>
        </w:rPr>
        <w:t>Comerica Janney Montgomery Scott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1115060</wp:posOffset>
            </wp:positionV>
            <wp:extent cx="1474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JMP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Securities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 Seelaus &amp;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 LLC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Raymond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James</w:t>
      </w:r>
    </w:p>
    <w:p>
      <w:pPr>
        <w:spacing w:after="0" w:line="220" w:lineRule="exact"/>
        <w:rPr>
          <w:sz w:val="20"/>
          <w:szCs w:val="20"/>
          <w:color w:val="auto"/>
        </w:rPr>
      </w:pPr>
    </w:p>
    <w:p>
      <w:pPr>
        <w:sectPr>
          <w:pgSz w:w="11900" w:h="16838" w:orient="portrait"/>
          <w:cols w:equalWidth="0" w:num="7">
            <w:col w:w="2640" w:space="320"/>
            <w:col w:w="1340" w:space="440"/>
            <w:col w:w="640" w:space="360"/>
            <w:col w:w="2420" w:space="200"/>
            <w:col w:w="600" w:space="360"/>
            <w:col w:w="780" w:space="340"/>
            <w:col w:w="600"/>
          </w:cols>
          <w:pgMar w:left="320" w:top="459" w:right="539" w:bottom="4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January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443230</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503555</wp:posOffset>
            </wp:positionV>
            <wp:extent cx="699516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040"/>
      </w:cols>
      <w:pgMar w:left="320" w:top="459" w:right="539" w:bottom="4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5"/>
    </w:lvl>
  </w:abstractNum>
  <w:abstractNum w:abstractNumId="19">
    <w:nsid w:val="15B5AF5C"/>
    <w:multiLevelType w:val="hybridMultilevel"/>
    <w:lvl w:ilvl="0">
      <w:lvlJc w:val="left"/>
      <w:lvlText w:val="(%1)"/>
      <w:numFmt w:val="lowerRoman"/>
      <w:start w:val="1"/>
    </w:lvl>
  </w:abstractNum>
  <w:abstractNum w:abstractNumId="20">
    <w:nsid w:val="741226BB"/>
    <w:multiLevelType w:val="hybridMultilevel"/>
    <w:lvl w:ilvl="0">
      <w:lvlJc w:val="left"/>
      <w:lvlText w:val="(%1)"/>
      <w:numFmt w:val="lowerRoman"/>
      <w:start w:val="5"/>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lowerLetter"/>
      <w:start w:val="1"/>
    </w:lvl>
    <w:lvl w:ilvl="1">
      <w:lvlJc w:val="left"/>
      <w:lvlText w:val="(%2)"/>
      <w:numFmt w:val="lowerRoman"/>
      <w:start w:val="1"/>
    </w:lvl>
  </w:abstractNum>
  <w:abstractNum w:abstractNumId="28">
    <w:nsid w:val="310C50B3"/>
    <w:multiLevelType w:val="hybridMultilevel"/>
    <w:lvl w:ilvl="0">
      <w:lvlJc w:val="left"/>
      <w:lvlText w:val="(%1)"/>
      <w:numFmt w:val="lowerLetter"/>
      <w:start w:val="2"/>
    </w:lvl>
  </w:abstractNum>
  <w:abstractNum w:abstractNumId="29">
    <w:nsid w:val="5FF87E05"/>
    <w:multiLevelType w:val="hybridMultilevel"/>
    <w:lvl w:ilvl="0">
      <w:lvlJc w:val="left"/>
      <w:lvlText w:val="(%1)"/>
      <w:numFmt w:val="lowerLetter"/>
      <w:start w:val="1"/>
    </w:lvl>
    <w:lvl w:ilvl="1">
      <w:lvlJc w:val="left"/>
      <w:lvlText w:val="(%2)"/>
      <w:numFmt w:val="lowerRoman"/>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lvl w:ilvl="1">
      <w:lvlJc w:val="left"/>
      <w:lvlText w:val="•"/>
      <w:numFmt w:val="bullet"/>
      <w:start w:val="1"/>
    </w:lvl>
  </w:abstractNum>
  <w:abstractNum w:abstractNumId="34">
    <w:nsid w:val="1F48EAA1"/>
    <w:multiLevelType w:val="hybridMultilevel"/>
    <w:lvl w:ilvl="0">
      <w:lvlJc w:val="left"/>
      <w:lvlText w:val="•"/>
      <w:numFmt w:val="bullet"/>
      <w:start w:val="1"/>
    </w:lvl>
    <w:lvl w:ilvl="1">
      <w:lvlJc w:val="left"/>
      <w:lvlText w:val="•"/>
      <w:numFmt w:val="bullet"/>
      <w:start w:val="1"/>
    </w:lvl>
  </w:abstractNum>
  <w:abstractNum w:abstractNumId="35">
    <w:nsid w:val="1381823A"/>
    <w:multiLevelType w:val="hybridMultilevel"/>
    <w:lvl w:ilvl="0">
      <w:lvlJc w:val="left"/>
      <w:lvlText w:val="•"/>
      <w:numFmt w:val="bullet"/>
      <w:start w:val="1"/>
    </w:lvl>
    <w:lvl w:ilvl="1">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817"/>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6"/>
    </w:lvl>
  </w:abstractNum>
  <w:abstractNum w:abstractNumId="43">
    <w:nsid w:val="6B94764"/>
    <w:multiLevelType w:val="hybridMultilevel"/>
    <w:lvl w:ilvl="0">
      <w:lvlJc w:val="left"/>
      <w:lvlText w:val="(%1)"/>
      <w:numFmt w:val="decimal"/>
      <w:start w:val="8"/>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decimal"/>
      <w:start w:val="1"/>
    </w:lvl>
    <w:lvl w:ilvl="1">
      <w:lvlJc w:val="left"/>
      <w:lvlText w:val="(%2)"/>
      <w:numFmt w:val="lowerLetter"/>
      <w:start w:val="2"/>
    </w:lvl>
  </w:abstractNum>
  <w:abstractNum w:abstractNumId="57">
    <w:nsid w:val="8F2B15E"/>
    <w:multiLevelType w:val="hybridMultilevel"/>
    <w:lvl w:ilvl="0">
      <w:lvlJc w:val="left"/>
      <w:lvlText w:val="(%1)"/>
      <w:numFmt w:val="decimal"/>
      <w:start w:val="7"/>
    </w:lvl>
    <w:lvl w:ilvl="1">
      <w:lvlJc w:val="left"/>
      <w:lvlText w:val="%2"/>
      <w:numFmt w:val="lowerLetter"/>
      <w:start w:val="1"/>
    </w:lvl>
  </w:abstractNum>
  <w:abstractNum w:abstractNumId="58">
    <w:nsid w:val="1A32234B"/>
    <w:multiLevelType w:val="hybridMultilevel"/>
    <w:lvl w:ilvl="0">
      <w:lvlJc w:val="left"/>
      <w:lvlText w:val="%1"/>
      <w:numFmt w:val="decimal"/>
      <w:start w:val="1"/>
    </w:lvl>
    <w:lvl w:ilvl="1">
      <w:lvlJc w:val="left"/>
      <w:lvlText w:val="(%2)"/>
      <w:numFmt w:val="lowerLetter"/>
      <w:start w:val="1"/>
    </w:lvl>
  </w:abstractNum>
  <w:abstractNum w:abstractNumId="59">
    <w:nsid w:val="3B0FD379"/>
    <w:multiLevelType w:val="hybridMultilevel"/>
    <w:lvl w:ilvl="0">
      <w:lvlJc w:val="left"/>
      <w:lvlText w:val="(%1)"/>
      <w:numFmt w:val="decimal"/>
      <w:start w:val="8"/>
    </w:lvl>
    <w:lvl w:ilvl="1">
      <w:lvlJc w:val="left"/>
      <w:lvlText w:val="%2"/>
      <w:numFmt w:val="lowerLetter"/>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lvl w:ilvl="1">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lowerRoman"/>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jpe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jpe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18" Type="http://schemas.openxmlformats.org/officeDocument/2006/relationships/hyperlink" Target="http://www.sec.gov/Archives/edgar/data/1508655/000156459020005268/tslx-10k_20191231.htm" TargetMode="External"/><Relationship Id="rId19" Type="http://schemas.openxmlformats.org/officeDocument/2006/relationships/hyperlink" Target="http://www.sec.gov/Archives/edgar/data/1508655/000119312520110610/d917340ddef14a.htm" TargetMode="External"/><Relationship Id="rId20" Type="http://schemas.openxmlformats.org/officeDocument/2006/relationships/hyperlink" Target="http://www.sec.gov/Archives/edgar/data/1508655/000156459020021239/tslx-10q_20200331.htm" TargetMode="External"/><Relationship Id="rId21" Type="http://schemas.openxmlformats.org/officeDocument/2006/relationships/hyperlink" Target="http://www.sec.gov/Archives/edgar/data/1508655/000156459020036104/tslx-10q_20200630.htm" TargetMode="External"/><Relationship Id="rId22" Type="http://schemas.openxmlformats.org/officeDocument/2006/relationships/hyperlink" Target="http://www.sec.gov/Archives/edgar/data/1508655/000156459020050467/tslx-10q_20200930.htm" TargetMode="External"/><Relationship Id="rId23" Type="http://schemas.openxmlformats.org/officeDocument/2006/relationships/hyperlink" Target="http://www.sec.gov/Archives/edgar/data/1508655/000119312520162177/d927002d8k.htm" TargetMode="External"/><Relationship Id="rId24" Type="http://schemas.openxmlformats.org/officeDocument/2006/relationships/hyperlink" Target="http://www.sec.gov/Archives/edgar/data/1508655/000119312520174009/d936084d8k.htm" TargetMode="External"/><Relationship Id="rId25" Type="http://schemas.openxmlformats.org/officeDocument/2006/relationships/hyperlink" Target="http://www.sec.gov/Archives/edgar/data/1508655/000119312520269413/d21454d8k.htm" TargetMode="External"/><Relationship Id="rId216" Type="http://schemas.openxmlformats.org/officeDocument/2006/relationships/hyperlink" Target="http://www.sec.gov/Archives/edgar/data/1508655/000156459019003442/tslx-10k_20181231.htm" TargetMode="External"/><Relationship Id="rId217" Type="http://schemas.openxmlformats.org/officeDocument/2006/relationships/hyperlink" Target="http://www.sec.gov/Archives/edgar/data/1508655/000119312519099195/d928549ddef14a.htm" TargetMode="External"/><Relationship Id="rId218" Type="http://schemas.openxmlformats.org/officeDocument/2006/relationships/hyperlink" Target="http://www.sec.gov/Archives/edgar/data/1508655/000156459019015321/tslx-10q_20190331.htm" TargetMode="External"/><Relationship Id="rId219" Type="http://schemas.openxmlformats.org/officeDocument/2006/relationships/hyperlink" Target="http://www.sec.gov/Archives/edgar/data/1508655/000119312519025867/d642257d8k.htm" TargetMode="External"/><Relationship Id="rId220"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2021-01-29T05:10:50Z</dcterms:created>
  <dcterms:modified xsi:type="dcterms:W3CDTF">2021-01-29T05:10:50Z</dcterms:modified>
</cp:coreProperties>
</file>