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Waxman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03/16/2012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4"/>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660"/>
              <w:spacing w:after="0"/>
              <w:rPr>
                <w:sz w:val="20"/>
                <w:szCs w:val="20"/>
                <w:color w:val="auto"/>
              </w:rPr>
            </w:pPr>
            <w:r>
              <w:rPr>
                <w:rFonts w:ascii="Arial" w:cs="Arial" w:eastAsia="Arial" w:hAnsi="Arial"/>
                <w:sz w:val="18"/>
                <w:szCs w:val="18"/>
                <w:color w:val="0000FF"/>
              </w:rPr>
              <w:t>03/16/2012</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ind w:left="180"/>
              <w:spacing w:after="0"/>
              <w:rPr>
                <w:sz w:val="20"/>
                <w:szCs w:val="20"/>
                <w:color w:val="auto"/>
              </w:rPr>
            </w:pPr>
            <w:r>
              <w:rPr>
                <w:rFonts w:ascii="Arial" w:cs="Arial" w:eastAsia="Arial" w:hAnsi="Arial"/>
                <w:sz w:val="18"/>
                <w:szCs w:val="18"/>
                <w:color w:val="0000FF"/>
              </w:rPr>
              <w:t>4,867</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ind w:left="8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985.01</w:t>
            </w:r>
          </w:p>
        </w:tc>
        <w:tc>
          <w:tcPr>
            <w:tcW w:w="1300" w:type="dxa"/>
            <w:vAlign w:val="bottom"/>
            <w:gridSpan w:val="3"/>
            <w:vMerge w:val="restart"/>
          </w:tcPr>
          <w:p>
            <w:pPr>
              <w:ind w:left="400"/>
              <w:spacing w:after="0"/>
              <w:rPr>
                <w:sz w:val="20"/>
                <w:szCs w:val="20"/>
                <w:color w:val="auto"/>
              </w:rPr>
            </w:pPr>
            <w:r>
              <w:rPr>
                <w:rFonts w:ascii="Arial" w:cs="Arial" w:eastAsia="Arial" w:hAnsi="Arial"/>
                <w:sz w:val="18"/>
                <w:szCs w:val="18"/>
                <w:color w:val="0000FF"/>
              </w:rPr>
              <w:t>18,854</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0"/>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TSL Advisers, LLC ("TSL Advisers") directly holds 18,854 shares of Common Stock of the Issuer (the "TSL Shares"), including 821.9 shares of Common Stock of the Issuer indirectly beneficially owned by Mr. Waxman (through his limited partnership interest in TSL Equity Partners, L.P., which is a member of TSL Advisers). In addition, Mr. Waxman is a member of the board of managers of TSL Advisers and therefore may be deemed to beneficially own all of the TSL Shares. Mr. Waxman disclaims beneficial ownership of the TSL Shares except to the extent of his pecuniary interest therein.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Waxman pursuant to the authorization and designation letter dated March 10, 2011, which was previously filed with the Securities and Exchange Commission as an exhibit to a Form 3 filed by Mr. Waxman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03/20/2012</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Alan Waxman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2"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2019-12-17T05:14:21Z</dcterms:created>
  <dcterms:modified xsi:type="dcterms:W3CDTF">2019-12-17T05:14:21Z</dcterms:modified>
</cp:coreProperties>
</file>