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3"/>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Sixth Street Partners</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vMerge w:val="restart"/>
          </w:tcPr>
          <w:p>
            <w:pPr>
              <w:ind w:left="200"/>
              <w:spacing w:after="0"/>
              <w:rPr>
                <w:sz w:val="20"/>
                <w:szCs w:val="20"/>
                <w:color w:val="auto"/>
              </w:rPr>
            </w:pPr>
            <w:r>
              <w:rPr>
                <w:rFonts w:ascii="Arial" w:cs="Arial" w:eastAsia="Arial" w:hAnsi="Arial"/>
                <w:sz w:val="20"/>
                <w:szCs w:val="20"/>
                <w:color w:val="0000FF"/>
              </w:rPr>
              <w:t>06/22/2021</w:t>
            </w: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780" w:type="dxa"/>
            <w:vAlign w:val="bottom"/>
            <w:gridSpan w:val="3"/>
          </w:tcPr>
          <w:p>
            <w:pPr>
              <w:spacing w:after="0" w:line="250" w:lineRule="exact"/>
              <w:rPr>
                <w:rFonts w:ascii="Arial" w:cs="Arial" w:eastAsia="Arial" w:hAnsi="Arial"/>
                <w:sz w:val="24"/>
                <w:szCs w:val="24"/>
                <w:color w:val="0000EE"/>
                <w:w w:val="90"/>
              </w:rPr>
            </w:pPr>
            <w:hyperlink r:id="rId10">
              <w:r>
                <w:rPr>
                  <w:rFonts w:ascii="Arial" w:cs="Arial" w:eastAsia="Arial" w:hAnsi="Arial"/>
                  <w:sz w:val="24"/>
                  <w:szCs w:val="24"/>
                  <w:color w:val="0000EE"/>
                  <w:w w:val="90"/>
                </w:rPr>
                <w:t>Management Company, L.P.</w:t>
              </w:r>
            </w:hyperlink>
          </w:p>
        </w:tc>
        <w:tc>
          <w:tcPr>
            <w:tcW w:w="24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0"/>
          <w:szCs w:val="20"/>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Sprinklr,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CXM</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522"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9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right="1357"/>
        <w:spacing w:after="0" w:line="269" w:lineRule="auto"/>
        <w:rPr>
          <w:sz w:val="20"/>
          <w:szCs w:val="20"/>
          <w:color w:val="auto"/>
        </w:rPr>
      </w:pPr>
      <w:r>
        <w:rPr>
          <w:rFonts w:ascii="Arial" w:cs="Arial" w:eastAsia="Arial" w:hAnsi="Arial"/>
          <w:sz w:val="20"/>
          <w:szCs w:val="20"/>
          <w:color w:val="0000FF"/>
        </w:rPr>
        <w:t>C/O SIXTH STREET PARTNERS, LLC</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8"/>
          <w:szCs w:val="18"/>
          <w:color w:val="0000FF"/>
        </w:rPr>
        <w:t>2100 MCKINNEY AVENUE, SUITE</w:t>
      </w:r>
    </w:p>
    <w:p>
      <w:pPr>
        <w:spacing w:after="0" w:line="41"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1500</w:t>
      </w:r>
    </w:p>
    <w:p>
      <w:pPr>
        <w:spacing w:after="0" w:line="32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75201</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6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515"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7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4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9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29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6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46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7"/>
                <w:szCs w:val="17"/>
                <w:color w:val="auto"/>
              </w:rPr>
            </w:pPr>
          </w:p>
        </w:tc>
        <w:tc>
          <w:tcPr>
            <w:tcW w:w="146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9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vMerge w:val="restart"/>
          </w:tcPr>
          <w:p>
            <w:pPr>
              <w:jc w:val="center"/>
              <w:ind w:left="42"/>
              <w:spacing w:after="0"/>
              <w:rPr>
                <w:sz w:val="20"/>
                <w:szCs w:val="20"/>
                <w:color w:val="auto"/>
              </w:rPr>
            </w:pPr>
            <w:r>
              <w:rPr>
                <w:rFonts w:ascii="Arial" w:cs="Arial" w:eastAsia="Arial" w:hAnsi="Arial"/>
                <w:sz w:val="20"/>
                <w:szCs w:val="20"/>
                <w:color w:val="0000FF"/>
                <w:w w:val="89"/>
              </w:rPr>
              <w:t>Class A Common</w:t>
            </w:r>
          </w:p>
        </w:tc>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80" w:type="dxa"/>
            <w:vAlign w:val="bottom"/>
          </w:tcPr>
          <w:p>
            <w:pPr>
              <w:ind w:left="260"/>
              <w:spacing w:after="0"/>
              <w:rPr>
                <w:sz w:val="20"/>
                <w:szCs w:val="20"/>
                <w:color w:val="auto"/>
              </w:rPr>
            </w:pPr>
            <w:r>
              <w:rPr>
                <w:rFonts w:ascii="Arial" w:cs="Arial" w:eastAsia="Arial" w:hAnsi="Arial"/>
                <w:sz w:val="20"/>
                <w:szCs w:val="20"/>
                <w:color w:val="0000FF"/>
              </w:rPr>
              <w:t>Held by Palette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2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124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008000"/>
              </w:rPr>
              <w:t>(1)</w:t>
            </w:r>
          </w:p>
        </w:tc>
        <w:tc>
          <w:tcPr>
            <w:tcW w:w="1820" w:type="dxa"/>
            <w:vAlign w:val="bottom"/>
            <w:vMerge w:val="continue"/>
          </w:tcPr>
          <w:p>
            <w:pPr>
              <w:spacing w:after="0"/>
              <w:rPr>
                <w:sz w:val="10"/>
                <w:szCs w:val="10"/>
                <w:color w:val="auto"/>
              </w:rPr>
            </w:pPr>
          </w:p>
        </w:tc>
        <w:tc>
          <w:tcPr>
            <w:tcW w:w="1160" w:type="dxa"/>
            <w:vAlign w:val="bottom"/>
            <w:vMerge w:val="restart"/>
          </w:tcPr>
          <w:p>
            <w:pPr>
              <w:jc w:val="right"/>
              <w:ind w:right="162"/>
              <w:spacing w:after="0"/>
              <w:rPr>
                <w:sz w:val="20"/>
                <w:szCs w:val="20"/>
                <w:color w:val="auto"/>
              </w:rPr>
            </w:pPr>
            <w:r>
              <w:rPr>
                <w:rFonts w:ascii="Arial" w:cs="Arial" w:eastAsia="Arial" w:hAnsi="Arial"/>
                <w:sz w:val="20"/>
                <w:szCs w:val="20"/>
                <w:color w:val="0000FF"/>
                <w:w w:val="98"/>
              </w:rPr>
              <w:t>9,209,304</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680" w:type="dxa"/>
            <w:vAlign w:val="bottom"/>
            <w:vMerge w:val="restart"/>
          </w:tcPr>
          <w:p>
            <w:pPr>
              <w:ind w:left="260"/>
              <w:spacing w:after="0"/>
              <w:rPr>
                <w:sz w:val="20"/>
                <w:szCs w:val="20"/>
                <w:color w:val="auto"/>
              </w:rPr>
            </w:pPr>
            <w:r>
              <w:rPr>
                <w:rFonts w:ascii="Arial" w:cs="Arial" w:eastAsia="Arial" w:hAnsi="Arial"/>
                <w:sz w:val="20"/>
                <w:szCs w:val="20"/>
                <w:color w:val="0000FF"/>
              </w:rPr>
              <w:t>Investments,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820" w:type="dxa"/>
            <w:vAlign w:val="bottom"/>
            <w:vMerge w:val="restart"/>
          </w:tcPr>
          <w:p>
            <w:pPr>
              <w:jc w:val="center"/>
              <w:ind w:left="42"/>
              <w:spacing w:after="0"/>
              <w:rPr>
                <w:sz w:val="20"/>
                <w:szCs w:val="20"/>
                <w:color w:val="auto"/>
              </w:rPr>
            </w:pPr>
            <w:r>
              <w:rPr>
                <w:rFonts w:ascii="Arial" w:cs="Arial" w:eastAsia="Arial" w:hAnsi="Arial"/>
                <w:sz w:val="20"/>
                <w:szCs w:val="20"/>
                <w:color w:val="0000FF"/>
                <w:w w:val="87"/>
              </w:rPr>
              <w:t>Stock</w:t>
            </w:r>
          </w:p>
        </w:tc>
        <w:tc>
          <w:tcPr>
            <w:tcW w:w="11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vMerge w:val="restart"/>
          </w:tcPr>
          <w:p>
            <w:pPr>
              <w:ind w:left="260"/>
              <w:spacing w:after="0" w:line="309" w:lineRule="exact"/>
              <w:rPr>
                <w:sz w:val="20"/>
                <w:szCs w:val="20"/>
                <w:color w:val="auto"/>
              </w:rPr>
            </w:pPr>
            <w:r>
              <w:rPr>
                <w:rFonts w:ascii="Arial" w:cs="Arial" w:eastAsia="Arial" w:hAnsi="Arial"/>
                <w:sz w:val="35"/>
                <w:szCs w:val="35"/>
                <w:color w:val="0000FF"/>
                <w:vertAlign w:val="subscript"/>
              </w:rPr>
              <w:t>LLC</w:t>
            </w:r>
            <w:r>
              <w:rPr>
                <w:rFonts w:ascii="Arial" w:cs="Arial" w:eastAsia="Arial" w:hAnsi="Arial"/>
                <w:sz w:val="12"/>
                <w:szCs w:val="12"/>
                <w:color w:val="008000"/>
              </w:rPr>
              <w:t>(2)(3)(5)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20" w:type="dxa"/>
            <w:vAlign w:val="bottom"/>
            <w:tcBorders>
              <w:bottom w:val="single" w:sz="8" w:color="2C2C2C"/>
            </w:tcBorders>
          </w:tcPr>
          <w:p>
            <w:pPr>
              <w:spacing w:after="0"/>
              <w:rPr>
                <w:sz w:val="16"/>
                <w:szCs w:val="16"/>
                <w:color w:val="auto"/>
              </w:rPr>
            </w:pPr>
          </w:p>
        </w:tc>
        <w:tc>
          <w:tcPr>
            <w:tcW w:w="124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116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vMerge w:val="restart"/>
          </w:tcPr>
          <w:p>
            <w:pPr>
              <w:jc w:val="center"/>
              <w:ind w:left="42"/>
              <w:spacing w:after="0"/>
              <w:rPr>
                <w:sz w:val="20"/>
                <w:szCs w:val="20"/>
                <w:color w:val="auto"/>
              </w:rPr>
            </w:pPr>
            <w:r>
              <w:rPr>
                <w:rFonts w:ascii="Arial" w:cs="Arial" w:eastAsia="Arial" w:hAnsi="Arial"/>
                <w:sz w:val="20"/>
                <w:szCs w:val="20"/>
                <w:color w:val="0000FF"/>
                <w:w w:val="89"/>
              </w:rPr>
              <w:t>Class A Common</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ind w:left="260"/>
              <w:spacing w:after="0"/>
              <w:rPr>
                <w:sz w:val="20"/>
                <w:szCs w:val="20"/>
                <w:color w:val="auto"/>
              </w:rPr>
            </w:pPr>
            <w:r>
              <w:rPr>
                <w:rFonts w:ascii="Arial" w:cs="Arial" w:eastAsia="Arial" w:hAnsi="Arial"/>
                <w:sz w:val="20"/>
                <w:szCs w:val="20"/>
                <w:color w:val="0000FF"/>
              </w:rPr>
              <w:t>Held by Sixth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20" w:type="dxa"/>
            <w:vAlign w:val="bottom"/>
            <w:vMerge w:val="restart"/>
          </w:tcPr>
          <w:p>
            <w:pPr>
              <w:ind w:left="80"/>
              <w:spacing w:after="0"/>
              <w:rPr>
                <w:sz w:val="20"/>
                <w:szCs w:val="20"/>
                <w:color w:val="auto"/>
              </w:rPr>
            </w:pPr>
            <w:r>
              <w:rPr>
                <w:rFonts w:ascii="Arial" w:cs="Arial" w:eastAsia="Arial" w:hAnsi="Arial"/>
                <w:sz w:val="20"/>
                <w:szCs w:val="20"/>
                <w:color w:val="0000FF"/>
              </w:rPr>
              <w:t>Class B Common Stock</w:t>
            </w:r>
          </w:p>
        </w:tc>
        <w:tc>
          <w:tcPr>
            <w:tcW w:w="1240" w:type="dxa"/>
            <w:vAlign w:val="bottom"/>
            <w:vMerge w:val="restart"/>
          </w:tcPr>
          <w:p>
            <w:pPr>
              <w:jc w:val="right"/>
              <w:ind w:right="337"/>
              <w:spacing w:after="0"/>
              <w:rPr>
                <w:sz w:val="20"/>
                <w:szCs w:val="20"/>
                <w:color w:val="auto"/>
              </w:rPr>
            </w:pPr>
            <w:r>
              <w:rPr>
                <w:rFonts w:ascii="Arial" w:cs="Arial" w:eastAsia="Arial" w:hAnsi="Arial"/>
                <w:sz w:val="13"/>
                <w:szCs w:val="13"/>
                <w:color w:val="008000"/>
              </w:rPr>
              <w:t>(1)</w:t>
            </w: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008000"/>
              </w:rPr>
              <w:t>(1)</w:t>
            </w:r>
          </w:p>
        </w:tc>
        <w:tc>
          <w:tcPr>
            <w:tcW w:w="1820" w:type="dxa"/>
            <w:vAlign w:val="bottom"/>
            <w:vMerge w:val="continue"/>
          </w:tcPr>
          <w:p>
            <w:pPr>
              <w:spacing w:after="0"/>
              <w:rPr>
                <w:sz w:val="10"/>
                <w:szCs w:val="10"/>
                <w:color w:val="auto"/>
              </w:rPr>
            </w:pPr>
          </w:p>
        </w:tc>
        <w:tc>
          <w:tcPr>
            <w:tcW w:w="1160" w:type="dxa"/>
            <w:vAlign w:val="bottom"/>
            <w:vMerge w:val="restart"/>
          </w:tcPr>
          <w:p>
            <w:pPr>
              <w:jc w:val="right"/>
              <w:ind w:right="222"/>
              <w:spacing w:after="0"/>
              <w:rPr>
                <w:sz w:val="20"/>
                <w:szCs w:val="20"/>
                <w:color w:val="auto"/>
              </w:rPr>
            </w:pPr>
            <w:r>
              <w:rPr>
                <w:rFonts w:ascii="Arial" w:cs="Arial" w:eastAsia="Arial" w:hAnsi="Arial"/>
                <w:sz w:val="20"/>
                <w:szCs w:val="20"/>
                <w:color w:val="0000FF"/>
              </w:rPr>
              <w:t>484,700</w:t>
            </w:r>
          </w:p>
        </w:tc>
        <w:tc>
          <w:tcPr>
            <w:tcW w:w="820" w:type="dxa"/>
            <w:vAlign w:val="bottom"/>
            <w:vMerge w:val="restart"/>
          </w:tcPr>
          <w:p>
            <w:pPr>
              <w:jc w:val="right"/>
              <w:ind w:right="357"/>
              <w:spacing w:after="0"/>
              <w:rPr>
                <w:sz w:val="20"/>
                <w:szCs w:val="20"/>
                <w:color w:val="auto"/>
              </w:rPr>
            </w:pPr>
            <w:r>
              <w:rPr>
                <w:rFonts w:ascii="Arial" w:cs="Arial" w:eastAsia="Arial" w:hAnsi="Arial"/>
                <w:sz w:val="13"/>
                <w:szCs w:val="13"/>
                <w:color w:val="008000"/>
              </w:rPr>
              <w:t>(1)</w:t>
            </w:r>
          </w:p>
        </w:tc>
        <w:tc>
          <w:tcPr>
            <w:tcW w:w="74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680" w:type="dxa"/>
            <w:vAlign w:val="bottom"/>
            <w:vMerge w:val="restart"/>
          </w:tcPr>
          <w:p>
            <w:pPr>
              <w:ind w:left="260"/>
              <w:spacing w:after="0"/>
              <w:rPr>
                <w:sz w:val="20"/>
                <w:szCs w:val="20"/>
                <w:color w:val="auto"/>
              </w:rPr>
            </w:pPr>
            <w:r>
              <w:rPr>
                <w:rFonts w:ascii="Arial" w:cs="Arial" w:eastAsia="Arial" w:hAnsi="Arial"/>
                <w:sz w:val="20"/>
                <w:szCs w:val="20"/>
                <w:color w:val="0000FF"/>
                <w:w w:val="99"/>
              </w:rPr>
              <w:t>Street Specialty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820" w:type="dxa"/>
            <w:vAlign w:val="bottom"/>
            <w:vMerge w:val="restart"/>
          </w:tcPr>
          <w:p>
            <w:pPr>
              <w:jc w:val="center"/>
              <w:ind w:left="42"/>
              <w:spacing w:after="0"/>
              <w:rPr>
                <w:sz w:val="20"/>
                <w:szCs w:val="20"/>
                <w:color w:val="auto"/>
              </w:rPr>
            </w:pPr>
            <w:r>
              <w:rPr>
                <w:rFonts w:ascii="Arial" w:cs="Arial" w:eastAsia="Arial" w:hAnsi="Arial"/>
                <w:sz w:val="20"/>
                <w:szCs w:val="20"/>
                <w:color w:val="0000FF"/>
                <w:w w:val="87"/>
              </w:rPr>
              <w:t>Stock</w:t>
            </w:r>
          </w:p>
        </w:tc>
        <w:tc>
          <w:tcPr>
            <w:tcW w:w="11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vMerge w:val="restart"/>
          </w:tcPr>
          <w:p>
            <w:pPr>
              <w:ind w:left="260"/>
              <w:spacing w:after="0"/>
              <w:rPr>
                <w:sz w:val="20"/>
                <w:szCs w:val="20"/>
                <w:color w:val="auto"/>
              </w:rPr>
            </w:pPr>
            <w:r>
              <w:rPr>
                <w:rFonts w:ascii="Arial" w:cs="Arial" w:eastAsia="Arial" w:hAnsi="Arial"/>
                <w:sz w:val="20"/>
                <w:szCs w:val="20"/>
                <w:color w:val="0000FF"/>
                <w:w w:val="90"/>
              </w:rPr>
              <w:t>Lending, Inc.</w:t>
            </w:r>
            <w:r>
              <w:rPr>
                <w:rFonts w:ascii="Arial" w:cs="Arial" w:eastAsia="Arial" w:hAnsi="Arial"/>
                <w:sz w:val="25"/>
                <w:szCs w:val="25"/>
                <w:color w:val="008000"/>
                <w:w w:val="90"/>
                <w:vertAlign w:val="superscript"/>
              </w:rPr>
              <w:t>(4)(5)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0" w:type="dxa"/>
            <w:vAlign w:val="bottom"/>
            <w:tcBorders>
              <w:bottom w:val="single" w:sz="8" w:color="2C2C2C"/>
            </w:tcBorders>
          </w:tcPr>
          <w:p>
            <w:pPr>
              <w:spacing w:after="0"/>
              <w:rPr>
                <w:sz w:val="18"/>
                <w:szCs w:val="18"/>
                <w:color w:val="auto"/>
              </w:rPr>
            </w:pPr>
          </w:p>
        </w:tc>
        <w:tc>
          <w:tcPr>
            <w:tcW w:w="2620" w:type="dxa"/>
            <w:vAlign w:val="bottom"/>
            <w:tcBorders>
              <w:bottom w:val="single" w:sz="8" w:color="2C2C2C"/>
            </w:tcBorders>
          </w:tcPr>
          <w:p>
            <w:pPr>
              <w:spacing w:after="0"/>
              <w:rPr>
                <w:sz w:val="18"/>
                <w:szCs w:val="18"/>
                <w:color w:val="auto"/>
              </w:rPr>
            </w:pPr>
          </w:p>
        </w:tc>
        <w:tc>
          <w:tcPr>
            <w:tcW w:w="12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820" w:type="dxa"/>
            <w:vAlign w:val="bottom"/>
            <w:tcBorders>
              <w:bottom w:val="single" w:sz="8" w:color="2C2C2C"/>
            </w:tcBorders>
          </w:tcPr>
          <w:p>
            <w:pPr>
              <w:spacing w:after="0"/>
              <w:rPr>
                <w:sz w:val="18"/>
                <w:szCs w:val="18"/>
                <w:color w:val="auto"/>
              </w:rPr>
            </w:pPr>
          </w:p>
        </w:tc>
        <w:tc>
          <w:tcPr>
            <w:tcW w:w="11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168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24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Sixth Street Partners Management</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Company, L.P.</w:t>
        </w:r>
      </w:hyperlink>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C/O SIXTH STREET PARTNERS, LLC</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2100 MCKINNEY AVENUE, SUITE 1500</w:t>
      </w:r>
    </w:p>
    <w:p>
      <w:pPr>
        <w:spacing w:after="0" w:line="334"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DALLAS</w:t>
            </w:r>
          </w:p>
        </w:tc>
        <w:tc>
          <w:tcPr>
            <w:tcW w:w="1220" w:type="dxa"/>
            <w:vAlign w:val="bottom"/>
          </w:tcPr>
          <w:p>
            <w:pPr>
              <w:ind w:left="300"/>
              <w:spacing w:after="0"/>
              <w:rPr>
                <w:sz w:val="20"/>
                <w:szCs w:val="20"/>
                <w:color w:val="auto"/>
              </w:rPr>
            </w:pPr>
            <w:r>
              <w:rPr>
                <w:rFonts w:ascii="Arial" w:cs="Arial" w:eastAsia="Arial" w:hAnsi="Arial"/>
                <w:sz w:val="20"/>
                <w:szCs w:val="20"/>
                <w:color w:val="0000FF"/>
              </w:rPr>
              <w:t>TX</w:t>
            </w:r>
          </w:p>
        </w:tc>
        <w:tc>
          <w:tcPr>
            <w:tcW w:w="1800" w:type="dxa"/>
            <w:vAlign w:val="bottom"/>
          </w:tcPr>
          <w:p>
            <w:pPr>
              <w:ind w:left="460"/>
              <w:spacing w:after="0"/>
              <w:rPr>
                <w:sz w:val="20"/>
                <w:szCs w:val="20"/>
                <w:color w:val="auto"/>
              </w:rPr>
            </w:pPr>
            <w:r>
              <w:rPr>
                <w:rFonts w:ascii="Arial" w:cs="Arial" w:eastAsia="Arial" w:hAnsi="Arial"/>
                <w:sz w:val="20"/>
                <w:szCs w:val="20"/>
                <w:color w:val="0000FF"/>
              </w:rPr>
              <w:t>75201</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12">
        <w:r>
          <w:rPr>
            <w:rFonts w:ascii="Arial" w:cs="Arial" w:eastAsia="Arial" w:hAnsi="Arial"/>
            <w:sz w:val="24"/>
            <w:szCs w:val="24"/>
            <w:u w:val="single" w:color="auto"/>
            <w:color w:val="0000EE"/>
          </w:rPr>
          <w:t>Sixth Street Specialty Lending, Inc.</w:t>
        </w:r>
      </w:hyperlink>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ectPr>
          <w:pgSz w:w="11900" w:h="16838" w:orient="portrait"/>
          <w:cols w:equalWidth="0" w:num="1">
            <w:col w:w="10940"/>
          </w:cols>
          <w:pgMar w:left="480" w:top="236" w:right="479" w:bottom="0" w:gutter="0" w:footer="0" w:header="0"/>
          <w:type w:val="continuous"/>
        </w:sectPr>
      </w:pPr>
    </w:p>
    <w:p>
      <w:pPr>
        <w:spacing w:after="0" w:line="74" w:lineRule="exact"/>
        <w:rPr>
          <w:sz w:val="20"/>
          <w:szCs w:val="20"/>
          <w:color w:val="auto"/>
        </w:rPr>
      </w:pPr>
    </w:p>
    <w:p>
      <w:pPr>
        <w:ind w:left="140"/>
        <w:spacing w:after="0"/>
        <w:rPr>
          <w:sz w:val="20"/>
          <w:szCs w:val="20"/>
          <w:color w:val="auto"/>
        </w:rPr>
      </w:pPr>
      <w:r>
        <w:rPr>
          <w:rFonts w:ascii="Arial" w:cs="Arial" w:eastAsia="Arial" w:hAnsi="Arial"/>
          <w:sz w:val="18"/>
          <w:szCs w:val="18"/>
          <w:color w:val="0000FF"/>
        </w:rPr>
        <w:t>C/O SIXTH STREET PARTNERS, LLC</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120"/>
        <w:spacing w:after="0"/>
        <w:rPr>
          <w:sz w:val="20"/>
          <w:szCs w:val="20"/>
          <w:color w:val="auto"/>
        </w:rPr>
      </w:pPr>
      <w:r>
        <w:rPr>
          <w:rFonts w:ascii="Arial" w:cs="Arial" w:eastAsia="Arial" w:hAnsi="Arial"/>
          <w:sz w:val="20"/>
          <w:szCs w:val="20"/>
          <w:color w:val="0000FF"/>
        </w:rPr>
        <w:t>2100 MCKINNEY AVENUE, SUITE 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-139065</wp:posOffset>
            </wp:positionV>
            <wp:extent cx="2798445" cy="32334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323342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50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20"/>
                <w:szCs w:val="20"/>
                <w:color w:val="0000FF"/>
              </w:rPr>
              <w:t>DALLAS</w:t>
            </w:r>
          </w:p>
        </w:tc>
        <w:tc>
          <w:tcPr>
            <w:tcW w:w="920" w:type="dxa"/>
            <w:vAlign w:val="bottom"/>
          </w:tcPr>
          <w:p>
            <w:pPr>
              <w:spacing w:after="0"/>
              <w:rPr>
                <w:sz w:val="20"/>
                <w:szCs w:val="20"/>
                <w:color w:val="auto"/>
              </w:rPr>
            </w:pPr>
            <w:r>
              <w:rPr>
                <w:rFonts w:ascii="Arial" w:cs="Arial" w:eastAsia="Arial" w:hAnsi="Arial"/>
                <w:sz w:val="20"/>
                <w:szCs w:val="20"/>
                <w:color w:val="0000FF"/>
              </w:rPr>
              <w:t>TX</w:t>
            </w:r>
          </w:p>
        </w:tc>
        <w:tc>
          <w:tcPr>
            <w:tcW w:w="1800" w:type="dxa"/>
            <w:vAlign w:val="bottom"/>
          </w:tcPr>
          <w:p>
            <w:pPr>
              <w:ind w:left="460"/>
              <w:spacing w:after="0"/>
              <w:rPr>
                <w:sz w:val="20"/>
                <w:szCs w:val="20"/>
                <w:color w:val="auto"/>
              </w:rPr>
            </w:pPr>
            <w:r>
              <w:rPr>
                <w:rFonts w:ascii="Arial" w:cs="Arial" w:eastAsia="Arial" w:hAnsi="Arial"/>
                <w:sz w:val="20"/>
                <w:szCs w:val="20"/>
                <w:color w:val="0000FF"/>
              </w:rPr>
              <w:t>75201</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5"/>
                <w:szCs w:val="15"/>
                <w:color w:val="auto"/>
              </w:rPr>
              <w:t>(City)</w:t>
            </w:r>
          </w:p>
        </w:tc>
        <w:tc>
          <w:tcPr>
            <w:tcW w:w="920" w:type="dxa"/>
            <w:vAlign w:val="bottom"/>
          </w:tcPr>
          <w:p>
            <w:pPr>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gridSpan w:val="2"/>
          </w:tcPr>
          <w:p>
            <w:pPr>
              <w:spacing w:after="0" w:line="249" w:lineRule="exact"/>
              <w:rPr>
                <w:rFonts w:ascii="Arial" w:cs="Arial" w:eastAsia="Arial" w:hAnsi="Arial"/>
                <w:sz w:val="24"/>
                <w:szCs w:val="24"/>
                <w:color w:val="0000EE"/>
                <w:w w:val="91"/>
              </w:rPr>
            </w:pPr>
            <w:hyperlink r:id="rId14">
              <w:r>
                <w:rPr>
                  <w:rFonts w:ascii="Arial" w:cs="Arial" w:eastAsia="Arial" w:hAnsi="Arial"/>
                  <w:sz w:val="24"/>
                  <w:szCs w:val="24"/>
                  <w:color w:val="0000EE"/>
                  <w:w w:val="91"/>
                </w:rPr>
                <w:t>Waxman Alan</w:t>
              </w:r>
            </w:hyperlink>
          </w:p>
        </w:tc>
        <w:tc>
          <w:tcPr>
            <w:tcW w:w="9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5"/>
                <w:szCs w:val="15"/>
                <w:color w:val="auto"/>
              </w:rPr>
              <w:t>(Last)</w:t>
            </w:r>
          </w:p>
        </w:tc>
        <w:tc>
          <w:tcPr>
            <w:tcW w:w="920" w:type="dxa"/>
            <w:vAlign w:val="bottom"/>
          </w:tcPr>
          <w:p>
            <w:pPr>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SIXTH STREET PARTNERS, LLC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345 CALIFORNIA STREET, SUITE 3300</w:t>
      </w:r>
    </w:p>
    <w:p>
      <w:pPr>
        <w:spacing w:after="0" w:line="334"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ind w:left="120"/>
        <w:spacing w:after="0" w:line="214" w:lineRule="auto"/>
        <w:tabs>
          <w:tab w:leader="none" w:pos="1480" w:val="left"/>
          <w:tab w:leader="none" w:pos="2860" w:val="left"/>
        </w:tabs>
        <w:rPr>
          <w:sz w:val="20"/>
          <w:szCs w:val="20"/>
          <w:color w:val="auto"/>
        </w:rPr>
      </w:pPr>
      <w:r>
        <w:rPr>
          <w:rFonts w:ascii="Arial" w:cs="Arial" w:eastAsia="Arial" w:hAnsi="Arial"/>
          <w:sz w:val="19"/>
          <w:szCs w:val="19"/>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94104</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FRANCISCO</w:t>
      </w:r>
    </w:p>
    <w:p>
      <w:pPr>
        <w:spacing w:after="0" w:line="36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180" w:hanging="155"/>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share of the Company's Class B Common Stock is convertible into a share of the Company's Class A Common stock on a 1-to-1 basis and has no expiration date.</w:t>
      </w:r>
    </w:p>
    <w:p>
      <w:pPr>
        <w:spacing w:after="0" w:line="64" w:lineRule="exact"/>
        <w:rPr>
          <w:rFonts w:ascii="Arial" w:cs="Arial" w:eastAsia="Arial" w:hAnsi="Arial"/>
          <w:sz w:val="14"/>
          <w:szCs w:val="14"/>
          <w:color w:val="008000"/>
        </w:rPr>
      </w:pPr>
    </w:p>
    <w:p>
      <w:pPr>
        <w:ind w:left="20" w:firstLine="5"/>
        <w:spacing w:after="0" w:line="238"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are owned directly by Palette Investments, LLC. Palette Investments, LLC is owned by each of (i) TCS Finance (A), LLC, a Delaware limited liability company, (ii) TCS Finance 1, LLC, a Delaware limited liability company and (iii) Palette IV Holdings, LLC, a Delaware limited liability company. Sixth Street Capital Solutions GenPar, L.P., a Delaware limited partnership, is the manager of TCS Finance (A), LLC and TCS Finance 1, LLC. Sixth Street Opportunities GenPar IV, L.P., a Delaware limited partnership, is the manager of Palette IV Holdings, LLC.</w:t>
      </w:r>
    </w:p>
    <w:p>
      <w:pPr>
        <w:spacing w:after="0" w:line="36" w:lineRule="exact"/>
        <w:rPr>
          <w:rFonts w:ascii="Arial" w:cs="Arial" w:eastAsia="Arial" w:hAnsi="Arial"/>
          <w:sz w:val="15"/>
          <w:szCs w:val="15"/>
          <w:color w:val="008000"/>
        </w:rPr>
      </w:pPr>
    </w:p>
    <w:p>
      <w:pPr>
        <w:ind w:left="20" w:firstLine="5"/>
        <w:spacing w:after="0" w:line="238"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of Sixth Street Opportunities GenPar IV, L.P. and Sixth Street Capital Solutions GenPar, L.P. is ultimately indirectly controlled by Sixth Street Partners Management Company, L.P., a Delaware limited partnership ("Management Company"). Management Company is managed by its general partner, whose managing member is Alan Waxman. Because of the relationship between Mr. Waxman and Palette Investments, LLC, he may be deemed to beneficially own the shares of the Company's Class B Common Stock owned by Palette Investments, LLC.</w:t>
      </w:r>
    </w:p>
    <w:p>
      <w:pPr>
        <w:spacing w:after="0" w:line="36" w:lineRule="exact"/>
        <w:rPr>
          <w:rFonts w:ascii="Arial" w:cs="Arial" w:eastAsia="Arial" w:hAnsi="Arial"/>
          <w:sz w:val="15"/>
          <w:szCs w:val="15"/>
          <w:color w:val="008000"/>
        </w:rPr>
      </w:pPr>
    </w:p>
    <w:p>
      <w:pPr>
        <w:ind w:left="20" w:right="20" w:firstLine="5"/>
        <w:spacing w:after="0" w:line="235"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are owned directly by Sixth Street Specialty Lending, Inc., a Delaware corporation ("SLX"). SLX is managed by Sixth Street Specialty Lending Advisers, LLC, a Delaware limited liability company ("Adviser"). The business and affairs of Adviser are managed by Sixth Street Specialty Lending Advisers Holdings, LLC, a Delaware limited liability company, the sole member of Adviser ("Adviser Holdings"). Adviser Holdings is managed by TSSP Holdco Management, LLC, a Delaware limited liability company ("TSSP Holdco Management"). TSSP Holdco Management is managed by a board of directors, which is currently comprised of Mr. Waxman. Mr. Waxman is the CEO and Managing Partner of TSSP Holdco Management. Because Mr. Waxman is a member of the board of directors of TSSP Holdco Management, he may be deemed to beneficially own the shares of the Company's Class B Common Stock owned by SLX.</w:t>
      </w:r>
    </w:p>
    <w:p>
      <w:pPr>
        <w:spacing w:after="0" w:line="37" w:lineRule="exact"/>
        <w:rPr>
          <w:rFonts w:ascii="Arial" w:cs="Arial" w:eastAsia="Arial" w:hAnsi="Arial"/>
          <w:sz w:val="15"/>
          <w:szCs w:val="15"/>
          <w:color w:val="008000"/>
        </w:rPr>
      </w:pPr>
    </w:p>
    <w:p>
      <w:pPr>
        <w:ind w:left="20" w:right="46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reporting person disclaims beneficial ownership of the securities reported herein for purposes of Section 16 of the Securities Exchange Act of 1934, as amended (the "Exchange Act"), except to the extent of its or his pecuniary interest therein.</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left="20" w:right="300" w:firstLine="5"/>
        <w:spacing w:after="0" w:line="241" w:lineRule="auto"/>
        <w:tabs>
          <w:tab w:leader="none" w:pos="17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Joshua Peck is signing on behalf of Mr. Waxman pursuant to an authorization and designation letter dated July 12, 2021, which was previously filed with the Securities and Exchange Commission. 7. The Reporting Persons are jointly filing this Form 3 pursuant to a Joint Filing Agreement dated as of August 27, 2021, a copy of which is filed as an Exhibit hereto.</w:t>
      </w:r>
    </w:p>
    <w:p>
      <w:pPr>
        <w:sectPr>
          <w:pgSz w:w="11900" w:h="16838" w:orient="portrait"/>
          <w:cols w:equalWidth="0" w:num="1">
            <w:col w:w="10860"/>
          </w:cols>
          <w:pgMar w:left="500" w:top="130" w:right="539" w:bottom="1440" w:gutter="0" w:footer="0" w:header="0"/>
        </w:sectPr>
      </w:pPr>
    </w:p>
    <w:p>
      <w:pPr>
        <w:spacing w:after="0" w:line="67"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Sixth Street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101854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101854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1823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18237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L.P. By: /s/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8455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88455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Stiepleman,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17665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17665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Signatory of the GP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2141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12141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Sixth Street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1854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01854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18237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18237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L.P.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36830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368300"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Alan Waxman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106680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6680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Joshua Peck,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1270</wp:posOffset>
            </wp:positionV>
            <wp:extent cx="126936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69365" cy="9525"/>
                    </a:xfrm>
                    <a:prstGeom prst="rect">
                      <a:avLst/>
                    </a:prstGeom>
                    <a:noFill/>
                  </pic:spPr>
                </pic:pic>
              </a:graphicData>
            </a:graphic>
          </wp:anchor>
        </w:drawing>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Alan Waxman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2870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28700"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Sixth Street Specialty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107315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07315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Lending, Inc. By: /s/ 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1094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1094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Simmonds,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6741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86741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Financial Officer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2235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02235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0000FF"/>
        </w:rPr>
        <w:t>08/27/2021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08/27/2021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08/27/2021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66" w:lineRule="exact"/>
        <w:rPr>
          <w:sz w:val="20"/>
          <w:szCs w:val="20"/>
          <w:color w:val="auto"/>
        </w:rPr>
      </w:pPr>
    </w:p>
    <w:p>
      <w:pPr>
        <w:sectPr>
          <w:pgSz w:w="11900" w:h="16838" w:orient="portrait"/>
          <w:cols w:equalWidth="0" w:num="2">
            <w:col w:w="8560" w:space="180"/>
            <w:col w:w="2120"/>
          </w:cols>
          <w:pgMar w:left="500" w:top="130" w:right="539" w:bottom="144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20" w:right="2180" w:firstLine="5"/>
        <w:spacing w:after="0" w:line="334" w:lineRule="auto"/>
        <w:tabs>
          <w:tab w:leader="none" w:pos="17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20" w:right="2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60"/>
          </w:cols>
          <w:pgMar w:left="500" w:top="130" w:right="539" w:bottom="1440" w:gutter="0" w:footer="0" w:header="0"/>
          <w:type w:val="continuous"/>
        </w:sectPr>
      </w:pPr>
    </w:p>
    <w:bookmarkStart w:id="2" w:name="page3"/>
    <w:bookmarkEnd w:id="2"/>
    <w:p>
      <w:pPr>
        <w:jc w:val="center"/>
        <w:ind w:right="-11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47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6946900" cy="47625"/>
                    </a:xfrm>
                    <a:prstGeom prst="rect">
                      <a:avLst/>
                    </a:prstGeom>
                    <a:noFill/>
                  </pic:spPr>
                </pic:pic>
              </a:graphicData>
            </a:graphic>
          </wp:anchor>
        </w:drawing>
        <w:drawing>
          <wp:anchor simplePos="0" relativeHeight="251657728" behindDoc="1" locked="0" layoutInCell="0" allowOverlap="1">
            <wp:simplePos x="0" y="0"/>
            <wp:positionH relativeFrom="page">
              <wp:posOffset>304800</wp:posOffset>
            </wp:positionH>
            <wp:positionV relativeFrom="page">
              <wp:posOffset>155575</wp:posOffset>
            </wp:positionV>
            <wp:extent cx="694690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6946900" cy="9525"/>
                    </a:xfrm>
                    <a:prstGeom prst="rect">
                      <a:avLst/>
                    </a:prstGeom>
                    <a:noFill/>
                  </pic:spPr>
                </pic:pic>
              </a:graphicData>
            </a:graphic>
          </wp:anchor>
        </w:drawing>
        <w:t>AGREEMENT OF JOINT FILING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joint filing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made and entered into as of this 27th day of August 2021, by and among Sixth Street Partners Management Company, L.P., a Delaware limited partnership, Sixth Street Specialty Lending, Inc., a Delaware corporation and Alan Waxman.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parties to this Agreement hereby agree to prepare jointly and file timely (and otherwise to deliver as appropriate) all filings on any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Form 3, Form 4, Form 5 or Schedule 13D or Schedule 13G, and any and all amendments thereto and any other document relating</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thereto (collectively, the “</w:t>
      </w:r>
      <w:r>
        <w:rPr>
          <w:rFonts w:ascii="Arial" w:cs="Arial" w:eastAsia="Arial" w:hAnsi="Arial"/>
          <w:sz w:val="19"/>
          <w:szCs w:val="19"/>
          <w:u w:val="single" w:color="auto"/>
          <w:color w:val="auto"/>
        </w:rPr>
        <w:t>Filings</w:t>
      </w:r>
      <w:r>
        <w:rPr>
          <w:rFonts w:ascii="Arial" w:cs="Arial" w:eastAsia="Arial" w:hAnsi="Arial"/>
          <w:sz w:val="19"/>
          <w:szCs w:val="19"/>
          <w:color w:val="auto"/>
        </w:rPr>
        <w:t>”) required to be filed by them pursuant to the Securities Exchange Act of 1934, as amended (the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Each party to this Agreement further agrees and covenants to the other parties that it will fully cooperate with such</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other parties in the preparation and timely filing (and other delivery) of all such Filings.</w:t>
      </w:r>
    </w:p>
    <w:p>
      <w:pPr>
        <w:spacing w:after="0" w:line="144" w:lineRule="exact"/>
        <w:rPr>
          <w:sz w:val="20"/>
          <w:szCs w:val="20"/>
          <w:color w:val="auto"/>
        </w:rPr>
      </w:pPr>
    </w:p>
    <w:p>
      <w:pPr>
        <w:ind w:right="460"/>
        <w:spacing w:after="0" w:line="277" w:lineRule="auto"/>
        <w:rPr>
          <w:sz w:val="20"/>
          <w:szCs w:val="20"/>
          <w:color w:val="auto"/>
        </w:rPr>
      </w:pPr>
      <w:r>
        <w:rPr>
          <w:rFonts w:ascii="Arial" w:cs="Arial" w:eastAsia="Arial" w:hAnsi="Arial"/>
          <w:sz w:val="20"/>
          <w:szCs w:val="20"/>
          <w:color w:val="auto"/>
        </w:rPr>
        <w:t>This agreement may be executed in any number of counterparts, each of which shall be deemed to be an original, but all of which together shall constitute one and the same instrument.</w:t>
      </w:r>
    </w:p>
    <w:p>
      <w:pPr>
        <w:spacing w:after="0" w:line="114" w:lineRule="exact"/>
        <w:rPr>
          <w:sz w:val="20"/>
          <w:szCs w:val="20"/>
          <w:color w:val="auto"/>
        </w:rPr>
      </w:pPr>
    </w:p>
    <w:p>
      <w:pPr>
        <w:ind w:right="1980"/>
        <w:spacing w:after="0" w:line="412" w:lineRule="auto"/>
        <w:rPr>
          <w:sz w:val="20"/>
          <w:szCs w:val="20"/>
          <w:color w:val="auto"/>
        </w:rPr>
      </w:pPr>
      <w:r>
        <w:rPr>
          <w:rFonts w:ascii="Arial" w:cs="Arial" w:eastAsia="Arial" w:hAnsi="Arial"/>
          <w:sz w:val="20"/>
          <w:szCs w:val="20"/>
          <w:color w:val="auto"/>
        </w:rPr>
        <w:t>IN WITNESS WHEREOF, the parties hereto have executed this Agreement as of the date first set forth above. Dated: August 27, 2021</w:t>
      </w:r>
    </w:p>
    <w:p>
      <w:pPr>
        <w:spacing w:after="0" w:line="2"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Sixth Street Partners Management Company, L.P.</w:t>
      </w:r>
    </w:p>
    <w:p>
      <w:pPr>
        <w:spacing w:after="0" w:line="254"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David Stiepleman</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David Stiepleman</w:t>
      </w:r>
    </w:p>
    <w:p>
      <w:pPr>
        <w:spacing w:after="0" w:line="10"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Title: Authorized Signatory of the GP of Sixth Street Partners</w:t>
      </w:r>
    </w:p>
    <w:p>
      <w:pPr>
        <w:spacing w:after="0" w:line="2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Management Company, L.P.</w:t>
      </w:r>
    </w:p>
    <w:p>
      <w:pPr>
        <w:spacing w:after="0" w:line="230"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Sixth Street Specialty Lending, Inc.</w:t>
      </w:r>
    </w:p>
    <w:p>
      <w:pPr>
        <w:spacing w:after="0" w:line="254"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Ian Simmonds</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Ian Simmonds</w:t>
      </w:r>
    </w:p>
    <w:p>
      <w:pPr>
        <w:spacing w:after="0" w:line="1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Title: Chief Financial Officer</w:t>
      </w:r>
    </w:p>
    <w:p>
      <w:pPr>
        <w:spacing w:after="0" w:line="230"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Alan Waxman</w:t>
      </w:r>
    </w:p>
    <w:p>
      <w:pPr>
        <w:spacing w:after="0" w:line="254"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Joshua Peck (1)</w:t>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Name: Joshua Peck, on behalf of Alan Waxman</w:t>
      </w:r>
    </w:p>
    <w:p>
      <w:pPr>
        <w:spacing w:after="0" w:line="399" w:lineRule="exact"/>
        <w:rPr>
          <w:sz w:val="20"/>
          <w:szCs w:val="20"/>
          <w:color w:val="auto"/>
        </w:rPr>
      </w:pPr>
    </w:p>
    <w:p>
      <w:pPr>
        <w:spacing w:after="0" w:line="277" w:lineRule="auto"/>
        <w:tabs>
          <w:tab w:leader="none" w:pos="283" w:val="left"/>
        </w:tabs>
        <w:numPr>
          <w:ilvl w:val="0"/>
          <w:numId w:val="7"/>
        </w:numPr>
        <w:rPr>
          <w:rFonts w:ascii="Arial" w:cs="Arial" w:eastAsia="Arial" w:hAnsi="Arial"/>
          <w:sz w:val="20"/>
          <w:szCs w:val="20"/>
          <w:color w:val="auto"/>
        </w:rPr>
      </w:pPr>
      <w:r>
        <w:rPr>
          <w:rFonts w:ascii="Arial" w:cs="Arial" w:eastAsia="Arial" w:hAnsi="Arial"/>
          <w:sz w:val="20"/>
          <w:szCs w:val="20"/>
          <w:color w:val="auto"/>
        </w:rPr>
        <w:t>Joshua Peck is signing on behalf of Mr. Waxman pursuant to an authorization and designation letter dated July 12, 2021, which was previously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254635</wp:posOffset>
            </wp:positionV>
            <wp:extent cx="694690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820"/>
      </w:cols>
      <w:pgMar w:left="480" w:top="69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6"/>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10" Type="http://schemas.openxmlformats.org/officeDocument/2006/relationships/hyperlink" Target="http://www.sec.gov/cgi-bin/browse-edgar?action=getcompany&amp;CIK=0001812095" TargetMode="External"/><Relationship Id="rId11" Type="http://schemas.openxmlformats.org/officeDocument/2006/relationships/hyperlink" Target="http://www.sec.gov/cgi-bin/browse-edgar?action=getcompany&amp;CIK=0001569345" TargetMode="External"/><Relationship Id="rId12" Type="http://schemas.openxmlformats.org/officeDocument/2006/relationships/hyperlink" Target="http://www.sec.gov/cgi-bin/browse-edgar?action=getcompany&amp;CIK=0001508655" TargetMode="External"/><Relationship Id="rId14" Type="http://schemas.openxmlformats.org/officeDocument/2006/relationships/hyperlink" Target="http://www.sec.gov/cgi-bin/browse-edgar?action=getcompany&amp;CIK=00015151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2021-08-27T17:16:44Z</dcterms:created>
  <dcterms:modified xsi:type="dcterms:W3CDTF">2021-08-27T17:16:44Z</dcterms:modified>
</cp:coreProperties>
</file>