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8)</w:t>
      </w:r>
    </w:p>
    <w:p>
      <w:pPr>
        <w:spacing w:after="0" w:line="22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13,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170"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921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492188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25,427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25,427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25,427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6.9%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1520" w:right="40" w:hanging="902"/>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calculation assumes that there are 370,440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September 13,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380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38099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25,752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25,752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25,752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7.0%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1520" w:right="40" w:hanging="906"/>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calculation assumes that there are 370,440 shares of Common Stock of the Issuer outstanding as of September 13, 2012. See Item 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29,685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29,685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29,685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8.0%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1680" w:right="360" w:hanging="1062"/>
        <w:spacing w:after="0" w:line="277"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calculation assumes that there are 370,440 shares of Common Stock of the Issuer outstanding as of September 13,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right="4920" w:hanging="900"/>
        <w:spacing w:after="0" w:line="258"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29,685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29,685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29,685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8.0%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1520" w:right="40" w:hanging="902"/>
        <w:spacing w:after="0" w:line="277" w:lineRule="auto"/>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calculation assumes that there are 370,440 shares of Common Stock of the Issuer outstanding as of September 13,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25,427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25,427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25,427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6.9%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1520" w:right="160" w:hanging="902"/>
        <w:spacing w:after="0" w:line="277" w:lineRule="auto"/>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calculation assumes that there are 370,440 shares of Common Stock of the Issuer outstanding as of September 13,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This Amendment No. 8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w:t>
      </w:r>
      <w:r>
        <w:rPr>
          <w:rFonts w:ascii="Arial" w:cs="Arial" w:eastAsia="Arial" w:hAnsi="Arial"/>
          <w:sz w:val="17"/>
          <w:szCs w:val="17"/>
          <w:u w:val="single" w:color="auto"/>
          <w:color w:val="auto"/>
        </w:rPr>
        <w:t>Amendment No. 1</w:t>
      </w:r>
      <w:r>
        <w:rPr>
          <w:rFonts w:ascii="Arial" w:cs="Arial" w:eastAsia="Arial" w:hAnsi="Arial"/>
          <w:sz w:val="17"/>
          <w:szCs w:val="17"/>
          <w:color w:val="auto"/>
        </w:rPr>
        <w:t>”),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w:t>
      </w:r>
      <w:r>
        <w:rPr>
          <w:rFonts w:ascii="Arial" w:cs="Arial" w:eastAsia="Arial" w:hAnsi="Arial"/>
          <w:sz w:val="17"/>
          <w:szCs w:val="17"/>
          <w:u w:val="single" w:color="auto"/>
          <w:color w:val="auto"/>
        </w:rPr>
        <w:t>Amendment No. 3</w:t>
      </w:r>
      <w:r>
        <w:rPr>
          <w:rFonts w:ascii="Arial" w:cs="Arial" w:eastAsia="Arial" w:hAnsi="Arial"/>
          <w:sz w:val="17"/>
          <w:szCs w:val="17"/>
          <w:color w:val="auto"/>
        </w:rPr>
        <w:t>”),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Amendment No. 5 filed on February 8, 2012 (“</w:t>
      </w:r>
      <w:r>
        <w:rPr>
          <w:rFonts w:ascii="Arial" w:cs="Arial" w:eastAsia="Arial" w:hAnsi="Arial"/>
          <w:sz w:val="17"/>
          <w:szCs w:val="17"/>
          <w:u w:val="single" w:color="auto"/>
          <w:color w:val="auto"/>
        </w:rPr>
        <w:t>Amendment No. 5</w:t>
      </w:r>
      <w:r>
        <w:rPr>
          <w:rFonts w:ascii="Arial" w:cs="Arial" w:eastAsia="Arial" w:hAnsi="Arial"/>
          <w:sz w:val="17"/>
          <w:szCs w:val="17"/>
          <w:color w:val="auto"/>
        </w:rPr>
        <w:t>”), Amendment No. 6 filed on March 20, 2012 (“</w:t>
      </w:r>
      <w:r>
        <w:rPr>
          <w:rFonts w:ascii="Arial" w:cs="Arial" w:eastAsia="Arial" w:hAnsi="Arial"/>
          <w:sz w:val="17"/>
          <w:szCs w:val="17"/>
          <w:u w:val="single" w:color="auto"/>
          <w:color w:val="auto"/>
        </w:rPr>
        <w:t>Amendment No. 6</w:t>
      </w:r>
      <w:r>
        <w:rPr>
          <w:rFonts w:ascii="Arial" w:cs="Arial" w:eastAsia="Arial" w:hAnsi="Arial"/>
          <w:sz w:val="17"/>
          <w:szCs w:val="17"/>
          <w:color w:val="auto"/>
        </w:rPr>
        <w:t>”) and Amendment No. 7 filed on June 20, 2012 (“</w:t>
      </w:r>
      <w:r>
        <w:rPr>
          <w:rFonts w:ascii="Arial" w:cs="Arial" w:eastAsia="Arial" w:hAnsi="Arial"/>
          <w:sz w:val="17"/>
          <w:szCs w:val="17"/>
          <w:u w:val="single" w:color="auto"/>
          <w:color w:val="auto"/>
        </w:rPr>
        <w:t>Amendment No. 7</w:t>
      </w:r>
      <w:r>
        <w:rPr>
          <w:rFonts w:ascii="Arial" w:cs="Arial" w:eastAsia="Arial" w:hAnsi="Arial"/>
          <w:sz w:val="17"/>
          <w:szCs w:val="17"/>
          <w:color w:val="auto"/>
        </w:rPr>
        <w:t>” and,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25,427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21,494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4,257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2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2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18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ind w:right="20"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9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Arial" w:cs="Arial" w:eastAsia="Arial" w:hAnsi="Arial"/>
          <w:sz w:val="16"/>
          <w:szCs w:val="16"/>
          <w:u w:val="single" w:color="auto"/>
          <w:color w:val="auto"/>
        </w:rPr>
        <w:t>May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8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20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Arial" w:cs="Arial" w:eastAsia="Arial" w:hAnsi="Arial"/>
          <w:sz w:val="16"/>
          <w:szCs w:val="16"/>
          <w:u w:val="single" w:color="auto"/>
          <w:color w:val="auto"/>
        </w:rPr>
        <w:t>September 13,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will be funded by equity contributions from Equity Partners.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2012,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$1,017.06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$141,372 (the “</w:t>
      </w:r>
      <w:r>
        <w:rPr>
          <w:rFonts w:ascii="Arial" w:cs="Arial" w:eastAsia="Arial" w:hAnsi="Arial"/>
          <w:sz w:val="16"/>
          <w:szCs w:val="16"/>
          <w:u w:val="single" w:color="auto"/>
          <w:color w:val="auto"/>
        </w:rPr>
        <w:t>September 13, 2012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2012 TSL FOF Purchase Price will be funded by equity contributions from TSL FOF.</w:t>
      </w:r>
    </w:p>
    <w:p>
      <w:pPr>
        <w:spacing w:after="0" w:line="2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0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(a)-(b) The following disclosure assumes that there are a total of 370,440 shares of Common Stock of the Issuer outstanding as of September 13, 2012 (including 22,439 shares of Common Stock of the Issuer that shall be issued on September 26, 2012 pursuant to the September 13, 2012 capital call), which figure is based on information provided to the Reporting Persons by the Issuer. Pursuant to Rule 13d-3 of the Act, (i) through TSL Advisers and Tarrant, Messrs. Bonderman and Coulter may be deemed to beneficially own 29,685 shares of Common Stock, which constitute approximately 8.0% of outstanding Common Stock; (ii) through TSL Advisers, Mr. Waxman may be deemed to beneficially own 25,427 shares of Common Stock, which constitute approximately 6.9% of the outstanding Common Stock; (iii) through TSL Advisers, Group Advisors may be deemed to beneficially own 25,427 shares of Common Stock, which constitute approximately 6.9% of the outstanding Common Stock; and (iv) through Tarrant, Tarrant Capital may be deemed to beneficially own 25,752 shares of Common Stock, which constitute approximately 7.0% of the outstanding Common Stock.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1" w:name="page12"/>
    <w:bookmarkEnd w:id="11"/>
    <w:p>
      <w:pPr>
        <w:ind w:right="140" w:firstLine="980"/>
        <w:spacing w:after="0" w:line="277" w:lineRule="auto"/>
        <w:tabs>
          <w:tab w:leader="none" w:pos="1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right="440" w:firstLine="980"/>
        <w:spacing w:after="0" w:line="277" w:lineRule="auto"/>
        <w:tabs>
          <w:tab w:leader="none" w:pos="12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1220" w:hanging="240"/>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0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right="4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0"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2012</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6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40" w:right="4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40" w:right="6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99"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8660" w:type="dxa"/>
            <w:vAlign w:val="bottom"/>
          </w:tcPr>
          <w:p>
            <w:pPr>
              <w:spacing w:after="0"/>
              <w:rPr>
                <w:sz w:val="17"/>
                <w:szCs w:val="17"/>
                <w:color w:val="auto"/>
              </w:rPr>
            </w:pPr>
          </w:p>
        </w:tc>
      </w:tr>
      <w:tr>
        <w:trPr>
          <w:trHeight w:val="264"/>
        </w:trPr>
        <w:tc>
          <w:tcPr>
            <w:tcW w:w="3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Senior Vice President and Director</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Chief Compliance Officer and Assistant Secretary</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Assistant Treasurer</w:t>
            </w:r>
          </w:p>
        </w:tc>
      </w:tr>
      <w:tr>
        <w:trPr>
          <w:trHeight w:val="243"/>
        </w:trPr>
        <w:tc>
          <w:tcPr>
            <w:tcW w:w="3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300" w:type="dxa"/>
            <w:vAlign w:val="bottom"/>
            <w:gridSpan w:val="3"/>
          </w:tcPr>
          <w:p>
            <w:pPr>
              <w:ind w:left="300"/>
              <w:spacing w:after="0"/>
              <w:rPr>
                <w:sz w:val="20"/>
                <w:szCs w:val="20"/>
                <w:color w:val="auto"/>
              </w:rPr>
            </w:pPr>
            <w:r>
              <w:rPr>
                <w:rFonts w:ascii="Arial" w:cs="Arial" w:eastAsia="Arial" w:hAnsi="Arial"/>
                <w:sz w:val="18"/>
                <w:szCs w:val="18"/>
                <w:color w:val="auto"/>
              </w:rPr>
              <w:t>Assistant Treasurer</w:t>
            </w:r>
          </w:p>
        </w:tc>
      </w:tr>
      <w:tr>
        <w:trPr>
          <w:trHeight w:val="864"/>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tcPr>
          <w:p>
            <w:pPr>
              <w:ind w:left="2220"/>
              <w:spacing w:after="0"/>
              <w:rPr>
                <w:sz w:val="20"/>
                <w:szCs w:val="20"/>
                <w:color w:val="auto"/>
              </w:rPr>
            </w:pPr>
            <w:r>
              <w:rPr>
                <w:rFonts w:ascii="Arial" w:cs="Arial" w:eastAsia="Arial" w:hAnsi="Arial"/>
                <w:sz w:val="18"/>
                <w:szCs w:val="18"/>
                <w:color w:val="auto"/>
              </w:rPr>
              <w:t>Page 14 of 17 Pages</w:t>
            </w:r>
          </w:p>
        </w:tc>
      </w:tr>
      <w:tr>
        <w:trPr>
          <w:trHeight w:val="118"/>
        </w:trPr>
        <w:tc>
          <w:tcPr>
            <w:tcW w:w="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8660" w:type="dxa"/>
            <w:vAlign w:val="bottom"/>
          </w:tcPr>
          <w:p>
            <w:pPr>
              <w:spacing w:after="0"/>
              <w:rPr>
                <w:sz w:val="17"/>
                <w:szCs w:val="17"/>
                <w:color w:val="auto"/>
              </w:rPr>
            </w:pPr>
          </w:p>
        </w:tc>
      </w:tr>
      <w:tr>
        <w:trPr>
          <w:trHeight w:val="264"/>
        </w:trPr>
        <w:tc>
          <w:tcPr>
            <w:tcW w:w="34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and Director</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Chief Compliance Officer and Assistant Secretary</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Assistant Treasurer</w:t>
            </w:r>
          </w:p>
        </w:tc>
      </w:tr>
      <w:tr>
        <w:trPr>
          <w:trHeight w:val="243"/>
        </w:trPr>
        <w:tc>
          <w:tcPr>
            <w:tcW w:w="34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260" w:type="dxa"/>
            <w:vAlign w:val="bottom"/>
            <w:gridSpan w:val="3"/>
          </w:tcPr>
          <w:p>
            <w:pPr>
              <w:ind w:left="260"/>
              <w:spacing w:after="0"/>
              <w:rPr>
                <w:sz w:val="20"/>
                <w:szCs w:val="20"/>
                <w:color w:val="auto"/>
              </w:rPr>
            </w:pPr>
            <w:r>
              <w:rPr>
                <w:rFonts w:ascii="Arial" w:cs="Arial" w:eastAsia="Arial" w:hAnsi="Arial"/>
                <w:sz w:val="18"/>
                <w:szCs w:val="18"/>
                <w:color w:val="auto"/>
              </w:rPr>
              <w:t>Assistant Treasurer</w:t>
            </w:r>
          </w:p>
        </w:tc>
      </w:tr>
      <w:tr>
        <w:trPr>
          <w:trHeight w:val="594"/>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tcPr>
          <w:p>
            <w:pPr>
              <w:ind w:left="2220"/>
              <w:spacing w:after="0"/>
              <w:rPr>
                <w:sz w:val="20"/>
                <w:szCs w:val="20"/>
                <w:color w:val="auto"/>
              </w:rPr>
            </w:pPr>
            <w:r>
              <w:rPr>
                <w:rFonts w:ascii="Arial" w:cs="Arial" w:eastAsia="Arial" w:hAnsi="Arial"/>
                <w:sz w:val="18"/>
                <w:szCs w:val="18"/>
                <w:color w:val="auto"/>
              </w:rPr>
              <w:t>Page 15 of 17 Pages</w:t>
            </w:r>
          </w:p>
        </w:tc>
      </w:tr>
      <w:tr>
        <w:trPr>
          <w:trHeight w:val="118"/>
        </w:trPr>
        <w:tc>
          <w:tcPr>
            <w:tcW w:w="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300" w:type="dxa"/>
            <w:vAlign w:val="bottom"/>
          </w:tcPr>
          <w:p>
            <w:pPr>
              <w:ind w:left="370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0300" w:type="dxa"/>
            <w:vAlign w:val="bottom"/>
          </w:tcPr>
          <w:p>
            <w:pPr>
              <w:spacing w:after="0"/>
              <w:rPr>
                <w:sz w:val="24"/>
                <w:szCs w:val="24"/>
                <w:color w:val="auto"/>
              </w:rPr>
            </w:pPr>
          </w:p>
        </w:tc>
      </w:tr>
      <w:tr>
        <w:trPr>
          <w:trHeight w:val="234"/>
        </w:trPr>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103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120" w:type="dxa"/>
            <w:vAlign w:val="bottom"/>
          </w:tcPr>
          <w:p>
            <w:pPr>
              <w:spacing w:after="0"/>
              <w:rPr>
                <w:sz w:val="16"/>
                <w:szCs w:val="16"/>
                <w:color w:val="auto"/>
              </w:rPr>
            </w:pPr>
          </w:p>
        </w:tc>
        <w:tc>
          <w:tcPr>
            <w:tcW w:w="10300" w:type="dxa"/>
            <w:vAlign w:val="bottom"/>
          </w:tcPr>
          <w:p>
            <w:pPr>
              <w:ind w:left="380"/>
              <w:spacing w:after="0" w:line="195" w:lineRule="exact"/>
              <w:rPr>
                <w:sz w:val="20"/>
                <w:szCs w:val="20"/>
                <w:color w:val="auto"/>
              </w:rPr>
            </w:pPr>
            <w:r>
              <w:rPr>
                <w:rFonts w:ascii="Arial" w:cs="Arial" w:eastAsia="Arial" w:hAnsi="Arial"/>
                <w:sz w:val="18"/>
                <w:szCs w:val="18"/>
                <w:color w:val="auto"/>
                <w:w w:val="91"/>
              </w:rPr>
              <w:t>Agreement of Joint Filing, as required by Rule 13d-1(k)(1) under the Act, dated as of June 27, 2011, by and among TPG Group Holdings</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1.</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(SBS) Advisors, Inc., Tarrant Capital Advisors, Inc., David Bonderman, James G. Coulter and Alan Waxman (previously filed with the</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2.</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Subscription Agreement, dated as of April 15, 2011, between TPG Specialty Lending, Inc. and TSL Advisers, LLC (previously filed with</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the 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3.</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Amendment to the Subscription Agreement, dated as of January 31, 2012, between TPG Specialty Lending, Inc. and TSL Advisers, LLC</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(previously filed with Amendment No. 4).</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4.</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Agreement to Tender, dated as of March 13, 2011, between TPG Specialty Lending, Inc. and Tarrant Advisors, Inc. (previously filed with</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the 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5.</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Subscription Agreement, dated as of December 2, 2011 between TPG Specialty Lending, Inc.,TSL FOF, L.P. and TSL Advisers, LLC</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(previously filed with Amendment No. 2).</w:t>
            </w:r>
          </w:p>
        </w:tc>
      </w:tr>
    </w:tbl>
    <w:p>
      <w:pPr>
        <w:spacing w:after="0" w:line="1" w:lineRule="exact"/>
        <w:rPr>
          <w:sz w:val="20"/>
          <w:szCs w:val="20"/>
          <w:color w:val="auto"/>
        </w:rPr>
      </w:pPr>
    </w:p>
    <w:sectPr>
      <w:pgSz w:w="11900" w:h="16838" w:orient="portrait"/>
      <w:cols w:equalWidth="0" w:num="1">
        <w:col w:w="11420"/>
      </w:cols>
      <w:pgMar w:left="240" w:top="9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bullet"/>
      <w:start w:val="1"/>
    </w:lvl>
  </w:abstractNum>
  <w:abstractNum w:abstractNumId="1">
    <w:nsid w:val="79838CB2"/>
    <w:multiLevelType w:val="hybridMultilevel"/>
    <w:lvl w:ilvl="0">
      <w:lvlJc w:val="left"/>
      <w:lvlText w:val="2"/>
      <w:numFmt w:val="bullet"/>
      <w:start w:val="1"/>
    </w:lvl>
  </w:abstractNum>
  <w:abstractNum w:abstractNumId="2">
    <w:nsid w:val="4353D0CD"/>
    <w:multiLevelType w:val="hybridMultilevel"/>
    <w:lvl w:ilvl="0">
      <w:lvlJc w:val="left"/>
      <w:lvlText w:val="3"/>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5"/>
      <w:numFmt w:val="bullet"/>
      <w:start w:val="1"/>
    </w:lvl>
  </w:abstractNum>
  <w:abstractNum w:abstractNumId="5">
    <w:nsid w:val="54E49EB4"/>
    <w:multiLevelType w:val="hybridMultilevel"/>
    <w:lvl w:ilvl="0">
      <w:lvlJc w:val="left"/>
      <w:lvlText w:val="6"/>
      <w:numFmt w:val="bullet"/>
      <w:start w:val="1"/>
    </w:lvl>
  </w:abstractNum>
  <w:abstractNum w:abstractNumId="6">
    <w:nsid w:val="71F32454"/>
    <w:multiLevelType w:val="hybridMultilevel"/>
    <w:lvl w:ilvl="0">
      <w:lvlJc w:val="left"/>
      <w:lvlText w:val="%1"/>
      <w:numFmt w:val="decimal"/>
      <w:start w:val="11"/>
    </w:lvl>
  </w:abstractNum>
  <w:abstractNum w:abstractNumId="7">
    <w:nsid w:val="2CA88611"/>
    <w:multiLevelType w:val="hybridMultilevel"/>
    <w:lvl w:ilvl="0">
      <w:lvlJc w:val="left"/>
      <w:lvlText w:val="%1"/>
      <w:numFmt w:val="decimal"/>
      <w:start w:val="13"/>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1"/>
      <w:numFmt w:val="decimal"/>
      <w:start w:val="13"/>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1"/>
      <w:numFmt w:val="decimal"/>
      <w:start w:val="1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bullet"/>
      <w:start w:val="1"/>
    </w:lvl>
  </w:abstractNum>
  <w:abstractNum w:abstractNumId="28">
    <w:nsid w:val="2463B9EA"/>
    <w:multiLevelType w:val="hybridMultilevel"/>
    <w:lvl w:ilvl="0">
      <w:lvlJc w:val="left"/>
      <w:lvlText w:val="2"/>
      <w:numFmt w:val="bullet"/>
      <w:start w:val="1"/>
    </w:lvl>
  </w:abstractNum>
  <w:abstractNum w:abstractNumId="29">
    <w:nsid w:val="5E884ADC"/>
    <w:multiLevelType w:val="hybridMultilevel"/>
    <w:lvl w:ilvl="0">
      <w:lvlJc w:val="left"/>
      <w:lvlText w:val="3"/>
      <w:numFmt w:val="bullet"/>
      <w:start w:val="1"/>
    </w:lvl>
  </w:abstractNum>
  <w:abstractNum w:abstractNumId="30">
    <w:nsid w:val="51EAD36B"/>
    <w:multiLevelType w:val="hybridMultilevel"/>
    <w:lvl w:ilvl="0">
      <w:lvlJc w:val="left"/>
      <w:lvlText w:val="4"/>
      <w:numFmt w:val="bullet"/>
      <w:start w:val="1"/>
    </w:lvl>
  </w:abstractNum>
  <w:abstractNum w:abstractNumId="31">
    <w:nsid w:val="2D517796"/>
    <w:multiLevelType w:val="hybridMultilevel"/>
    <w:lvl w:ilvl="0">
      <w:lvlJc w:val="left"/>
      <w:lvlText w:val="5"/>
      <w:numFmt w:val="bullet"/>
      <w:start w:val="1"/>
    </w:lvl>
  </w:abstractNum>
  <w:abstractNum w:abstractNumId="32">
    <w:nsid w:val="580BD78F"/>
    <w:multiLevelType w:val="hybridMultilevel"/>
    <w:lvl w:ilvl="0">
      <w:lvlJc w:val="left"/>
      <w:lvlText w:val="6"/>
      <w:numFmt w:val="bullet"/>
      <w:start w:val="1"/>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decimal"/>
      <w:start w:val="13"/>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abstractNum>
  <w:abstractNum w:abstractNumId="40">
    <w:nsid w:val="2CD89A32"/>
    <w:multiLevelType w:val="hybridMultilevel"/>
    <w:lvl w:ilvl="0">
      <w:lvlJc w:val="left"/>
      <w:lvlText w:val="5"/>
      <w:numFmt w:val="bullet"/>
      <w:start w:val="1"/>
    </w:lvl>
  </w:abstractNum>
  <w:abstractNum w:abstractNumId="41">
    <w:nsid w:val="57E4CCAF"/>
    <w:multiLevelType w:val="hybridMultilevel"/>
    <w:lvl w:ilvl="0">
      <w:lvlJc w:val="left"/>
      <w:lvlText w:val="6"/>
      <w:numFmt w:val="bullet"/>
      <w:start w:val="1"/>
    </w:lvl>
  </w:abstractNum>
  <w:abstractNum w:abstractNumId="42">
    <w:nsid w:val="7A6D8D3C"/>
    <w:multiLevelType w:val="hybridMultilevel"/>
    <w:lvl w:ilvl="0">
      <w:lvlJc w:val="left"/>
      <w:lvlText w:val="%1"/>
      <w:numFmt w:val="decimal"/>
      <w:start w:val="11"/>
    </w:lvl>
  </w:abstractNum>
  <w:abstractNum w:abstractNumId="43">
    <w:nsid w:val="4B588F54"/>
    <w:multiLevelType w:val="hybridMultilevel"/>
    <w:lvl w:ilvl="0">
      <w:lvlJc w:val="left"/>
      <w:lvlText w:val="%1"/>
      <w:numFmt w:val="decimal"/>
      <w:start w:val="13"/>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2019-12-09T21:02:05Z</dcterms:created>
  <dcterms:modified xsi:type="dcterms:W3CDTF">2019-12-09T21:02:05Z</dcterms:modified>
</cp:coreProperties>
</file>