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17, 2014</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Act File No. 333-193986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N-2</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tbl>
      <w:tblPr>
        <w:tblLayout w:type="fixed"/>
        <w:tblInd w:w="4080" w:type="dxa"/>
        <w:tblCellMar>
          <w:top w:w="0" w:type="dxa"/>
          <w:left w:w="0" w:type="dxa"/>
          <w:bottom w:w="0" w:type="dxa"/>
          <w:right w:w="0" w:type="dxa"/>
        </w:tblCellMar>
      </w:tblPr>
      <w:tr>
        <w:trPr>
          <w:trHeight w:val="213"/>
        </w:trPr>
        <w:tc>
          <w:tcPr>
            <w:tcW w:w="5140" w:type="dxa"/>
            <w:vAlign w:val="bottom"/>
          </w:tcPr>
          <w:p>
            <w:pPr>
              <w:ind w:left="1260"/>
              <w:spacing w:after="0" w:line="213" w:lineRule="exact"/>
              <w:rPr>
                <w:sz w:val="20"/>
                <w:szCs w:val="20"/>
                <w:color w:val="auto"/>
              </w:rPr>
            </w:pPr>
            <w:r>
              <w:rPr>
                <w:rFonts w:ascii="Times New Roman" w:cs="Times New Roman" w:eastAsia="Times New Roman" w:hAnsi="Times New Roman"/>
                <w:sz w:val="22"/>
                <w:szCs w:val="22"/>
                <w:b w:val="1"/>
                <w:bCs w:val="1"/>
                <w:i w:val="1"/>
                <w:iCs w:val="1"/>
                <w:color w:val="auto"/>
              </w:rPr>
              <w:t>UNDER</w:t>
            </w:r>
          </w:p>
        </w:tc>
        <w:tc>
          <w:tcPr>
            <w:tcW w:w="2200" w:type="dxa"/>
            <w:vAlign w:val="bottom"/>
            <w:vMerge w:val="restart"/>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6"/>
        </w:trPr>
        <w:tc>
          <w:tcPr>
            <w:tcW w:w="5140" w:type="dxa"/>
            <w:vAlign w:val="bottom"/>
          </w:tcPr>
          <w:p>
            <w:pPr>
              <w:jc w:val="center"/>
              <w:ind w:right="1952"/>
              <w:spacing w:after="0" w:line="236" w:lineRule="exact"/>
              <w:rPr>
                <w:sz w:val="20"/>
                <w:szCs w:val="20"/>
                <w:color w:val="auto"/>
              </w:rPr>
            </w:pPr>
            <w:r>
              <w:rPr>
                <w:rFonts w:ascii="Times New Roman" w:cs="Times New Roman" w:eastAsia="Times New Roman" w:hAnsi="Times New Roman"/>
                <w:sz w:val="22"/>
                <w:szCs w:val="22"/>
                <w:b w:val="1"/>
                <w:bCs w:val="1"/>
                <w:i w:val="1"/>
                <w:iCs w:val="1"/>
                <w:color w:val="auto"/>
                <w:w w:val="98"/>
              </w:rPr>
              <w:t>THE SECURITIES ACT OF 1933</w:t>
            </w:r>
          </w:p>
        </w:tc>
        <w:tc>
          <w:tcPr>
            <w:tcW w:w="2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jc w:val="center"/>
              <w:ind w:right="19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Pre-Effective Amendment No. 4</w:t>
            </w:r>
          </w:p>
        </w:tc>
        <w:tc>
          <w:tcPr>
            <w:tcW w:w="22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96"/>
        </w:trPr>
        <w:tc>
          <w:tcPr>
            <w:tcW w:w="5140" w:type="dxa"/>
            <w:vAlign w:val="bottom"/>
          </w:tcPr>
          <w:p>
            <w:pPr>
              <w:jc w:val="center"/>
              <w:ind w:right="1952"/>
              <w:spacing w:after="0"/>
              <w:rPr>
                <w:sz w:val="20"/>
                <w:szCs w:val="20"/>
                <w:color w:val="auto"/>
              </w:rPr>
            </w:pPr>
            <w:r>
              <w:rPr>
                <w:rFonts w:ascii="Times New Roman" w:cs="Times New Roman" w:eastAsia="Times New Roman" w:hAnsi="Times New Roman"/>
                <w:sz w:val="22"/>
                <w:szCs w:val="22"/>
                <w:b w:val="1"/>
                <w:bCs w:val="1"/>
                <w:color w:val="auto"/>
                <w:w w:val="97"/>
              </w:rPr>
              <w:t>Post-Effective Amendment No.</w:t>
            </w:r>
          </w:p>
        </w:tc>
        <w:tc>
          <w:tcPr>
            <w:tcW w:w="22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95250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301 Commerce Street, Suite 3300</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 Worth, TX 76102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(817) 871-4000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Stiepleman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 94104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1" w:lineRule="exact"/>
        <w:rPr>
          <w:sz w:val="24"/>
          <w:szCs w:val="24"/>
          <w:color w:val="auto"/>
        </w:rPr>
      </w:pPr>
    </w:p>
    <w:tbl>
      <w:tblPr>
        <w:tblLayout w:type="fixed"/>
        <w:tblInd w:w="1380" w:type="dxa"/>
        <w:tblCellMar>
          <w:top w:w="0" w:type="dxa"/>
          <w:left w:w="0" w:type="dxa"/>
          <w:bottom w:w="0" w:type="dxa"/>
          <w:right w:w="0" w:type="dxa"/>
        </w:tblCellMar>
      </w:tblPr>
      <w:tr>
        <w:trPr>
          <w:trHeight w:val="232"/>
        </w:trPr>
        <w:tc>
          <w:tcPr>
            <w:tcW w:w="3280" w:type="dxa"/>
            <w:vAlign w:val="bottom"/>
          </w:tcPr>
          <w:p>
            <w:pPr>
              <w:spacing w:after="0"/>
              <w:rPr>
                <w:sz w:val="20"/>
                <w:szCs w:val="20"/>
                <w:color w:val="auto"/>
              </w:rPr>
            </w:pPr>
          </w:p>
        </w:tc>
        <w:tc>
          <w:tcPr>
            <w:tcW w:w="57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283"/>
        </w:trPr>
        <w:tc>
          <w:tcPr>
            <w:tcW w:w="328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7"/>
              </w:rPr>
              <w:t>Michael A. Gerstenzang, Esq.</w:t>
            </w:r>
          </w:p>
        </w:tc>
        <w:tc>
          <w:tcPr>
            <w:tcW w:w="5780" w:type="dxa"/>
            <w:vAlign w:val="bottom"/>
          </w:tcPr>
          <w:p>
            <w:pPr>
              <w:jc w:val="center"/>
              <w:ind w:left="2172"/>
              <w:spacing w:after="0"/>
              <w:rPr>
                <w:sz w:val="20"/>
                <w:szCs w:val="20"/>
                <w:color w:val="auto"/>
              </w:rPr>
            </w:pPr>
            <w:r>
              <w:rPr>
                <w:rFonts w:ascii="Times New Roman" w:cs="Times New Roman" w:eastAsia="Times New Roman" w:hAnsi="Times New Roman"/>
                <w:sz w:val="18"/>
                <w:szCs w:val="18"/>
                <w:b w:val="1"/>
                <w:bCs w:val="1"/>
                <w:color w:val="auto"/>
                <w:w w:val="97"/>
              </w:rPr>
              <w:t>Stuart H. Gelfond, Esq.</w:t>
            </w:r>
          </w:p>
        </w:tc>
      </w:tr>
      <w:tr>
        <w:trPr>
          <w:trHeight w:val="230"/>
        </w:trPr>
        <w:tc>
          <w:tcPr>
            <w:tcW w:w="328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7"/>
              </w:rPr>
              <w:t>Adam E. Fleisher, Esq.</w:t>
            </w:r>
          </w:p>
        </w:tc>
        <w:tc>
          <w:tcPr>
            <w:tcW w:w="5780" w:type="dxa"/>
            <w:vAlign w:val="bottom"/>
          </w:tcPr>
          <w:p>
            <w:pPr>
              <w:jc w:val="center"/>
              <w:ind w:left="2172"/>
              <w:spacing w:after="0"/>
              <w:rPr>
                <w:sz w:val="20"/>
                <w:szCs w:val="20"/>
                <w:color w:val="auto"/>
              </w:rPr>
            </w:pPr>
            <w:r>
              <w:rPr>
                <w:rFonts w:ascii="Times New Roman" w:cs="Times New Roman" w:eastAsia="Times New Roman" w:hAnsi="Times New Roman"/>
                <w:sz w:val="18"/>
                <w:szCs w:val="18"/>
                <w:b w:val="1"/>
                <w:bCs w:val="1"/>
                <w:color w:val="auto"/>
                <w:w w:val="96"/>
              </w:rPr>
              <w:t>Paul D. Tropp, Esq.</w:t>
            </w:r>
          </w:p>
        </w:tc>
      </w:tr>
      <w:tr>
        <w:trPr>
          <w:trHeight w:val="216"/>
        </w:trPr>
        <w:tc>
          <w:tcPr>
            <w:tcW w:w="328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7"/>
              </w:rPr>
              <w:t>Helena K. Grannis, Esq.</w:t>
            </w:r>
          </w:p>
        </w:tc>
        <w:tc>
          <w:tcPr>
            <w:tcW w:w="5780" w:type="dxa"/>
            <w:vAlign w:val="bottom"/>
          </w:tcPr>
          <w:p>
            <w:pPr>
              <w:jc w:val="center"/>
              <w:ind w:left="2172"/>
              <w:spacing w:after="0"/>
              <w:rPr>
                <w:sz w:val="20"/>
                <w:szCs w:val="20"/>
                <w:color w:val="auto"/>
              </w:rPr>
            </w:pPr>
            <w:r>
              <w:rPr>
                <w:rFonts w:ascii="Times New Roman" w:cs="Times New Roman" w:eastAsia="Times New Roman" w:hAnsi="Times New Roman"/>
                <w:sz w:val="18"/>
                <w:szCs w:val="18"/>
                <w:b w:val="1"/>
                <w:bCs w:val="1"/>
                <w:color w:val="auto"/>
                <w:w w:val="97"/>
              </w:rPr>
              <w:t>Fried, Frank, Harris, Shriver &amp; Jacobson LLP</w:t>
            </w:r>
          </w:p>
        </w:tc>
      </w:tr>
      <w:tr>
        <w:trPr>
          <w:trHeight w:val="216"/>
        </w:trPr>
        <w:tc>
          <w:tcPr>
            <w:tcW w:w="328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7"/>
              </w:rPr>
              <w:t>Cleary Gottlieb Steen &amp; Hamilton LLP</w:t>
            </w:r>
          </w:p>
        </w:tc>
        <w:tc>
          <w:tcPr>
            <w:tcW w:w="5780" w:type="dxa"/>
            <w:vAlign w:val="bottom"/>
          </w:tcPr>
          <w:p>
            <w:pPr>
              <w:jc w:val="center"/>
              <w:ind w:left="2172"/>
              <w:spacing w:after="0"/>
              <w:rPr>
                <w:sz w:val="20"/>
                <w:szCs w:val="20"/>
                <w:color w:val="auto"/>
              </w:rPr>
            </w:pPr>
            <w:r>
              <w:rPr>
                <w:rFonts w:ascii="Times New Roman" w:cs="Times New Roman" w:eastAsia="Times New Roman" w:hAnsi="Times New Roman"/>
                <w:sz w:val="18"/>
                <w:szCs w:val="18"/>
                <w:b w:val="1"/>
                <w:bCs w:val="1"/>
                <w:color w:val="auto"/>
                <w:w w:val="96"/>
              </w:rPr>
              <w:t>One New York Plaza</w:t>
            </w:r>
          </w:p>
        </w:tc>
      </w:tr>
      <w:tr>
        <w:trPr>
          <w:trHeight w:val="216"/>
        </w:trPr>
        <w:tc>
          <w:tcPr>
            <w:tcW w:w="328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7"/>
              </w:rPr>
              <w:t>One Liberty Plaza</w:t>
            </w:r>
          </w:p>
        </w:tc>
        <w:tc>
          <w:tcPr>
            <w:tcW w:w="5780" w:type="dxa"/>
            <w:vAlign w:val="bottom"/>
          </w:tcPr>
          <w:p>
            <w:pPr>
              <w:jc w:val="center"/>
              <w:ind w:left="2172"/>
              <w:spacing w:after="0"/>
              <w:rPr>
                <w:sz w:val="20"/>
                <w:szCs w:val="20"/>
                <w:color w:val="auto"/>
              </w:rPr>
            </w:pPr>
            <w:r>
              <w:rPr>
                <w:rFonts w:ascii="Times New Roman" w:cs="Times New Roman" w:eastAsia="Times New Roman" w:hAnsi="Times New Roman"/>
                <w:sz w:val="18"/>
                <w:szCs w:val="18"/>
                <w:b w:val="1"/>
                <w:bCs w:val="1"/>
                <w:color w:val="auto"/>
                <w:w w:val="95"/>
              </w:rPr>
              <w:t>New York, NY 10004</w:t>
            </w:r>
          </w:p>
        </w:tc>
      </w:tr>
      <w:tr>
        <w:trPr>
          <w:trHeight w:val="216"/>
        </w:trPr>
        <w:tc>
          <w:tcPr>
            <w:tcW w:w="328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5"/>
              </w:rPr>
              <w:t>New York, NY 10006</w:t>
            </w:r>
          </w:p>
        </w:tc>
        <w:tc>
          <w:tcPr>
            <w:tcW w:w="5780" w:type="dxa"/>
            <w:vAlign w:val="bottom"/>
          </w:tcPr>
          <w:p>
            <w:pPr>
              <w:jc w:val="center"/>
              <w:ind w:left="2172"/>
              <w:spacing w:after="0"/>
              <w:rPr>
                <w:sz w:val="20"/>
                <w:szCs w:val="20"/>
                <w:color w:val="auto"/>
              </w:rPr>
            </w:pPr>
            <w:r>
              <w:rPr>
                <w:rFonts w:ascii="Times New Roman" w:cs="Times New Roman" w:eastAsia="Times New Roman" w:hAnsi="Times New Roman"/>
                <w:sz w:val="18"/>
                <w:szCs w:val="18"/>
                <w:b w:val="1"/>
                <w:bCs w:val="1"/>
                <w:color w:val="auto"/>
                <w:w w:val="96"/>
              </w:rPr>
              <w:t>Telephone: (212) 859-8000</w:t>
            </w:r>
          </w:p>
        </w:tc>
      </w:tr>
      <w:tr>
        <w:trPr>
          <w:trHeight w:val="216"/>
        </w:trPr>
        <w:tc>
          <w:tcPr>
            <w:tcW w:w="328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6"/>
              </w:rPr>
              <w:t>Telephone: (212) 225-2000</w:t>
            </w:r>
          </w:p>
        </w:tc>
        <w:tc>
          <w:tcPr>
            <w:tcW w:w="5780" w:type="dxa"/>
            <w:vAlign w:val="bottom"/>
          </w:tcPr>
          <w:p>
            <w:pPr>
              <w:jc w:val="center"/>
              <w:ind w:left="2172"/>
              <w:spacing w:after="0"/>
              <w:rPr>
                <w:sz w:val="20"/>
                <w:szCs w:val="20"/>
                <w:color w:val="auto"/>
              </w:rPr>
            </w:pPr>
            <w:r>
              <w:rPr>
                <w:rFonts w:ascii="Times New Roman" w:cs="Times New Roman" w:eastAsia="Times New Roman" w:hAnsi="Times New Roman"/>
                <w:sz w:val="18"/>
                <w:szCs w:val="18"/>
                <w:b w:val="1"/>
                <w:bCs w:val="1"/>
                <w:color w:val="auto"/>
                <w:w w:val="97"/>
              </w:rPr>
              <w:t>Facsimile: (212) 859-4000</w:t>
            </w:r>
          </w:p>
        </w:tc>
      </w:tr>
      <w:tr>
        <w:trPr>
          <w:trHeight w:val="230"/>
        </w:trPr>
        <w:tc>
          <w:tcPr>
            <w:tcW w:w="328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7"/>
              </w:rPr>
              <w:t>Facsimile: (212) 225-3999</w:t>
            </w:r>
          </w:p>
        </w:tc>
        <w:tc>
          <w:tcPr>
            <w:tcW w:w="5780" w:type="dxa"/>
            <w:vAlign w:val="bottom"/>
          </w:tcPr>
          <w:p>
            <w:pPr>
              <w:spacing w:after="0"/>
              <w:rPr>
                <w:sz w:val="20"/>
                <w:szCs w:val="20"/>
                <w:color w:val="auto"/>
              </w:rPr>
            </w:pPr>
          </w:p>
        </w:tc>
      </w:tr>
    </w:tbl>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proposed public offering: </w:t>
      </w:r>
      <w:r>
        <w:rPr>
          <w:rFonts w:ascii="Times New Roman" w:cs="Times New Roman" w:eastAsia="Times New Roman" w:hAnsi="Times New Roman"/>
          <w:sz w:val="18"/>
          <w:szCs w:val="18"/>
          <w:color w:val="auto"/>
        </w:rPr>
        <w:t>As soon as practicable after the effective date of this Registration Statement.</w:t>
      </w:r>
    </w:p>
    <w:p>
      <w:pPr>
        <w:spacing w:after="0" w:line="92" w:lineRule="exact"/>
        <w:rPr>
          <w:sz w:val="24"/>
          <w:szCs w:val="24"/>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It is proposed that this filing will become effective (check appropriate box):</w:t>
      </w:r>
    </w:p>
    <w:p>
      <w:pPr>
        <w:spacing w:after="0" w:line="9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 UNDER THE SECURITIES ACT OF 1933</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12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34"/>
              <w:spacing w:after="0" w:line="116"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82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14"/>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w:t>
            </w:r>
          </w:p>
        </w:tc>
        <w:tc>
          <w:tcPr>
            <w:tcW w:w="1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Being</w:t>
            </w:r>
          </w:p>
        </w:tc>
        <w:tc>
          <w:tcPr>
            <w:tcW w:w="1840" w:type="dxa"/>
            <w:vAlign w:val="bottom"/>
            <w:tcBorders>
              <w:right w:val="single" w:sz="8" w:color="auto"/>
            </w:tcBorders>
          </w:tcPr>
          <w:p>
            <w:pPr>
              <w:jc w:val="center"/>
              <w:ind w:left="14"/>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Offering Price</w:t>
            </w:r>
          </w:p>
        </w:tc>
        <w:tc>
          <w:tcPr>
            <w:tcW w:w="1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1780" w:type="dxa"/>
            <w:vAlign w:val="bottom"/>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76"/>
        </w:trPr>
        <w:tc>
          <w:tcPr>
            <w:tcW w:w="20" w:type="dxa"/>
            <w:vAlign w:val="bottom"/>
          </w:tcPr>
          <w:p>
            <w:pPr>
              <w:spacing w:after="0"/>
              <w:rPr>
                <w:sz w:val="15"/>
                <w:szCs w:val="15"/>
                <w:color w:val="auto"/>
              </w:rPr>
            </w:pPr>
          </w:p>
        </w:tc>
        <w:tc>
          <w:tcPr>
            <w:tcW w:w="4120" w:type="dxa"/>
            <w:vAlign w:val="bottom"/>
            <w:tcBorders>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Title of Securities Being Registered</w:t>
            </w:r>
          </w:p>
        </w:tc>
        <w:tc>
          <w:tcPr>
            <w:tcW w:w="1840" w:type="dxa"/>
            <w:vAlign w:val="bottom"/>
            <w:tcBorders>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1840" w:type="dxa"/>
            <w:vAlign w:val="bottom"/>
            <w:tcBorders>
              <w:bottom w:val="single" w:sz="8" w:color="auto"/>
              <w:right w:val="single" w:sz="8" w:color="auto"/>
            </w:tcBorders>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4"/>
              </w:rPr>
              <w:t>Per Unit</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Offering Price(1)(2)</w:t>
            </w:r>
          </w:p>
        </w:tc>
        <w:tc>
          <w:tcPr>
            <w:tcW w:w="1780" w:type="dxa"/>
            <w:vAlign w:val="bottom"/>
            <w:tcBorders>
              <w:bottom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w w:val="95"/>
              </w:rPr>
              <w:t>Registration Fee(3)</w:t>
            </w:r>
          </w:p>
        </w:tc>
      </w:tr>
      <w:tr>
        <w:trPr>
          <w:trHeight w:val="210"/>
        </w:trPr>
        <w:tc>
          <w:tcPr>
            <w:tcW w:w="20" w:type="dxa"/>
            <w:vAlign w:val="bottom"/>
            <w:tcBorders>
              <w:bottom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184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$136,850,000</w:t>
            </w:r>
          </w:p>
        </w:tc>
        <w:tc>
          <w:tcPr>
            <w:tcW w:w="1780" w:type="dxa"/>
            <w:vAlign w:val="bottom"/>
            <w:tcBorders>
              <w:bottom w:val="single" w:sz="8" w:color="auto"/>
            </w:tcBorders>
          </w:tcPr>
          <w:p>
            <w:pPr>
              <w:jc w:val="center"/>
              <w:ind w:left="6"/>
              <w:spacing w:after="0"/>
              <w:rPr>
                <w:sz w:val="20"/>
                <w:szCs w:val="20"/>
                <w:color w:val="auto"/>
              </w:rPr>
            </w:pPr>
            <w:r>
              <w:rPr>
                <w:rFonts w:ascii="Times New Roman" w:cs="Times New Roman" w:eastAsia="Times New Roman" w:hAnsi="Times New Roman"/>
                <w:sz w:val="18"/>
                <w:szCs w:val="18"/>
                <w:color w:val="auto"/>
                <w:w w:val="96"/>
              </w:rPr>
              <w:t>$17,626.28</w:t>
            </w: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80" w:lineRule="exact"/>
        <w:rPr>
          <w:sz w:val="24"/>
          <w:szCs w:val="24"/>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underwriters’ option to purchase additional shares of our common stock to cover over-allotments.</w:t>
      </w:r>
    </w:p>
    <w:p>
      <w:pPr>
        <w:spacing w:after="0" w:line="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 457(o) under the Securities Act of 1933 solely for the purpose of determining the registration fee.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paid.</w:t>
      </w:r>
    </w:p>
    <w:p>
      <w:pPr>
        <w:spacing w:after="0" w:line="76" w:lineRule="exact"/>
        <w:rPr>
          <w:sz w:val="24"/>
          <w:szCs w:val="24"/>
          <w:color w:val="auto"/>
        </w:rPr>
      </w:pPr>
    </w:p>
    <w:p>
      <w:pPr>
        <w:ind w:right="20" w:firstLine="342"/>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1" w:right="239" w:bottom="1440" w:gutter="0" w:footer="0" w:header="0"/>
        </w:sectPr>
      </w:pPr>
    </w:p>
    <w:bookmarkStart w:id="1" w:name="page2"/>
    <w:bookmarkEnd w:id="1"/>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3"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purpose of this Amendment No. 4 to the Registration Statement under the Securities Act of 1933, as amended, on Form N-2, is to file and add additional exhibits. Accordingly, this Amendment No. 4 consists only of the facing page, this explanatory note and Part C of the Registration Statement. The prospectus and financial statements are unchanged and have been omitted.</w:t>
      </w:r>
    </w:p>
    <w:p>
      <w:pPr>
        <w:sectPr>
          <w:pgSz w:w="11900" w:h="16838" w:orient="portrait"/>
          <w:cols w:equalWidth="0" w:num="1">
            <w:col w:w="11020"/>
          </w:cols>
          <w:pgMar w:left="240" w:top="272" w:right="6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20" w:type="dxa"/>
            <w:vAlign w:val="bottom"/>
            <w:gridSpan w:val="6"/>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6"/>
              </w:rPr>
              <w:t>TPG SPECIALTY LENDING, INC.</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80" w:type="dxa"/>
            <w:vAlign w:val="bottom"/>
            <w:gridSpan w:val="4"/>
          </w:tcPr>
          <w:p>
            <w:pPr>
              <w:jc w:val="center"/>
              <w:ind w:right="4780"/>
              <w:spacing w:after="0"/>
              <w:rPr>
                <w:sz w:val="20"/>
                <w:szCs w:val="20"/>
                <w:color w:val="auto"/>
              </w:rPr>
            </w:pPr>
            <w:r>
              <w:rPr>
                <w:rFonts w:ascii="Times New Roman" w:cs="Times New Roman" w:eastAsia="Times New Roman" w:hAnsi="Times New Roman"/>
                <w:sz w:val="18"/>
                <w:szCs w:val="18"/>
                <w:b w:val="1"/>
                <w:bCs w:val="1"/>
                <w:color w:val="auto"/>
                <w:w w:val="93"/>
              </w:rPr>
              <w:t>PART C</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0" w:type="dxa"/>
            <w:vAlign w:val="bottom"/>
            <w:gridSpan w:val="5"/>
          </w:tcPr>
          <w:p>
            <w:pPr>
              <w:jc w:val="center"/>
              <w:ind w:right="4060"/>
              <w:spacing w:after="0"/>
              <w:rPr>
                <w:sz w:val="20"/>
                <w:szCs w:val="20"/>
                <w:color w:val="auto"/>
              </w:rPr>
            </w:pPr>
            <w:r>
              <w:rPr>
                <w:rFonts w:ascii="Times New Roman" w:cs="Times New Roman" w:eastAsia="Times New Roman" w:hAnsi="Times New Roman"/>
                <w:sz w:val="18"/>
                <w:szCs w:val="18"/>
                <w:b w:val="1"/>
                <w:bCs w:val="1"/>
                <w:color w:val="auto"/>
                <w:w w:val="98"/>
              </w:rPr>
              <w:t>Other Information</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25.</w:t>
            </w:r>
          </w:p>
        </w:tc>
        <w:tc>
          <w:tcPr>
            <w:tcW w:w="1018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w:t>
            </w:r>
          </w:p>
        </w:tc>
        <w:tc>
          <w:tcPr>
            <w:tcW w:w="1018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940" w:type="dxa"/>
            <w:vAlign w:val="bottom"/>
            <w:gridSpan w:val="9"/>
          </w:tcPr>
          <w:p>
            <w:pPr>
              <w:ind w:left="460"/>
              <w:spacing w:after="0"/>
              <w:rPr>
                <w:sz w:val="20"/>
                <w:szCs w:val="20"/>
                <w:color w:val="auto"/>
              </w:rPr>
            </w:pPr>
            <w:r>
              <w:rPr>
                <w:rFonts w:ascii="Times New Roman" w:cs="Times New Roman" w:eastAsia="Times New Roman" w:hAnsi="Times New Roman"/>
                <w:sz w:val="18"/>
                <w:szCs w:val="18"/>
                <w:color w:val="auto"/>
              </w:rPr>
              <w:t>The following financial statements of TPG Specialty Lending, Inc. are provided in Part A of this Registration Statement: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09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9"/>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2013 and 2012</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Consolidated Statements of Operations for the Years Ended December 31, 2013, 2012 and 2011</w:t>
            </w:r>
          </w:p>
        </w:tc>
        <w:tc>
          <w:tcPr>
            <w:tcW w:w="420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109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Schedules of Investments as of December 31, 2013 and 2012</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308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Consolidated Statements of Changes in Net Assets for the Years Ended December 31, 2013, 2012 and 2011</w:t>
            </w:r>
          </w:p>
        </w:tc>
        <w:tc>
          <w:tcPr>
            <w:tcW w:w="33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F-12</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Consolidated Statements of Cash Flows for the Years Ended December 31, 2013, 2012 and 2011</w:t>
            </w:r>
          </w:p>
        </w:tc>
        <w:tc>
          <w:tcPr>
            <w:tcW w:w="414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F-13</w:t>
            </w:r>
          </w:p>
        </w:tc>
        <w:tc>
          <w:tcPr>
            <w:tcW w:w="0" w:type="dxa"/>
            <w:vAlign w:val="bottom"/>
          </w:tcPr>
          <w:p>
            <w:pPr>
              <w:spacing w:after="0"/>
              <w:rPr>
                <w:sz w:val="1"/>
                <w:szCs w:val="1"/>
                <w:color w:val="auto"/>
              </w:rPr>
            </w:pPr>
          </w:p>
        </w:tc>
      </w:tr>
      <w:tr>
        <w:trPr>
          <w:trHeight w:val="196"/>
        </w:trPr>
        <w:tc>
          <w:tcPr>
            <w:tcW w:w="109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20" w:hanging="912"/>
        <w:spacing w:after="0"/>
        <w:tabs>
          <w:tab w:leader="none" w:pos="9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(a)(1)</w:t>
            </w:r>
          </w:p>
        </w:tc>
        <w:tc>
          <w:tcPr>
            <w:tcW w:w="10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Amended and Restated Certificate of Incorporation (incorporated by reference to Exhibit 3.1 to Amendment No. 1 to the Company’s</w:t>
            </w:r>
          </w:p>
        </w:tc>
      </w:tr>
      <w:tr>
        <w:trPr>
          <w:trHeight w:val="228"/>
        </w:trPr>
        <w:tc>
          <w:tcPr>
            <w:tcW w:w="860" w:type="dxa"/>
            <w:vAlign w:val="bottom"/>
          </w:tcPr>
          <w:p>
            <w:pPr>
              <w:spacing w:after="0"/>
              <w:rPr>
                <w:sz w:val="19"/>
                <w:szCs w:val="19"/>
                <w:color w:val="auto"/>
              </w:rPr>
            </w:pPr>
          </w:p>
        </w:tc>
        <w:tc>
          <w:tcPr>
            <w:tcW w:w="10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Registration Statement on Form 10 filed on March 14, 2011)</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103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Certificate of Amendment to Amended and Restated Certificate of Incorporation (incorporated by reference to Exhibit 3.1 to the Company’s</w:t>
            </w:r>
          </w:p>
        </w:tc>
      </w:tr>
      <w:tr>
        <w:trPr>
          <w:trHeight w:val="228"/>
        </w:trPr>
        <w:tc>
          <w:tcPr>
            <w:tcW w:w="860" w:type="dxa"/>
            <w:vAlign w:val="bottom"/>
          </w:tcPr>
          <w:p>
            <w:pPr>
              <w:spacing w:after="0"/>
              <w:rPr>
                <w:sz w:val="19"/>
                <w:szCs w:val="19"/>
                <w:color w:val="auto"/>
              </w:rPr>
            </w:pPr>
          </w:p>
        </w:tc>
        <w:tc>
          <w:tcPr>
            <w:tcW w:w="10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Current Report on Form 8-K filed on March 12, 2014)</w:t>
            </w:r>
          </w:p>
        </w:tc>
      </w:tr>
    </w:tbl>
    <w:p>
      <w:pPr>
        <w:spacing w:after="0" w:line="96" w:lineRule="exact"/>
        <w:rPr>
          <w:sz w:val="20"/>
          <w:szCs w:val="20"/>
          <w:color w:val="auto"/>
        </w:rPr>
      </w:pPr>
    </w:p>
    <w:p>
      <w:pPr>
        <w:ind w:left="1300" w:hanging="1292"/>
        <w:spacing w:after="0" w:line="275"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(incorporated by reference to Exhibit 3.2 to Amendment No. 1 to the Company’s Registration Statement on Form 10 filed on March 14, 2011)</w:t>
      </w:r>
    </w:p>
    <w:p>
      <w:pPr>
        <w:spacing w:after="0" w:line="6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Subscription Agreement in connection with the Private Offerings (incorporated by reference to Exhibit 4.1 to the Company’s</w:t>
            </w:r>
          </w:p>
        </w:tc>
      </w:tr>
      <w:tr>
        <w:trPr>
          <w:trHeight w:val="228"/>
        </w:trPr>
        <w:tc>
          <w:tcPr>
            <w:tcW w:w="860" w:type="dxa"/>
            <w:vAlign w:val="bottom"/>
          </w:tcPr>
          <w:p>
            <w:pPr>
              <w:spacing w:after="0"/>
              <w:rPr>
                <w:sz w:val="19"/>
                <w:szCs w:val="19"/>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Registration Statement on Form 10 filed on January 14, 2011)</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Form of Common Stock Certificate (incorporated by reference to Exhibit 4.2 to the Company’s Annual Report on Form 10-K filed on March</w:t>
            </w:r>
          </w:p>
        </w:tc>
      </w:tr>
      <w:tr>
        <w:trPr>
          <w:trHeight w:val="228"/>
        </w:trPr>
        <w:tc>
          <w:tcPr>
            <w:tcW w:w="860" w:type="dxa"/>
            <w:vAlign w:val="bottom"/>
          </w:tcPr>
          <w:p>
            <w:pPr>
              <w:spacing w:after="0"/>
              <w:rPr>
                <w:sz w:val="19"/>
                <w:szCs w:val="19"/>
                <w:color w:val="auto"/>
              </w:rPr>
            </w:pP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22, 2012)</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103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Private Placement Agreement (1)</w:t>
            </w:r>
          </w:p>
        </w:tc>
      </w:tr>
    </w:tbl>
    <w:p>
      <w:pPr>
        <w:spacing w:after="0" w:line="96" w:lineRule="exact"/>
        <w:rPr>
          <w:sz w:val="20"/>
          <w:szCs w:val="20"/>
          <w:color w:val="auto"/>
        </w:rPr>
      </w:pPr>
    </w:p>
    <w:p>
      <w:pPr>
        <w:ind w:left="1300" w:hanging="1292"/>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Reinvestment Plan of TPG Specialty Lending, Inc.</w:t>
      </w:r>
    </w:p>
    <w:p>
      <w:pPr>
        <w:spacing w:after="0" w:line="117"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300" w:right="180" w:hanging="1292"/>
        <w:spacing w:after="0" w:line="275"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65"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Underwriting Agreement</w:t>
      </w:r>
    </w:p>
    <w:p>
      <w:pPr>
        <w:spacing w:after="0" w:line="117" w:lineRule="exact"/>
        <w:rPr>
          <w:rFonts w:ascii="Times New Roman" w:cs="Times New Roman" w:eastAsia="Times New Roman" w:hAnsi="Times New Roman"/>
          <w:sz w:val="18"/>
          <w:szCs w:val="18"/>
          <w:color w:val="auto"/>
        </w:rPr>
      </w:pPr>
    </w:p>
    <w:p>
      <w:pPr>
        <w:ind w:left="1300" w:hanging="1292"/>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(j)(1)</w:t>
            </w:r>
          </w:p>
        </w:tc>
        <w:tc>
          <w:tcPr>
            <w:tcW w:w="105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Custodian Agreement dated November 29, 2012 between TPG Specialty Lending, Inc. and State Street Bank and Trust Company (incorporated</w:t>
            </w:r>
          </w:p>
        </w:tc>
      </w:tr>
      <w:tr>
        <w:trPr>
          <w:trHeight w:val="228"/>
        </w:trPr>
        <w:tc>
          <w:tcPr>
            <w:tcW w:w="860" w:type="dxa"/>
            <w:vAlign w:val="bottom"/>
          </w:tcPr>
          <w:p>
            <w:pPr>
              <w:spacing w:after="0"/>
              <w:rPr>
                <w:sz w:val="19"/>
                <w:szCs w:val="19"/>
                <w:color w:val="auto"/>
              </w:rPr>
            </w:pPr>
          </w:p>
        </w:tc>
        <w:tc>
          <w:tcPr>
            <w:tcW w:w="10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by reference to Exhibit 10.1 to the Company’s Current Report on Form 8-K filed on December 4, 2012)</w:t>
            </w: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(k)(1)</w:t>
            </w:r>
          </w:p>
        </w:tc>
        <w:tc>
          <w:tcPr>
            <w:tcW w:w="10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Form of Indemnification Agreement between the Company and certain officers and directors (incorporated by reference to Exhibit 10.3 to</w:t>
            </w:r>
          </w:p>
        </w:tc>
      </w:tr>
      <w:tr>
        <w:trPr>
          <w:trHeight w:val="228"/>
        </w:trPr>
        <w:tc>
          <w:tcPr>
            <w:tcW w:w="860" w:type="dxa"/>
            <w:vAlign w:val="bottom"/>
          </w:tcPr>
          <w:p>
            <w:pPr>
              <w:spacing w:after="0"/>
              <w:rPr>
                <w:sz w:val="19"/>
                <w:szCs w:val="19"/>
                <w:color w:val="auto"/>
              </w:rPr>
            </w:pPr>
          </w:p>
        </w:tc>
        <w:tc>
          <w:tcPr>
            <w:tcW w:w="10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Amendment No. 1 to the Company’s Registration Statement on Form 10 filed on March 14, 2011)</w:t>
            </w:r>
          </w:p>
        </w:tc>
      </w:tr>
      <w:tr>
        <w:trPr>
          <w:trHeight w:val="365"/>
        </w:trPr>
        <w:tc>
          <w:tcPr>
            <w:tcW w:w="860" w:type="dxa"/>
            <w:vAlign w:val="bottom"/>
          </w:tcPr>
          <w:p>
            <w:pPr>
              <w:spacing w:after="0"/>
              <w:rPr>
                <w:sz w:val="24"/>
                <w:szCs w:val="24"/>
                <w:color w:val="auto"/>
              </w:rPr>
            </w:pPr>
          </w:p>
        </w:tc>
        <w:tc>
          <w:tcPr>
            <w:tcW w:w="1052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C-1</w:t>
            </w:r>
          </w:p>
        </w:tc>
      </w:tr>
    </w:tbl>
    <w:p>
      <w:pPr>
        <w:sectPr>
          <w:pgSz w:w="11900" w:h="16838" w:orient="portrait"/>
          <w:cols w:equalWidth="0" w:num="1">
            <w:col w:w="11420"/>
          </w:cols>
          <w:pgMar w:left="240" w:top="272"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(k)(2)</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Administration Agreement, dated as of March 15, 2011, between the Company and the Adviser (incorporated by reference to Exhibit 10.1 to the</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Company’s Current Report on Form 8-K filed on March 15, 2011)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(k)(3)</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Revolving Credit Agreement, dated September 28, 2011, among TPG Specialty Lending Inc., as Borrower, Deutsche Bank Trust Company</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Americas, as Administrative Agent, and Lenders Party Thereto (incorporated by reference to Exhibit 10.1 to the Company’s Quarterly Report</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 Form 10-Q for the quarter ended September 30, 2011, filed on November 14, 2011)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(k)(4)</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First Amendment to Revolving Credit Agreement, dated September 28, 2011, among TPG Specialty Lending, Inc., as Borrower, Deutsche Bank</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Trust Company Americas, as Administrative Agent, and Lenders Party Thereto (incorporated by reference to Exhibit 10.2 to the Company’s</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Quarterly Report on Form 10-Q for the quarter ended September 30, 2011, filed on November 14, 2011)</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(k)(5)</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Amended and Restated Revolving Credit Agreement, dated December 22, 2011, among TPG Specialty Lending, Inc., as Borrower, Deutsche</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Bank Trust Company Americas, as Administrative Agent, and Lenders Party (incorporated by reference to Exhibit 10.6 to the Company’s</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Annual Report on Form 10-K filed on March 22, 2012)</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(k)(6)</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Revolving Credit and Security Agreement, dated May 8, 2012, among TPG SL SPV, LLC, as Borrower, the Lenders from Time to Time Parties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Hereto, Natixis, New York Branch, as Facility Agent and The Bank of New York Mellon Trust Company, N.A., as Collateral Agent</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Quarterly Report on Form 10-Q filed on August 13, 2012)</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(k)(7)</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Master Sale and Contribution Agreement by and between TPG Specialty Lending, Inc., as the Originator and TPG SL SPV, LLC, as the Buyer,</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dated as of May 8, 2012 (incorporated by reference to Exhibit 10.2 to the Company’s Quarterly Report on Form 10-Q filed on August 13, 2012)</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(k)(8)</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Senior Secured Revolving Credit Agreement, dated as of August 23, 2012, among TPG Specialty Lending, Inc., as Borrower, the Lenders Party</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Hereto and SunTrust Bank, as Administrative Agent, JPMorgan Chase Bank, N.A., as Syndication Agent (incorporated by reference to Exhibit</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10.1 to the Company’s Quarterly Report on Form 10-Q filed on November 14, 2012)</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(k)(9)</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First Amendment to Amended and Restated Revolving Credit Agreement, dated October 31, 2012,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Borrower, Deutsche Bank Trust Company Americas, as Administrative Agent, and Lenders Named Herein (incorporated by reference to Exhibit</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10.2 to the Company’s Quarterly Report on Form 10-Q filed on November 14, 2012)</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(k)(10)</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Instrument of Removal, Appointment and Acceptance, dated November 29, 2012, among State Street Bank and Trust Company and TPG SL</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SPV, LLC, TPG Specialty Lending, Inc. and the Bank of New York Mellon Trust Company, N.A. (incorporated by reference to Exhibit 10.1 to</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Company’s Current Report on Form 8-K filed on January 2, 2013)</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(k)(11)</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Second Amendment to Amended and Restated Revolving Credit Agreement, dated May 7, 2013, among TPG Specialty Lending, Inc.,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Borrower, Deutsche Bank Trust Company Americas, as Administrative Agent, and Lenders Named Herein (incorporated by reference to Exhibit</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10.1 to the Company’s Quarterly Report on Form 10-Q filed on May 10, 2013)</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(k)(12)</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Amended and Restated Senior Secured Revolving Credit Agreement, dated as of July 2, 2013, among TPG Specialty Lending, Inc., the lenders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party thereto, SunTrust Bank as administrative agent and JPMorgan Chase Bank N.A. as syndication agent (incorporated by reference to</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Exhibit 10.1 to the Company’s Current Report on Form 8-K filed on July 9, 2013)</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(k)(13)</w:t>
            </w: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Amendment No. 1 dated July 17, 2013 to Revolving Credit and Security Agreement, dated May 8, 2012, among TPG SL SPV, LLC, as</w:t>
            </w:r>
          </w:p>
        </w:tc>
      </w:tr>
      <w:tr>
        <w:trPr>
          <w:trHeight w:val="228"/>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Borrower, the Lenders from Time to Time Parties Hereto, Natixis, New York Branch, as Facility Agent and The Bank of New York Mellon</w:t>
            </w:r>
          </w:p>
        </w:tc>
      </w:tr>
    </w:tbl>
    <w:p>
      <w:pPr>
        <w:ind w:left="1260" w:right="40"/>
        <w:spacing w:after="0" w:line="261" w:lineRule="auto"/>
        <w:rPr>
          <w:sz w:val="20"/>
          <w:szCs w:val="20"/>
          <w:color w:val="auto"/>
        </w:rPr>
      </w:pPr>
      <w:r>
        <w:rPr>
          <w:rFonts w:ascii="Times New Roman" w:cs="Times New Roman" w:eastAsia="Times New Roman" w:hAnsi="Times New Roman"/>
          <w:sz w:val="18"/>
          <w:szCs w:val="18"/>
          <w:color w:val="auto"/>
        </w:rPr>
        <w:t>Trust Company, N.A., as Collateral Agent (incorporated by reference to Exhibit 10.1 to the Company’s Quarterly Report on Form 10-Q filed on August 9, 2013)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400"/>
          </w:cols>
          <w:pgMar w:left="240" w:top="382"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(k)(14)</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Third Amendment to Amended and Restated Revolving Credit Agreement, dated November 5, 2013, among TPG Specialty Lending, Inc., as</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Borrower, Deutsche Bank Trust Company Americas, as Administrative Agent, and Lenders Named Herein (incorporated by reference to Exhibit</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10.1 to the Company’s Current Report on Form 8-K filed on November 7, 2013)</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(k)(15)</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Amended and Restated Revolving Credit and Security Agreement, dated as of January 21, 2014, among TPG SL SPV, LLC, as Borrower, the</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Lenders from Time to Time Parties Hereto, Natixis, New York Branch, as Facility Agent and State Street Bank and Trust Company, as</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Collateral Agent (incorporated by reference to Exhibit 10.18 to the Company’s Annual Report on Form 10-K filed on March 4, 2014)</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(k)(16)</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Amended and Restated Master Sale and Contribution Agreement by and between TPG Specialty Lending, Inc., as the Originator and TPG SL</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SPV, LLC, as the Buyer, dated as of January 21, 2014 (incorporated by reference to Exhibit 10.19 to the Company’s Annual Report on Form 10-</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 filed on March 4, 2014)</w:t>
            </w:r>
          </w:p>
        </w:tc>
      </w:tr>
      <w:tr>
        <w:trPr>
          <w:trHeight w:val="31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(k)(17)</w:t>
            </w: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Second Amended and Restated Senior Secured Credit Agreement, dated February 27, 2014, among TPG Specialty Lending, Inc., as Borrower,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the Lenders Party Hereto and SunTrust Bank, as Administrative Agent, and JPMorgan Chase Bank, N.A., as Syndication Agent (incorporated</w:t>
            </w:r>
          </w:p>
        </w:tc>
      </w:tr>
      <w:tr>
        <w:trPr>
          <w:trHeight w:val="228"/>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by reference to Exhibit 10.20 to the Company’s Annual Report on Form 10-K filed on March 4, 2014)</w:t>
            </w: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260" w:hanging="1252"/>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Opinion and Consent of Cleary Gottlieb Steen &amp; Hamilton LLP</w:t>
      </w:r>
    </w:p>
    <w:p>
      <w:pPr>
        <w:spacing w:after="0" w:line="117" w:lineRule="exact"/>
        <w:rPr>
          <w:rFonts w:ascii="Times New Roman" w:cs="Times New Roman" w:eastAsia="Times New Roman" w:hAnsi="Times New Roman"/>
          <w:sz w:val="18"/>
          <w:szCs w:val="18"/>
          <w:color w:val="auto"/>
        </w:rPr>
      </w:pPr>
    </w:p>
    <w:p>
      <w:pPr>
        <w:ind w:left="1260" w:hanging="1252"/>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(n)(1)</w:t>
            </w:r>
          </w:p>
        </w:tc>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Consent of Cleary Gottlieb Steen &amp; Hamilton LLP (included in Exhibit (l))</w:t>
            </w: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(n)(2)</w:t>
            </w:r>
          </w:p>
        </w:tc>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Consent of KPMG LLP (1)</w:t>
            </w:r>
          </w:p>
        </w:tc>
      </w:tr>
      <w:tr>
        <w:trPr>
          <w:trHeight w:val="32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(n)(3)</w:t>
            </w:r>
          </w:p>
        </w:tc>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Report of KPMG LLP (1)</w:t>
            </w:r>
          </w:p>
        </w:tc>
      </w:tr>
    </w:tbl>
    <w:p>
      <w:pPr>
        <w:spacing w:after="0" w:line="96" w:lineRule="exact"/>
        <w:rPr>
          <w:sz w:val="20"/>
          <w:szCs w:val="20"/>
          <w:color w:val="auto"/>
        </w:rPr>
      </w:pPr>
    </w:p>
    <w:p>
      <w:pPr>
        <w:ind w:left="1260" w:hanging="1252"/>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260" w:hanging="1252"/>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1260" w:hanging="1252"/>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(r)(1)</w:t>
            </w:r>
          </w:p>
        </w:tc>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Code of Ethics of TPG Specialty Lending, Inc.</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(r)(2)</w:t>
            </w:r>
          </w:p>
        </w:tc>
        <w:tc>
          <w:tcPr>
            <w:tcW w:w="3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Code of Ethics of TSL Advisers,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this registration statement.</w:t>
      </w:r>
    </w:p>
    <w:p>
      <w:pPr>
        <w:spacing w:after="0" w:line="2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26.</w:t>
      </w:r>
      <w:r>
        <w:rPr>
          <w:sz w:val="20"/>
          <w:szCs w:val="20"/>
          <w:color w:val="auto"/>
        </w:rPr>
        <w:tab/>
      </w:r>
      <w:r>
        <w:rPr>
          <w:rFonts w:ascii="Times New Roman" w:cs="Times New Roman" w:eastAsia="Times New Roman" w:hAnsi="Times New Roman"/>
          <w:sz w:val="16"/>
          <w:szCs w:val="16"/>
          <w:b w:val="1"/>
          <w:bCs w:val="1"/>
          <w:color w:val="auto"/>
        </w:rPr>
        <w:t>Marketing Arrangements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contained under the heading “Underwriting” in this Registration Statement is incorporated herein by reference.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27.</w:t>
            </w:r>
          </w:p>
        </w:tc>
        <w:tc>
          <w:tcPr>
            <w:tcW w:w="9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Other Expenses of Issuance and Distribution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140" w:type="dxa"/>
            <w:vAlign w:val="bottom"/>
            <w:gridSpan w:val="2"/>
          </w:tcPr>
          <w:p>
            <w:pPr>
              <w:spacing w:after="0"/>
              <w:rPr>
                <w:sz w:val="17"/>
                <w:szCs w:val="17"/>
                <w:color w:val="auto"/>
              </w:rPr>
            </w:pPr>
          </w:p>
        </w:tc>
        <w:tc>
          <w:tcPr>
            <w:tcW w:w="9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17,626</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Stock Exchange listing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line="216" w:lineRule="exact"/>
              <w:rPr>
                <w:sz w:val="20"/>
                <w:szCs w:val="20"/>
                <w:color w:val="auto"/>
              </w:rPr>
            </w:pPr>
            <w:r>
              <w:rPr>
                <w:rFonts w:ascii="Times New Roman" w:cs="Times New Roman" w:eastAsia="Times New Roman" w:hAnsi="Times New Roman"/>
                <w:sz w:val="18"/>
                <w:szCs w:val="18"/>
                <w:color w:val="auto"/>
              </w:rPr>
              <w:t>350,000</w:t>
            </w:r>
            <w:r>
              <w:rPr>
                <w:rFonts w:ascii="Times New Roman" w:cs="Times New Roman" w:eastAsia="Times New Roman" w:hAnsi="Times New Roman"/>
                <w:sz w:val="22"/>
                <w:szCs w:val="22"/>
                <w:color w:val="auto"/>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line="216" w:lineRule="exact"/>
              <w:rPr>
                <w:sz w:val="20"/>
                <w:szCs w:val="20"/>
                <w:color w:val="auto"/>
              </w:rPr>
            </w:pPr>
            <w:r>
              <w:rPr>
                <w:rFonts w:ascii="Times New Roman" w:cs="Times New Roman" w:eastAsia="Times New Roman" w:hAnsi="Times New Roman"/>
                <w:sz w:val="18"/>
                <w:szCs w:val="18"/>
                <w:color w:val="auto"/>
                <w:w w:val="91"/>
              </w:rPr>
              <w:t>2,000,000</w:t>
            </w:r>
            <w:r>
              <w:rPr>
                <w:rFonts w:ascii="Times New Roman" w:cs="Times New Roman" w:eastAsia="Times New Roman" w:hAnsi="Times New Roman"/>
                <w:sz w:val="22"/>
                <w:szCs w:val="22"/>
                <w:color w:val="auto"/>
                <w:w w:val="91"/>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line="216" w:lineRule="exact"/>
              <w:rPr>
                <w:sz w:val="20"/>
                <w:szCs w:val="20"/>
                <w:color w:val="auto"/>
              </w:rPr>
            </w:pPr>
            <w:r>
              <w:rPr>
                <w:rFonts w:ascii="Times New Roman" w:cs="Times New Roman" w:eastAsia="Times New Roman" w:hAnsi="Times New Roman"/>
                <w:sz w:val="18"/>
                <w:szCs w:val="18"/>
                <w:color w:val="auto"/>
              </w:rPr>
              <w:t>350,000</w:t>
            </w:r>
            <w:r>
              <w:rPr>
                <w:rFonts w:ascii="Times New Roman" w:cs="Times New Roman" w:eastAsia="Times New Roman" w:hAnsi="Times New Roman"/>
                <w:sz w:val="22"/>
                <w:szCs w:val="22"/>
                <w:color w:val="auto"/>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line="216" w:lineRule="exact"/>
              <w:rPr>
                <w:sz w:val="20"/>
                <w:szCs w:val="20"/>
                <w:color w:val="auto"/>
              </w:rPr>
            </w:pPr>
            <w:r>
              <w:rPr>
                <w:rFonts w:ascii="Times New Roman" w:cs="Times New Roman" w:eastAsia="Times New Roman" w:hAnsi="Times New Roman"/>
                <w:sz w:val="18"/>
                <w:szCs w:val="18"/>
                <w:color w:val="auto"/>
              </w:rPr>
              <w:t>221,346</w:t>
            </w:r>
            <w:r>
              <w:rPr>
                <w:rFonts w:ascii="Times New Roman" w:cs="Times New Roman" w:eastAsia="Times New Roman" w:hAnsi="Times New Roman"/>
                <w:sz w:val="22"/>
                <w:szCs w:val="22"/>
                <w:color w:val="auto"/>
                <w:vertAlign w:val="superscript"/>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3,000,000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0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estimates.</w:t>
      </w:r>
    </w:p>
    <w:p>
      <w:pPr>
        <w:spacing w:after="0" w:line="17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expenses set forth above shall be borne by the Registrant.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420"/>
          </w:cols>
          <w:pgMar w:left="240" w:top="382" w:right="239" w:bottom="1440" w:gutter="0" w:footer="0" w:header="0"/>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28.</w:t>
      </w:r>
      <w:r>
        <w:rPr>
          <w:sz w:val="20"/>
          <w:szCs w:val="20"/>
          <w:color w:val="auto"/>
        </w:rPr>
        <w:tab/>
      </w:r>
      <w:r>
        <w:rPr>
          <w:rFonts w:ascii="Times New Roman" w:cs="Times New Roman" w:eastAsia="Times New Roman" w:hAnsi="Times New Roman"/>
          <w:sz w:val="16"/>
          <w:szCs w:val="16"/>
          <w:b w:val="1"/>
          <w:bCs w:val="1"/>
          <w:color w:val="auto"/>
        </w:rPr>
        <w:t>Persons Controlled by or Under Common Control</w:t>
      </w:r>
    </w:p>
    <w:p>
      <w:pPr>
        <w:spacing w:after="0" w:line="92"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29.</w:t>
            </w:r>
          </w:p>
        </w:tc>
        <w:tc>
          <w:tcPr>
            <w:tcW w:w="8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 of Holders of Securities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97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approximate number of record holders of our common stock as of December 31, 2013.</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6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5"/>
              </w:rPr>
              <w:t>Number of Record Holders</w:t>
            </w:r>
          </w:p>
        </w:tc>
      </w:tr>
      <w:tr>
        <w:trPr>
          <w:trHeight w:val="210"/>
        </w:trPr>
        <w:tc>
          <w:tcPr>
            <w:tcW w:w="77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9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6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30.</w:t>
      </w:r>
      <w:r>
        <w:rPr>
          <w:sz w:val="20"/>
          <w:szCs w:val="20"/>
          <w:color w:val="auto"/>
        </w:rPr>
        <w:tab/>
      </w:r>
      <w:r>
        <w:rPr>
          <w:rFonts w:ascii="Times New Roman" w:cs="Times New Roman" w:eastAsia="Times New Roman" w:hAnsi="Times New Roman"/>
          <w:sz w:val="16"/>
          <w:szCs w:val="16"/>
          <w:b w:val="1"/>
          <w:bCs w:val="1"/>
          <w:color w:val="auto"/>
        </w:rPr>
        <w:t>Indemnification</w:t>
      </w:r>
    </w:p>
    <w:p>
      <w:pPr>
        <w:spacing w:after="0" w:line="9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38" w:lineRule="exact"/>
        <w:rPr>
          <w:sz w:val="20"/>
          <w:szCs w:val="20"/>
          <w:color w:val="auto"/>
        </w:rPr>
      </w:pPr>
    </w:p>
    <w:p>
      <w:pPr>
        <w:ind w:right="120" w:firstLine="456"/>
        <w:spacing w:after="0" w:line="296" w:lineRule="auto"/>
        <w:rPr>
          <w:sz w:val="20"/>
          <w:szCs w:val="20"/>
          <w:color w:val="auto"/>
        </w:rPr>
      </w:pPr>
      <w:r>
        <w:rPr>
          <w:rFonts w:ascii="Times New Roman" w:cs="Times New Roman" w:eastAsia="Times New Roman" w:hAnsi="Times New Roman"/>
          <w:sz w:val="16"/>
          <w:szCs w:val="16"/>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08"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Delaware General Corporation Law. A form of the indemnification agreement has been filed as an exhibit to the Registration Statement of which this prospectus is a part.</w:t>
      </w:r>
    </w:p>
    <w:p>
      <w:pPr>
        <w:spacing w:after="0" w:line="13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3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Investment Advisory Agreement and the Administration Agreement provide that the Adviser and its members, managers, officers, employees, agents, controlling persons and any other person or entity affiliated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420"/>
          </w:cols>
          <w:pgMar w:left="240" w:top="272" w:right="239" w:bottom="1440" w:gutter="0" w:footer="0" w:header="0"/>
        </w:sectPr>
      </w:pPr>
    </w:p>
    <w:bookmarkStart w:id="6" w:name="page7"/>
    <w:bookmarkEnd w:id="6"/>
    <w:p>
      <w:pPr>
        <w:ind w:right="220"/>
        <w:spacing w:after="0" w:line="29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17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31.</w:t>
      </w:r>
      <w:r>
        <w:rPr>
          <w:sz w:val="20"/>
          <w:szCs w:val="20"/>
          <w:color w:val="auto"/>
        </w:rPr>
        <w:tab/>
      </w:r>
      <w:r>
        <w:rPr>
          <w:rFonts w:ascii="Times New Roman" w:cs="Times New Roman" w:eastAsia="Times New Roman" w:hAnsi="Times New Roman"/>
          <w:sz w:val="16"/>
          <w:szCs w:val="16"/>
          <w:b w:val="1"/>
          <w:bCs w:val="1"/>
          <w:color w:val="auto"/>
        </w:rPr>
        <w:t>Business and Other Connections of Investment Advisor.</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on March 28, 2013 (SEC File No. 801-72185), and is incorporated herein by reference.</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32.</w:t>
      </w:r>
      <w:r>
        <w:rPr>
          <w:sz w:val="20"/>
          <w:szCs w:val="20"/>
          <w:color w:val="auto"/>
        </w:rPr>
        <w:tab/>
      </w:r>
      <w:r>
        <w:rPr>
          <w:rFonts w:ascii="Times New Roman" w:cs="Times New Roman" w:eastAsia="Times New Roman" w:hAnsi="Times New Roman"/>
          <w:sz w:val="16"/>
          <w:szCs w:val="16"/>
          <w:b w:val="1"/>
          <w:bCs w:val="1"/>
          <w:color w:val="auto"/>
        </w:rPr>
        <w:t>Location of Accounts and Records.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All accounts, books and other documents required to be maintained by Section 31(a) of the 1940 Act, and the rules thereunder are maintained at the offices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199"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301 Commerce Street, Suite 3300, Fort Worth, TX 76102;</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agent, State Street Bank and Trust Company, 200 Clarendon Street, Boston, MA 02116;</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State Street Bank and Trust Company, 1 Lincoln Street Boston, MA 02111; and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301 Commerce Street, Suite 3300, Fort Worth, TX 76102.</w:t>
      </w:r>
    </w:p>
    <w:p>
      <w:pPr>
        <w:spacing w:after="0" w:line="2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33.</w:t>
      </w:r>
      <w:r>
        <w:rPr>
          <w:sz w:val="20"/>
          <w:szCs w:val="20"/>
          <w:color w:val="auto"/>
        </w:rPr>
        <w:tab/>
      </w:r>
      <w:r>
        <w:rPr>
          <w:rFonts w:ascii="Times New Roman" w:cs="Times New Roman" w:eastAsia="Times New Roman" w:hAnsi="Times New Roman"/>
          <w:sz w:val="16"/>
          <w:szCs w:val="16"/>
          <w:b w:val="1"/>
          <w:bCs w:val="1"/>
          <w:color w:val="auto"/>
        </w:rPr>
        <w:t>Management Services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34.</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92" w:lineRule="exact"/>
        <w:rPr>
          <w:sz w:val="20"/>
          <w:szCs w:val="20"/>
          <w:color w:val="auto"/>
        </w:rPr>
      </w:pPr>
    </w:p>
    <w:p>
      <w:pPr>
        <w:jc w:val="both"/>
        <w:ind w:left="460" w:right="160" w:hanging="452"/>
        <w:spacing w:after="0" w:line="26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undertake that:</w:t>
      </w:r>
    </w:p>
    <w:p>
      <w:pPr>
        <w:spacing w:after="0" w:line="90" w:lineRule="exact"/>
        <w:rPr>
          <w:rFonts w:ascii="Times New Roman" w:cs="Times New Roman" w:eastAsia="Times New Roman" w:hAnsi="Times New Roman"/>
          <w:sz w:val="18"/>
          <w:szCs w:val="18"/>
          <w:color w:val="auto"/>
        </w:rPr>
      </w:pPr>
    </w:p>
    <w:p>
      <w:pPr>
        <w:ind w:left="900" w:hanging="446"/>
        <w:spacing w:after="0" w:line="262"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w:t>
      </w:r>
    </w:p>
    <w:p>
      <w:pPr>
        <w:spacing w:after="0" w:line="51" w:lineRule="exact"/>
        <w:rPr>
          <w:rFonts w:ascii="Times New Roman" w:cs="Times New Roman" w:eastAsia="Times New Roman" w:hAnsi="Times New Roman"/>
          <w:sz w:val="18"/>
          <w:szCs w:val="18"/>
          <w:color w:val="auto"/>
        </w:rPr>
      </w:pPr>
    </w:p>
    <w:p>
      <w:pPr>
        <w:ind w:left="900" w:right="20" w:hanging="446"/>
        <w:spacing w:after="0" w:line="262" w:lineRule="auto"/>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340"/>
          </w:cols>
          <w:pgMar w:left="240" w:top="272" w:right="319" w:bottom="1440" w:gutter="0" w:footer="0" w:header="0"/>
        </w:sectPr>
      </w:pPr>
    </w:p>
    <w:bookmarkStart w:id="8" w:name="page9"/>
    <w:bookmarkEnd w:id="8"/>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N-2 to be signed on its behalf by the undersigned, thereunto duly authorized, in the City of New York, and the State of New York on the 17th day of March, 2014.</w:t>
      </w:r>
    </w:p>
    <w:p>
      <w:pPr>
        <w:spacing w:after="0" w:line="16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Michael Fishman</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-129540</wp:posOffset>
            </wp:positionV>
            <wp:extent cx="2718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Co-Chief Executive Officer</w:t>
      </w:r>
    </w:p>
    <w:p>
      <w:pPr>
        <w:spacing w:after="0" w:line="15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p>
      <w:pPr>
        <w:ind w:left="1800"/>
        <w:spacing w:after="0"/>
        <w:tabs>
          <w:tab w:leader="none" w:pos="6540" w:val="left"/>
          <w:tab w:leader="none" w:pos="102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272" w:right="499" w:bottom="1440" w:gutter="0" w:footer="0" w:header="0"/>
        </w:sectPr>
      </w:pPr>
    </w:p>
    <w:p>
      <w:pPr>
        <w:spacing w:after="0" w:line="220" w:lineRule="exact"/>
        <w:rPr>
          <w:sz w:val="20"/>
          <w:szCs w:val="20"/>
          <w:color w:val="auto"/>
        </w:rPr>
      </w:pPr>
    </w:p>
    <w:p>
      <w:pPr>
        <w:jc w:val="right"/>
        <w:ind w:right="860"/>
        <w:spacing w:after="0"/>
        <w:rPr>
          <w:sz w:val="20"/>
          <w:szCs w:val="20"/>
          <w:color w:val="auto"/>
        </w:rPr>
      </w:pPr>
      <w:r>
        <w:rPr>
          <w:rFonts w:ascii="Times New Roman" w:cs="Times New Roman" w:eastAsia="Times New Roman" w:hAnsi="Times New Roman"/>
          <w:sz w:val="18"/>
          <w:szCs w:val="18"/>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416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jc w:val="right"/>
        <w:ind w:right="860"/>
        <w:spacing w:after="0"/>
        <w:rPr>
          <w:sz w:val="20"/>
          <w:szCs w:val="20"/>
          <w:color w:val="auto"/>
        </w:rPr>
      </w:pPr>
      <w:r>
        <w:rPr>
          <w:rFonts w:ascii="Times New Roman" w:cs="Times New Roman" w:eastAsia="Times New Roman" w:hAnsi="Times New Roman"/>
          <w:sz w:val="18"/>
          <w:szCs w:val="18"/>
          <w:color w:val="auto"/>
        </w:rPr>
        <w:t>Michael Fishman</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41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Joshua Easterly</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416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Alan Kirshenbaum</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250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John A. Ross</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2504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6"/>
          <w:szCs w:val="16"/>
          <w:color w:val="auto"/>
        </w:rPr>
        <w:t>Richard A. Higginbotham</w:t>
      </w:r>
    </w:p>
    <w:p>
      <w:pPr>
        <w:spacing w:after="0" w:line="24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2504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Ronald K. Tanemura</w:t>
      </w:r>
    </w:p>
    <w:p>
      <w:pPr>
        <w:spacing w:after="0" w:line="200" w:lineRule="exact"/>
        <w:rPr>
          <w:sz w:val="20"/>
          <w:szCs w:val="20"/>
          <w:color w:val="auto"/>
        </w:rPr>
      </w:pPr>
    </w:p>
    <w:p>
      <w:pPr>
        <w:spacing w:after="0" w:line="22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Michael Fishman</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-130175</wp:posOffset>
            </wp:positionV>
            <wp:extent cx="26327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Co-Chief Executive Officer and Director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 and Chairman of the Board of Directors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 and Chairman of the Audit Committee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17,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17, 2014</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17,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17,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17,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17, 2014</w:t>
      </w:r>
    </w:p>
    <w:p>
      <w:pPr>
        <w:sectPr>
          <w:pgSz w:w="11900" w:h="16838" w:orient="portrait"/>
          <w:cols w:equalWidth="0" w:num="3">
            <w:col w:w="3560" w:space="720"/>
            <w:col w:w="4820" w:space="720"/>
            <w:col w:w="1340"/>
          </w:cols>
          <w:pgMar w:left="240" w:top="272" w:right="49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DIVIDEND REINVESTMENT PLAN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171"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8"/>
          <w:szCs w:val="18"/>
          <w:color w:val="auto"/>
        </w:rPr>
        <w:t>Effective as of March [</w:t>
      </w:r>
      <w:r>
        <w:rPr>
          <w:sz w:val="20"/>
          <w:szCs w:val="20"/>
          <w:color w:val="auto"/>
        </w:rPr>
        <w:tab/>
      </w:r>
      <w:r>
        <w:rPr>
          <w:rFonts w:ascii="Times New Roman" w:cs="Times New Roman" w:eastAsia="Times New Roman" w:hAnsi="Times New Roman"/>
          <w:sz w:val="16"/>
          <w:szCs w:val="16"/>
          <w:color w:val="auto"/>
        </w:rPr>
        <w:t>], 2014</w:t>
      </w:r>
    </w:p>
    <w:p>
      <w:pPr>
        <w:spacing w:after="0" w:line="17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TPG Specialty Lending, Inc., a Delaware corporation (the “Company”), hereby adopts the following plan (the “Plan”) with respect to cash dividends or distributions declared by its Board of Directors (the “Board of Directors”) on shares of the Company’s common stock, par value $0.01 per share (the “Common Stock”).</w:t>
      </w:r>
    </w:p>
    <w:p>
      <w:pPr>
        <w:spacing w:after="0" w:line="132" w:lineRule="exact"/>
        <w:rPr>
          <w:sz w:val="20"/>
          <w:szCs w:val="20"/>
          <w:color w:val="auto"/>
        </w:rPr>
      </w:pPr>
    </w:p>
    <w:p>
      <w:pPr>
        <w:jc w:val="both"/>
        <w:ind w:right="20" w:firstLine="8"/>
        <w:spacing w:after="0" w:line="262" w:lineRule="auto"/>
        <w:tabs>
          <w:tab w:leader="none" w:pos="1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stockholder specifically elects to receive cash pursuant to paragraph 4 below, all cash dividends or distributions, net of any applicable withholding tax, hereafter declared by the Company’s Board of Directors shall be reinvested by the Company in Common Stock on behalf each stockholder, and no action shall be required on such stockholder’s part to receive such Common Stock.</w:t>
      </w:r>
    </w:p>
    <w:p>
      <w:pPr>
        <w:spacing w:after="0" w:line="132" w:lineRule="exact"/>
        <w:rPr>
          <w:rFonts w:ascii="Times New Roman" w:cs="Times New Roman" w:eastAsia="Times New Roman" w:hAnsi="Times New Roman"/>
          <w:sz w:val="18"/>
          <w:szCs w:val="18"/>
          <w:color w:val="auto"/>
        </w:rPr>
      </w:pPr>
    </w:p>
    <w:p>
      <w:pPr>
        <w:jc w:val="both"/>
        <w:ind w:right="580" w:firstLine="8"/>
        <w:spacing w:after="0" w:line="262" w:lineRule="auto"/>
        <w:tabs>
          <w:tab w:leader="none" w:pos="1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cash dividends or distributions shall be payable on such date or dates (each, a “Payment Date”) as may be fixed from time to time by the Board of Directors to stockholders of record at the close of business on the record date(s) established by the Board of Directors for the cash dividend or distribution involved.</w:t>
      </w:r>
    </w:p>
    <w:p>
      <w:pPr>
        <w:spacing w:after="0" w:line="132" w:lineRule="exact"/>
        <w:rPr>
          <w:rFonts w:ascii="Times New Roman" w:cs="Times New Roman" w:eastAsia="Times New Roman" w:hAnsi="Times New Roman"/>
          <w:sz w:val="18"/>
          <w:szCs w:val="18"/>
          <w:color w:val="auto"/>
        </w:rPr>
      </w:pPr>
    </w:p>
    <w:p>
      <w:pPr>
        <w:ind w:right="20" w:firstLine="8"/>
        <w:spacing w:after="0" w:line="253" w:lineRule="auto"/>
        <w:tabs>
          <w:tab w:leader="none" w:pos="1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cash dividend or distribution pursuant to this Plan, the Board of Directors reserves the right to either issue new shares of Common Stock or purchase shares of Common Stock in the open market for the accounts of Participants (as defined below) in connection with implementation of the Plan. The number of shares of Common Stock to be issued to a Participant is determined by dividing the total dollar amount of the cash dividend or distribution payable to a Participant by the market price per share of the Common Stock at the close of regular trading on the New York Stock Exchange on the Payment Date, or if no sale is reported for such day, the average of the reported bid and asked prices. However, if the market price per share on the Payment Date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exceeds the most recently computed net asset value per share). Shares purchased in open market transactions by the Plan Administrator will be allocated to a Participant based on the average purchase price, excluding any brokerage charges or other charges, of all shares of Common Stock purchased in the open market.</w:t>
      </w:r>
    </w:p>
    <w:p>
      <w:pPr>
        <w:spacing w:after="0" w:line="143" w:lineRule="exact"/>
        <w:rPr>
          <w:rFonts w:ascii="Times New Roman" w:cs="Times New Roman" w:eastAsia="Times New Roman" w:hAnsi="Times New Roman"/>
          <w:sz w:val="18"/>
          <w:szCs w:val="18"/>
          <w:color w:val="auto"/>
        </w:rPr>
      </w:pPr>
    </w:p>
    <w:p>
      <w:pPr>
        <w:ind w:right="40" w:firstLine="8"/>
        <w:spacing w:after="0" w:line="254" w:lineRule="auto"/>
        <w:tabs>
          <w:tab w:leader="none" w:pos="1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elect to receive any portion of its cash dividends or distributions in cash. To exercise this option, such stockholder shall notify State Street Bank and Trust Company (referred to as the “Plan Administrator”), in writing so that such notice is received by the Plan Administrator no later than 10 days prior to the record date fixed by the Board of Directors for the cash dividend or distribution associated with a particular Payment Date. Such election shall remain in effect until the stockholder shall notify the Plan Administrator in writing of such stockholder’s desire to change its election, which notice shall be delivered to the Plan Administrator no later than 10 days prior to the record date fixed by the Board of Directors for the first distribution for which such stockholder wishes its new election to take effect. All correspondence concerning the Plan should be directed to the Plan Administrator by mail at State Street Corporation, Transfer Agency – TPG Specialty Lending, Box 5493, Boston, Massachusetts 02206-5493.</w:t>
      </w:r>
    </w:p>
    <w:p>
      <w:pPr>
        <w:sectPr>
          <w:pgSz w:w="11900" w:h="16838" w:orient="portrait"/>
          <w:cols w:equalWidth="0" w:num="1">
            <w:col w:w="11420"/>
          </w:cols>
          <w:pgMar w:left="240" w:top="123" w:right="239" w:bottom="1440" w:gutter="0" w:footer="0" w:header="0"/>
        </w:sectPr>
      </w:pPr>
    </w:p>
    <w:bookmarkStart w:id="10" w:name="page11"/>
    <w:bookmarkEnd w:id="10"/>
    <w:p>
      <w:pPr>
        <w:ind w:left="-8" w:firstLine="8"/>
        <w:spacing w:after="0" w:line="256" w:lineRule="auto"/>
        <w:tabs>
          <w:tab w:leader="none" w:pos="1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Plan Administrator will set up an account for shares of Common Stock acquired pursuant to the Plan for each stockholder who has not so elected to receive a cash dividend or distribution in cash (each a “Participant”). The Plan Administrator may hold each Participant’s shares of Common Stock, together with the shares of other Participants, in non-certificated form in the Plan Administrator’s name or that of its nominee. The number of shares of Common Stock to be issued to a Participant pursuant to the Plan will be rounded down to the nearest whole share to avoid the issuance of fractional shares, with any fractional shares being paid in cash.</w:t>
      </w:r>
    </w:p>
    <w:p>
      <w:pPr>
        <w:spacing w:after="0" w:line="138" w:lineRule="exact"/>
        <w:rPr>
          <w:rFonts w:ascii="Times New Roman" w:cs="Times New Roman" w:eastAsia="Times New Roman" w:hAnsi="Times New Roman"/>
          <w:sz w:val="18"/>
          <w:szCs w:val="18"/>
          <w:color w:val="auto"/>
        </w:rPr>
      </w:pPr>
    </w:p>
    <w:p>
      <w:pPr>
        <w:ind w:left="-8" w:right="320" w:firstLine="8"/>
        <w:spacing w:after="0" w:line="275" w:lineRule="auto"/>
        <w:tabs>
          <w:tab w:leader="none" w:pos="1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will confirm to each Participant each issuance of shares of Common Stock made to such Participant pursuant to the Plan as soon as practicable following the date of such issuance.</w:t>
      </w:r>
    </w:p>
    <w:p>
      <w:pPr>
        <w:spacing w:after="0" w:line="119" w:lineRule="exact"/>
        <w:rPr>
          <w:rFonts w:ascii="Times New Roman" w:cs="Times New Roman" w:eastAsia="Times New Roman" w:hAnsi="Times New Roman"/>
          <w:sz w:val="18"/>
          <w:szCs w:val="18"/>
          <w:color w:val="auto"/>
        </w:rPr>
      </w:pPr>
    </w:p>
    <w:p>
      <w:pPr>
        <w:ind w:left="-8" w:right="20" w:firstLine="8"/>
        <w:spacing w:after="0" w:line="262" w:lineRule="auto"/>
        <w:tabs>
          <w:tab w:leader="none" w:pos="1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will forward to each Participant any Company-related proxy solicitation materials and each Company report or other communication to stockholders. Any shares held by a Participant under the Plan will be voted in accordance with the instructions set forth on proxies returned by the Participant to the Company.</w:t>
      </w:r>
    </w:p>
    <w:p>
      <w:pPr>
        <w:spacing w:after="0" w:line="132" w:lineRule="exact"/>
        <w:rPr>
          <w:rFonts w:ascii="Times New Roman" w:cs="Times New Roman" w:eastAsia="Times New Roman" w:hAnsi="Times New Roman"/>
          <w:sz w:val="18"/>
          <w:szCs w:val="18"/>
          <w:color w:val="auto"/>
        </w:rPr>
      </w:pPr>
    </w:p>
    <w:p>
      <w:pPr>
        <w:ind w:left="-8" w:right="20" w:firstLine="8"/>
        <w:spacing w:after="0" w:line="262" w:lineRule="auto"/>
        <w:tabs>
          <w:tab w:leader="none" w:pos="1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makes available to its stockholders rights to purchase additional shares or other securities, the shares of Common Stock held by the Plan Administrator for each Participant under the Plan will be added to any other shares held by the Participant in calculating the number of rights to be issued to the Participant.</w:t>
      </w:r>
    </w:p>
    <w:p>
      <w:pPr>
        <w:spacing w:after="0" w:line="132" w:lineRule="exact"/>
        <w:rPr>
          <w:rFonts w:ascii="Times New Roman" w:cs="Times New Roman" w:eastAsia="Times New Roman" w:hAnsi="Times New Roman"/>
          <w:sz w:val="18"/>
          <w:szCs w:val="18"/>
          <w:color w:val="auto"/>
        </w:rPr>
      </w:pPr>
    </w:p>
    <w:p>
      <w:pPr>
        <w:ind w:left="-8" w:right="80" w:firstLine="8"/>
        <w:spacing w:after="0" w:line="301" w:lineRule="auto"/>
        <w:tabs>
          <w:tab w:leader="none" w:pos="16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Administrator’s service fee, if any, and expenses for administering the Plan will be paid for by the Company. If a Participant elects by written notice to the Plan Administrator to have the Plan Administrator sell part or all of the shares of Common Stock held by the Plan Administrator in the Participant’s account and remint the proceeds to the Participant, whether upon termination of the Plan by the Company, termination by a Participant of its or his account under the Plan or otherwise, the Plan Administrator is authorized to deduct a $15.00 transaction fee plus brokerage commission from the proceeds.</w:t>
      </w:r>
    </w:p>
    <w:p>
      <w:pPr>
        <w:spacing w:after="0" w:line="103" w:lineRule="exact"/>
        <w:rPr>
          <w:rFonts w:ascii="Times New Roman" w:cs="Times New Roman" w:eastAsia="Times New Roman" w:hAnsi="Times New Roman"/>
          <w:sz w:val="16"/>
          <w:szCs w:val="16"/>
          <w:color w:val="auto"/>
        </w:rPr>
      </w:pPr>
    </w:p>
    <w:p>
      <w:pPr>
        <w:ind w:left="-8" w:right="40" w:firstLine="8"/>
        <w:spacing w:after="0" w:line="25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may terminate his or its account under the Plan by so notifying the Plan Administrator in writing. Such termination will be effective immediately if the Participant’s notice is received by the Plan Administrator not less than 10 days prior to any cash dividend or distribution record date; otherwise, such termination will be effective only with respect to any subsequent cash dividend or distribution. Upon any termination of the Plan by the Company in accordance with Section 11 or by a Participant of its or his account under the Plan, the Plan Administrator will cause shares of Common Stock held for the Participant under the Plan to be credited to the Participant in book-entry form with the Company’s transfer agent.</w:t>
      </w:r>
    </w:p>
    <w:p>
      <w:pPr>
        <w:spacing w:after="0" w:line="138" w:lineRule="exact"/>
        <w:rPr>
          <w:rFonts w:ascii="Times New Roman" w:cs="Times New Roman" w:eastAsia="Times New Roman" w:hAnsi="Times New Roman"/>
          <w:sz w:val="18"/>
          <w:szCs w:val="18"/>
          <w:color w:val="auto"/>
        </w:rPr>
      </w:pPr>
    </w:p>
    <w:p>
      <w:pPr>
        <w:ind w:left="-8" w:right="440" w:firstLine="8"/>
        <w:spacing w:after="0" w:line="275" w:lineRule="auto"/>
        <w:tabs>
          <w:tab w:leader="none" w:pos="2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may be terminated by the Company upon notice in writing mailed to each stockholder of record at least 30 days prior to any record date for the payment of any cash dividend or distribution by the Company.</w:t>
      </w:r>
    </w:p>
    <w:p>
      <w:pPr>
        <w:spacing w:after="0" w:line="119" w:lineRule="exact"/>
        <w:rPr>
          <w:rFonts w:ascii="Times New Roman" w:cs="Times New Roman" w:eastAsia="Times New Roman" w:hAnsi="Times New Roman"/>
          <w:sz w:val="18"/>
          <w:szCs w:val="18"/>
          <w:color w:val="auto"/>
        </w:rPr>
      </w:pPr>
    </w:p>
    <w:p>
      <w:pPr>
        <w:ind w:left="-8" w:right="100" w:firstLine="8"/>
        <w:spacing w:after="0" w:line="255"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terms and conditions may be amended or supplemented by the Company at any time but, except when necessary or appropriate to comply with applicable law or the rules or policies of the Securities and Exchange Commission or any other regulatory authority, only by mailing to each Participant appropriate written notice at least 30 days prior to the effective date thereof. The amendment or supplement shall be deemed to be accepted by each Participant unless, prior to the effective date thereof, the Plan Administrator receives written notice from the Participant of the termination of such Participant’s account under the Plan. Any such amendment or supplement may include an appointment by the Plan Administrator, in its place and stead, of a successor agent under the terms and conditions</w:t>
      </w:r>
    </w:p>
    <w:p>
      <w:pPr>
        <w:sectPr>
          <w:pgSz w:w="11900" w:h="16838" w:orient="portrait"/>
          <w:cols w:equalWidth="0" w:num="1">
            <w:col w:w="11412"/>
          </w:cols>
          <w:pgMar w:left="248" w:top="274" w:right="239" w:bottom="1440" w:gutter="0" w:footer="0" w:header="0"/>
        </w:sectPr>
      </w:pPr>
    </w:p>
    <w:bookmarkStart w:id="11" w:name="page12"/>
    <w:bookmarkEnd w:id="11"/>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agreed upon by the Company, with full power and authority to perform all or any of the acts to be performed by the Plan Administrator under these terms and conditions. Upon any such appointment of any agent for the purpose of receiving cash dividends or distributions, the Company will be authorized to pay to such successor agent, for each Participant’s account, all cash dividends or distributions payable on shares of the Common Stock of the Company held in the Participant’s name or under the Plan for retention or application by such successor agent as provided in these terms and conditions.</w:t>
      </w:r>
    </w:p>
    <w:p>
      <w:pPr>
        <w:spacing w:after="0" w:line="136" w:lineRule="exact"/>
        <w:rPr>
          <w:sz w:val="20"/>
          <w:szCs w:val="20"/>
          <w:color w:val="auto"/>
        </w:rPr>
      </w:pPr>
    </w:p>
    <w:p>
      <w:pPr>
        <w:ind w:right="180" w:firstLine="8"/>
        <w:spacing w:after="0" w:line="262" w:lineRule="auto"/>
        <w:tabs>
          <w:tab w:leader="none" w:pos="2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will at all times act in good faith and use its best efforts within reasonable limits to ensure its full and timely performance of all services to be performed by it under this Plan and to comply with applicable law, but assumes no responsibility and shall not be liable for loss or damage due to errors unless any such error is caused by the Plan Administrator’s negligence, bad faith or willful misconduct of that or its employees or agents.</w:t>
      </w:r>
    </w:p>
    <w:p>
      <w:pPr>
        <w:spacing w:after="0" w:line="132" w:lineRule="exact"/>
        <w:rPr>
          <w:rFonts w:ascii="Times New Roman" w:cs="Times New Roman" w:eastAsia="Times New Roman" w:hAnsi="Times New Roman"/>
          <w:sz w:val="18"/>
          <w:szCs w:val="18"/>
          <w:color w:val="auto"/>
        </w:rPr>
      </w:pPr>
    </w:p>
    <w:p>
      <w:pPr>
        <w:ind w:firstLine="8"/>
        <w:spacing w:after="0" w:line="275" w:lineRule="auto"/>
        <w:tabs>
          <w:tab w:leader="none" w:pos="2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terms and conditions shall be governed by the laws of the State of New York, without regard to the conflicts of law principles thereof, to the extent such principles would require or permit the application of the laws of another jurisdiction</w:t>
      </w:r>
    </w:p>
    <w:p>
      <w:pPr>
        <w:sectPr>
          <w:pgSz w:w="11900" w:h="16838" w:orient="portrait"/>
          <w:cols w:equalWidth="0" w:num="1">
            <w:col w:w="11400"/>
          </w:cols>
          <w:pgMar w:left="240" w:top="274" w:right="25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(h)</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25" w:lineRule="exact"/>
        <w:rPr>
          <w:sz w:val="20"/>
          <w:szCs w:val="20"/>
          <w:color w:val="auto"/>
        </w:rPr>
      </w:pPr>
    </w:p>
    <w:p>
      <w:pPr>
        <w:ind w:left="4800" w:right="4260" w:hanging="541"/>
        <w:spacing w:after="0" w:line="501" w:lineRule="auto"/>
        <w:tabs>
          <w:tab w:leader="none" w:pos="52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Common Stock Underwriting Agreement</w:t>
      </w:r>
    </w:p>
    <w:tbl>
      <w:tblPr>
        <w:tblLayout w:type="fixed"/>
        <w:tblInd w:w="10320" w:type="dxa"/>
        <w:tblCellMar>
          <w:top w:w="0" w:type="dxa"/>
          <w:left w:w="0" w:type="dxa"/>
          <w:bottom w:w="0" w:type="dxa"/>
          <w:right w:w="0" w:type="dxa"/>
        </w:tblCellMar>
      </w:tblPr>
      <w:tr>
        <w:trPr>
          <w:trHeight w:val="234"/>
        </w:trPr>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TPG Specialty Lending, Inc., a Delaware corporation (the “Company”), proposes to issue and sell to the several Underwriters listed in Schedule 1</w:t>
      </w:r>
    </w:p>
    <w:p>
      <w:pPr>
        <w:spacing w:after="0" w:line="2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hereto (the “Underwriters”), for whom you are acting as representatives (the “Representatives”), an aggregate of [ ] shares of common stock, par value $0.01 per share, of the Company (the “Underwritten Shares”) and, at the option of the Underwriters, up to an additional [ ] shares of common</w:t>
      </w:r>
    </w:p>
    <w:p>
      <w:pPr>
        <w:spacing w:after="0" w:line="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stock, par value $0.01 per share of the Company, solely to cover overallotments (the “Option Shares”). The Underwritten Shares and the Option Shares are herein</w:t>
      </w:r>
    </w:p>
    <w:p>
      <w:pPr>
        <w:sectPr>
          <w:pgSz w:w="11900" w:h="16838" w:orient="portrait"/>
          <w:cols w:equalWidth="0" w:num="1">
            <w:col w:w="11420"/>
          </w:cols>
          <w:pgMar w:left="240" w:top="117" w:right="239" w:bottom="1440" w:gutter="0" w:footer="0" w:header="0"/>
        </w:sectPr>
      </w:pPr>
    </w:p>
    <w:bookmarkStart w:id="13" w:name="page14"/>
    <w:bookmarkEnd w:id="13"/>
    <w:p>
      <w:pPr>
        <w:ind w:right="6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referred to as the “Shares.” The shares of common stock of the Company to be outstanding after giving effect to the sale of the Shares and the Private Placement Shares (as defined below) are referred to herein as the “Stock.”</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Underwriters concerning the purchase and sale of the Shares, as follows:</w:t>
      </w:r>
    </w:p>
    <w:p>
      <w:pPr>
        <w:spacing w:after="0" w:line="225" w:lineRule="exact"/>
        <w:rPr>
          <w:sz w:val="20"/>
          <w:szCs w:val="20"/>
          <w:color w:val="auto"/>
        </w:rPr>
      </w:pPr>
    </w:p>
    <w:p>
      <w:pPr>
        <w:ind w:firstLine="464"/>
        <w:spacing w:after="0" w:line="253"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N-2 (File No. 333-193986), including a prospectus, relating to the Shares. Such registration statement, as amended at the time it became effective, including the information, if any, deemed pursuant to Rule 430A under the Securities Act to be part of the registration statement at the time of its effectiveness (“Rule 430A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497 under the Securities Act and the prospectus included in the Registration Statement at the time of its effectiveness that omits Rule 430A Information, and the term “Prospectus” means the prospectus in the form first used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93"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of 1940 filed pursuant to Section 54(a) of the Investment Company Act (File No. 814-00854) (the “Notification of Election”) was filed under the Investment Company Act with the Commission on April 15, 2011.</w:t>
      </w:r>
    </w:p>
    <w:p>
      <w:pPr>
        <w:spacing w:after="0" w:line="184"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Company has entered into an Amended and Restated Investment Advisory and Management Agreement, dated as of December 13, 2011 (the “Investment Management Agreement”), with TSL Advisers, LLC, a Delaware limited liability company registered as an investment adviser (the “Adviser”) under the Investment Advisers Act of 1940, as amended, and the rules and regulations thereunder (the “Advisers Act”).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also entered into an Administration Agreement, dated as of March 15, 2011 (the “Administration Agreement”) with the Adviser.</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following information (collectively with the pricing information set forth on Annex B, the “Pricing Disclosure Package”): the Preliminary Prospectus dated [ ], 2014.</w:t>
      </w:r>
    </w:p>
    <w:p>
      <w:pPr>
        <w:spacing w:after="0" w:line="162" w:lineRule="exact"/>
        <w:rPr>
          <w:sz w:val="20"/>
          <w:szCs w:val="20"/>
          <w:color w:val="auto"/>
        </w:rPr>
      </w:pPr>
    </w:p>
    <w:p>
      <w:pPr>
        <w:ind w:left="460"/>
        <w:spacing w:after="0"/>
        <w:tabs>
          <w:tab w:leader="none" w:pos="2600" w:val="left"/>
          <w:tab w:leader="none" w:pos="5460" w:val="left"/>
        </w:tabs>
        <w:rPr>
          <w:sz w:val="20"/>
          <w:szCs w:val="20"/>
          <w:color w:val="auto"/>
        </w:rPr>
      </w:pPr>
      <w:r>
        <w:rPr>
          <w:rFonts w:ascii="Times New Roman" w:cs="Times New Roman" w:eastAsia="Times New Roman" w:hAnsi="Times New Roman"/>
          <w:sz w:val="18"/>
          <w:szCs w:val="18"/>
          <w:color w:val="auto"/>
        </w:rPr>
        <w:t>“Applicable Time” means [</w:t>
        <w:tab/>
        <w:t>] [A/P].M., New York City time, on [</w:t>
        <w:tab/>
        <w:t>], 2014.</w:t>
      </w:r>
    </w:p>
    <w:p>
      <w:pPr>
        <w:sectPr>
          <w:pgSz w:w="11900" w:h="16838" w:orient="portrait"/>
          <w:cols w:equalWidth="0" w:num="1">
            <w:col w:w="11420"/>
          </w:cols>
          <w:pgMar w:left="240" w:top="270" w:right="239" w:bottom="1440" w:gutter="0" w:footer="0" w:header="0"/>
        </w:sectPr>
      </w:pPr>
    </w:p>
    <w:bookmarkStart w:id="14" w:name="page15"/>
    <w:bookmarkEnd w:id="14"/>
    <w:p>
      <w:pPr>
        <w:ind w:left="640" w:hanging="17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of the Shares by the Underwriters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64"/>
        <w:spacing w:after="0" w:line="257" w:lineRule="auto"/>
        <w:tabs>
          <w:tab w:leader="none" w:pos="7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Underwritten Shares set forth opposite such Underwriter’s name in Schedule 1 hereto at a price per</w:t>
      </w:r>
    </w:p>
    <w:p>
      <w:pPr>
        <w:spacing w:after="0" w:line="2"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18"/>
          <w:szCs w:val="18"/>
          <w:color w:val="auto"/>
        </w:rPr>
        <w:t>share (the “Purchase Price”) of $[</w:t>
      </w:r>
      <w:r>
        <w:rPr>
          <w:sz w:val="20"/>
          <w:szCs w:val="20"/>
          <w:color w:val="auto"/>
        </w:rPr>
        <w:tab/>
      </w:r>
      <w:r>
        <w:rPr>
          <w:rFonts w:ascii="Times New Roman" w:cs="Times New Roman" w:eastAsia="Times New Roman" w:hAnsi="Times New Roman"/>
          <w:sz w:val="17"/>
          <w:szCs w:val="17"/>
          <w:color w:val="auto"/>
        </w:rPr>
        <w:t>].</w:t>
      </w:r>
    </w:p>
    <w:p>
      <w:pPr>
        <w:spacing w:after="0" w:line="207"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 Shares.</w:t>
      </w:r>
    </w:p>
    <w:p>
      <w:pPr>
        <w:spacing w:after="0" w:line="180"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11 hereof) bears to the aggregate number of Underwritten Shares being purchased from the Company by the several Underwriters, subject, however, to such adjustments to eliminate any fractional Shares as the Representatives in their sole discretion shall make.</w:t>
      </w:r>
    </w:p>
    <w:p>
      <w:pPr>
        <w:spacing w:after="0" w:line="18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or later than the tenth full business day (as hereinafter defined) after the date of such notice (unless such time and date are postponed in accordance with the provisions of Section 11 hereof). Any such notice shall be given at least three business days prior to the date and time of delivery specified therein.</w:t>
      </w:r>
    </w:p>
    <w:p>
      <w:pPr>
        <w:spacing w:after="0" w:line="188" w:lineRule="exact"/>
        <w:rPr>
          <w:sz w:val="20"/>
          <w:szCs w:val="20"/>
          <w:color w:val="auto"/>
        </w:rPr>
      </w:pPr>
    </w:p>
    <w:p>
      <w:pPr>
        <w:jc w:val="both"/>
        <w:ind w:right="80" w:firstLine="464"/>
        <w:spacing w:after="0" w:line="266" w:lineRule="auto"/>
        <w:tabs>
          <w:tab w:leader="none" w:pos="7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Underwriters intend to make a public offering of the Shares as soon after the effectiveness of this Agreement as in the judgment of the Representatives is advisable, and initially to offer the Shares on the terms set forth in the Prospectus. The Company acknowledges and agrees that the Underwriters may offer and sell Shares to or through any affiliate of an Underwriter.</w:t>
      </w:r>
    </w:p>
    <w:p>
      <w:pPr>
        <w:spacing w:after="0" w:line="176" w:lineRule="exact"/>
        <w:rPr>
          <w:rFonts w:ascii="Times New Roman" w:cs="Times New Roman" w:eastAsia="Times New Roman" w:hAnsi="Times New Roman"/>
          <w:sz w:val="18"/>
          <w:szCs w:val="18"/>
          <w:color w:val="auto"/>
        </w:rPr>
      </w:pPr>
    </w:p>
    <w:p>
      <w:pPr>
        <w:ind w:firstLine="464"/>
        <w:spacing w:after="0" w:line="255" w:lineRule="auto"/>
        <w:tabs>
          <w:tab w:leader="none" w:pos="7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Shares shall be made by wire transfer in immediately available funds to the account specified by the Company to the Representatives in the case of the Underwritten Shares, at the offices of Fried, Frank, Harris, Shriver &amp; Jacobson LLP, One New York Plaza, New York, NY 10004, at 10:00 A.M., New York City time, on [ ], 2014,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8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Payment for the Shares to be purchased on the Closing Date or the Additional Closing Date, as the case may be, shall be made against delivery to the Representatives for the respective accounts of the</w:t>
      </w:r>
    </w:p>
    <w:p>
      <w:pPr>
        <w:sectPr>
          <w:pgSz w:w="11900" w:h="16838" w:orient="portrait"/>
          <w:cols w:equalWidth="0" w:num="1">
            <w:col w:w="11400"/>
          </w:cols>
          <w:pgMar w:left="240" w:top="270" w:right="259" w:bottom="1440" w:gutter="0" w:footer="0" w:header="0"/>
        </w:sectPr>
      </w:pPr>
    </w:p>
    <w:bookmarkStart w:id="15" w:name="page16"/>
    <w:bookmarkEnd w:id="15"/>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several Underwriters of the Shares to be purchased on such date with any transfer taxes payable in connection with the sale of such Shares duly paid by the Company. Delivery of the Shares shall be made through the facilities of The Depository Trust Company (“DTC”) unless the Representatives shall otherwise instruct.</w:t>
      </w:r>
    </w:p>
    <w:p>
      <w:pPr>
        <w:spacing w:after="0" w:line="176" w:lineRule="exact"/>
        <w:rPr>
          <w:sz w:val="20"/>
          <w:szCs w:val="20"/>
          <w:color w:val="auto"/>
        </w:rPr>
      </w:pPr>
    </w:p>
    <w:p>
      <w:pPr>
        <w:ind w:right="60" w:firstLine="464"/>
        <w:spacing w:after="0" w:line="255" w:lineRule="auto"/>
        <w:tabs>
          <w:tab w:leader="none" w:pos="7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85" w:lineRule="exact"/>
        <w:rPr>
          <w:sz w:val="20"/>
          <w:szCs w:val="20"/>
          <w:color w:val="auto"/>
        </w:rPr>
      </w:pPr>
    </w:p>
    <w:p>
      <w:pPr>
        <w:ind w:left="640" w:hanging="17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Underwriter that:</w:t>
      </w:r>
    </w:p>
    <w:p>
      <w:pPr>
        <w:spacing w:after="0" w:line="115" w:lineRule="exact"/>
        <w:rPr>
          <w:rFonts w:ascii="Times New Roman" w:cs="Times New Roman" w:eastAsia="Times New Roman" w:hAnsi="Times New Roman"/>
          <w:sz w:val="18"/>
          <w:szCs w:val="18"/>
          <w:color w:val="auto"/>
        </w:rPr>
      </w:pPr>
    </w:p>
    <w:p>
      <w:pPr>
        <w:ind w:left="460" w:firstLine="443"/>
        <w:spacing w:after="0" w:line="255" w:lineRule="auto"/>
        <w:tabs>
          <w:tab w:leader="none" w:pos="114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Prospectus. </w:t>
      </w:r>
      <w:r>
        <w:rPr>
          <w:rFonts w:ascii="Times New Roman" w:cs="Times New Roman" w:eastAsia="Times New Roman" w:hAnsi="Times New Roman"/>
          <w:sz w:val="18"/>
          <w:szCs w:val="18"/>
          <w:color w:val="auto"/>
        </w:rPr>
        <w:t>No order preventing or suspending the use of any Preliminary Prospectus has been issued by the Commission,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8(b) hereof.</w:t>
      </w:r>
    </w:p>
    <w:p>
      <w:pPr>
        <w:spacing w:after="0" w:line="77" w:lineRule="exact"/>
        <w:rPr>
          <w:rFonts w:ascii="Times New Roman" w:cs="Times New Roman" w:eastAsia="Times New Roman" w:hAnsi="Times New Roman"/>
          <w:sz w:val="18"/>
          <w:szCs w:val="18"/>
          <w:color w:val="auto"/>
        </w:rPr>
      </w:pPr>
    </w:p>
    <w:p>
      <w:pPr>
        <w:ind w:left="460" w:firstLine="443"/>
        <w:spacing w:after="0" w:line="256" w:lineRule="auto"/>
        <w:tabs>
          <w:tab w:leader="none" w:pos="115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w:t>
      </w:r>
      <w:r>
        <w:rPr>
          <w:rFonts w:ascii="Times New Roman" w:cs="Times New Roman" w:eastAsia="Times New Roman" w:hAnsi="Times New Roman"/>
          <w:sz w:val="18"/>
          <w:szCs w:val="18"/>
          <w:color w:val="auto"/>
        </w:rPr>
        <w:t>. The Pricing Disclosure Package as of the Applicable Time did not, and the Pricing Disclosure Package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any amendment or supplement thereto)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8(b) hereof.</w:t>
      </w:r>
    </w:p>
    <w:p>
      <w:pPr>
        <w:spacing w:after="0" w:line="75" w:lineRule="exact"/>
        <w:rPr>
          <w:rFonts w:ascii="Times New Roman" w:cs="Times New Roman" w:eastAsia="Times New Roman" w:hAnsi="Times New Roman"/>
          <w:sz w:val="18"/>
          <w:szCs w:val="18"/>
          <w:color w:val="auto"/>
        </w:rPr>
      </w:pPr>
    </w:p>
    <w:p>
      <w:pPr>
        <w:ind w:left="460" w:right="100" w:firstLine="443"/>
        <w:spacing w:after="0" w:line="267" w:lineRule="auto"/>
        <w:tabs>
          <w:tab w:leader="none" w:pos="114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Emerging Growth Company</w:t>
      </w:r>
      <w:r>
        <w:rPr>
          <w:rFonts w:ascii="Times New Roman" w:cs="Times New Roman" w:eastAsia="Times New Roman" w:hAnsi="Times New Roman"/>
          <w:sz w:val="18"/>
          <w:szCs w:val="18"/>
          <w:color w:val="auto"/>
        </w:rPr>
        <w:t>. From the time of initial confidential submission of the Registration Statement to the Commission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hereof, the Company has been and is an “emerging growth company,” as defined in Section 2(a)(19) of the Securities Act (an “Emerging Growth Company”).</w:t>
      </w:r>
    </w:p>
    <w:p>
      <w:pPr>
        <w:sectPr>
          <w:pgSz w:w="11900" w:h="16838" w:orient="portrait"/>
          <w:cols w:equalWidth="0" w:num="1">
            <w:col w:w="11360"/>
          </w:cols>
          <w:pgMar w:left="240" w:top="270" w:right="299" w:bottom="1440" w:gutter="0" w:footer="0" w:header="0"/>
        </w:sectPr>
      </w:pPr>
    </w:p>
    <w:bookmarkStart w:id="16" w:name="page17"/>
    <w:bookmarkEnd w:id="16"/>
    <w:p>
      <w:pPr>
        <w:ind w:left="-443" w:right="80" w:firstLine="443"/>
        <w:spacing w:after="0" w:line="259" w:lineRule="auto"/>
        <w:tabs>
          <w:tab w:leader="none" w:pos="2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Testing-the-Waters Materials. </w:t>
      </w:r>
      <w:r>
        <w:rPr>
          <w:rFonts w:ascii="Times New Roman" w:cs="Times New Roman" w:eastAsia="Times New Roman" w:hAnsi="Times New Roman"/>
          <w:sz w:val="18"/>
          <w:szCs w:val="18"/>
          <w:color w:val="auto"/>
        </w:rPr>
        <w:t>The Company (i) has not alone engaged in any Testing-the-Waters Communications and (ii) has not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anyone to engage in Testing-the-Waters Communications. “Testing-the-Waters Communication” means any oral or written communication with potential investors undertaken in reliance on Section 5(d) of the Securities Act. The Company has not distributed or approved for distribution any Written Testing-the-Waters Communications. “Written Testing-the-Waters Communication” means any Testing-the-Waters Communication that is a written communication within the meaning of Rule 405 under the Securities Act.</w:t>
      </w:r>
    </w:p>
    <w:p>
      <w:pPr>
        <w:spacing w:after="0" w:line="71" w:lineRule="exact"/>
        <w:rPr>
          <w:rFonts w:ascii="Times New Roman" w:cs="Times New Roman" w:eastAsia="Times New Roman" w:hAnsi="Times New Roman"/>
          <w:sz w:val="18"/>
          <w:szCs w:val="18"/>
          <w:color w:val="auto"/>
        </w:rPr>
      </w:pPr>
    </w:p>
    <w:p>
      <w:pPr>
        <w:ind w:left="-443" w:firstLine="443"/>
        <w:spacing w:after="0" w:line="253" w:lineRule="auto"/>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Company is eligible to use Form N-2. The Registration Statement has been declared effective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Commission. No order suspending the effectiveness of the Registration Statement has been issued by the Commission, and, no proceeding for that purpose or pursuant to Section 8A of the Securities Act against the Company or related to the offering of the Shares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and the Investment Company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78" w:lineRule="exact"/>
        <w:rPr>
          <w:rFonts w:ascii="Times New Roman" w:cs="Times New Roman" w:eastAsia="Times New Roman" w:hAnsi="Times New Roman"/>
          <w:sz w:val="18"/>
          <w:szCs w:val="18"/>
          <w:color w:val="auto"/>
        </w:rPr>
      </w:pPr>
    </w:p>
    <w:p>
      <w:pPr>
        <w:ind w:left="-443" w:firstLine="443"/>
        <w:spacing w:after="0" w:line="254" w:lineRule="auto"/>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(including the related notes thereto) of the Company and its consolidated subsidiaries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81" w:lineRule="exact"/>
        <w:rPr>
          <w:rFonts w:ascii="Times New Roman" w:cs="Times New Roman" w:eastAsia="Times New Roman" w:hAnsi="Times New Roman"/>
          <w:sz w:val="18"/>
          <w:szCs w:val="18"/>
          <w:color w:val="auto"/>
        </w:rPr>
      </w:pPr>
    </w:p>
    <w:p>
      <w:pPr>
        <w:ind w:left="-443" w:right="220" w:firstLine="443"/>
        <w:spacing w:after="0" w:line="267" w:lineRule="auto"/>
        <w:tabs>
          <w:tab w:leader="none" w:pos="2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Placement Agreements. </w:t>
      </w:r>
      <w:r>
        <w:rPr>
          <w:rFonts w:ascii="Times New Roman" w:cs="Times New Roman" w:eastAsia="Times New Roman" w:hAnsi="Times New Roman"/>
          <w:sz w:val="18"/>
          <w:szCs w:val="18"/>
          <w:color w:val="auto"/>
        </w:rPr>
        <w:t>The private placement agreements (collectively, the “Private Placement Agreements”), entered into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hereof among the Company, certain of the Company’s existing investors, including the Adviser (collectively, the “Existing Investors”) and, solely for the purpose of Article IV of the Private Placement Agreements, the</w:t>
      </w:r>
    </w:p>
    <w:p>
      <w:pPr>
        <w:sectPr>
          <w:pgSz w:w="11900" w:h="16838" w:orient="portrait"/>
          <w:cols w:equalWidth="0" w:num="1">
            <w:col w:w="10497"/>
          </w:cols>
          <w:pgMar w:left="1143" w:top="268" w:right="259" w:bottom="1440" w:gutter="0" w:footer="0" w:header="0"/>
        </w:sectPr>
      </w:pPr>
    </w:p>
    <w:bookmarkStart w:id="17" w:name="page18"/>
    <w:bookmarkEnd w:id="17"/>
    <w:p>
      <w:pPr>
        <w:ind w:right="5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Adviser, relating to the sale of the Company’s shares of common stock (the “Private Placement Shares”) to its Existing Investors (the “Private Placement”) has been duly authorized by the Company, and when executed and delivered, will constitute a valid and binding agreement of the Company enforceable in accordance with its terms, except as enforceability may be limited by applicable bankruptcy, insolvency or similar laws affecting creditors’ rights generally or by equitable principles relating to enforceability.</w:t>
      </w:r>
    </w:p>
    <w:p>
      <w:pPr>
        <w:spacing w:after="0" w:line="70" w:lineRule="exact"/>
        <w:rPr>
          <w:sz w:val="20"/>
          <w:szCs w:val="20"/>
          <w:color w:val="auto"/>
        </w:rPr>
      </w:pPr>
    </w:p>
    <w:p>
      <w:pPr>
        <w:jc w:val="both"/>
        <w:ind w:right="20" w:firstLine="443"/>
        <w:spacing w:after="0" w:line="277" w:lineRule="auto"/>
        <w:tabs>
          <w:tab w:leader="none" w:pos="693"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Material Adverse Change. </w:t>
      </w:r>
      <w:r>
        <w:rPr>
          <w:rFonts w:ascii="Times New Roman" w:cs="Times New Roman" w:eastAsia="Times New Roman" w:hAnsi="Times New Roman"/>
          <w:sz w:val="17"/>
          <w:szCs w:val="17"/>
          <w:color w:val="auto"/>
        </w:rPr>
        <w:t>Except as disclosed in the Registration Statement, the Pricing Disclosure Package and the Prospectus, since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of the most recent financial statements of the Company included in the Registration Statement, the Pricing Disclosure Package and the Prospectus,</w:t>
      </w:r>
    </w:p>
    <w:p>
      <w:pPr>
        <w:spacing w:after="0" w:line="1" w:lineRule="exact"/>
        <w:rPr>
          <w:rFonts w:ascii="Times New Roman" w:cs="Times New Roman" w:eastAsia="Times New Roman" w:hAnsi="Times New Roman"/>
          <w:sz w:val="17"/>
          <w:szCs w:val="17"/>
          <w:color w:val="auto"/>
        </w:rPr>
      </w:pPr>
    </w:p>
    <w:p>
      <w:pPr>
        <w:ind w:right="20" w:firstLine="4"/>
        <w:spacing w:after="0" w:line="251" w:lineRule="auto"/>
        <w:tabs>
          <w:tab w:leader="none" w:pos="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83" w:lineRule="exact"/>
        <w:rPr>
          <w:rFonts w:ascii="Times New Roman" w:cs="Times New Roman" w:eastAsia="Times New Roman" w:hAnsi="Times New Roman"/>
          <w:sz w:val="18"/>
          <w:szCs w:val="18"/>
          <w:color w:val="auto"/>
        </w:rPr>
      </w:pPr>
    </w:p>
    <w:p>
      <w:pPr>
        <w:ind w:right="80" w:firstLine="443"/>
        <w:spacing w:after="0" w:line="254" w:lineRule="auto"/>
        <w:tabs>
          <w:tab w:leader="none" w:pos="65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Company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Investment Management Agreement and the Administration Agreement (a “Material Adverse Effect”). The subsidiaries listed in Schedule 2 to this Agreement are the only subsidiaries of the Company.</w:t>
      </w:r>
    </w:p>
    <w:p>
      <w:pPr>
        <w:spacing w:after="0" w:line="81" w:lineRule="exact"/>
        <w:rPr>
          <w:rFonts w:ascii="Times New Roman" w:cs="Times New Roman" w:eastAsia="Times New Roman" w:hAnsi="Times New Roman"/>
          <w:sz w:val="18"/>
          <w:szCs w:val="18"/>
          <w:color w:val="auto"/>
        </w:rPr>
      </w:pPr>
    </w:p>
    <w:p>
      <w:pPr>
        <w:ind w:firstLine="443"/>
        <w:spacing w:after="0" w:line="256" w:lineRule="auto"/>
        <w:tabs>
          <w:tab w:leader="none" w:pos="65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As of December 31, 2013, the Company had the authorized capitalization as set forth in the Registration Statement, the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the Prospectus in “Capitalization” under the heading “Actual,” would have had the pro forma capitalization as set forth in the Registration Statement, the Pricing Disclosure Package and the Prospectus in “Capitalization” under the heading “Pro Forma” after giving effect to certain transactions subsequent to December 31, 2013 as described therein and, after giving effect to the offering pursuant to this Agreement and the Private Placement and the use of proceeds thereof, would have had the authorized capitalization as set forth in column entitled “As Adjusted Pro Forma”; all the outstanding shares of capital stock of the Company have been duly authorized and validly issued and are fully paid and non-assessable and are not subject to any pre-emptive or similar rights; except as described in or expressly contemplated by the Pricing Disclosure</w:t>
      </w:r>
    </w:p>
    <w:p>
      <w:pPr>
        <w:sectPr>
          <w:pgSz w:w="11900" w:h="16838" w:orient="portrait"/>
          <w:cols w:equalWidth="0" w:num="1">
            <w:col w:w="10920"/>
          </w:cols>
          <w:pgMar w:left="700" w:top="270" w:right="279" w:bottom="1440" w:gutter="0" w:footer="0" w:header="0"/>
        </w:sectPr>
      </w:pPr>
    </w:p>
    <w:bookmarkStart w:id="18" w:name="page19"/>
    <w:bookmarkEnd w:id="1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76" w:lineRule="exact"/>
        <w:rPr>
          <w:sz w:val="20"/>
          <w:szCs w:val="20"/>
          <w:color w:val="auto"/>
        </w:rPr>
      </w:pPr>
    </w:p>
    <w:p>
      <w:pPr>
        <w:ind w:left="700" w:hanging="257"/>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Company has not granted, and has no policy or expectation of granting stock options.</w:t>
      </w:r>
    </w:p>
    <w:p>
      <w:pPr>
        <w:spacing w:after="0" w:line="117" w:lineRule="exact"/>
        <w:rPr>
          <w:rFonts w:ascii="Times New Roman" w:cs="Times New Roman" w:eastAsia="Times New Roman" w:hAnsi="Times New Roman"/>
          <w:sz w:val="18"/>
          <w:szCs w:val="18"/>
          <w:color w:val="auto"/>
        </w:rPr>
      </w:pPr>
    </w:p>
    <w:p>
      <w:pPr>
        <w:ind w:right="320" w:firstLine="443"/>
        <w:spacing w:after="0" w:line="259" w:lineRule="auto"/>
        <w:tabs>
          <w:tab w:leader="none" w:pos="6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corporate power and authority to execute and deliver this Agreement and at the applicable time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and each of the Investment Management Agreement and the Administration Agreement and the consummation by it of the transactions contemplated hereby and thereby has been duly and validly taken.</w:t>
      </w:r>
    </w:p>
    <w:p>
      <w:pPr>
        <w:spacing w:after="0" w:line="71" w:lineRule="exact"/>
        <w:rPr>
          <w:rFonts w:ascii="Times New Roman" w:cs="Times New Roman" w:eastAsia="Times New Roman" w:hAnsi="Times New Roman"/>
          <w:sz w:val="18"/>
          <w:szCs w:val="18"/>
          <w:color w:val="auto"/>
        </w:rPr>
      </w:pPr>
    </w:p>
    <w:p>
      <w:pPr>
        <w:ind w:left="740" w:hanging="297"/>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firstLine="443"/>
        <w:spacing w:after="0" w:line="261" w:lineRule="auto"/>
        <w:tabs>
          <w:tab w:leader="none" w:pos="69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Management Agreement and the Administration Agreement. </w:t>
      </w:r>
      <w:r>
        <w:rPr>
          <w:rFonts w:ascii="Times New Roman" w:cs="Times New Roman" w:eastAsia="Times New Roman" w:hAnsi="Times New Roman"/>
          <w:sz w:val="18"/>
          <w:szCs w:val="18"/>
          <w:color w:val="auto"/>
        </w:rPr>
        <w:t>The Investment Management Agreement and the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71" w:lineRule="exact"/>
        <w:rPr>
          <w:rFonts w:ascii="Times New Roman" w:cs="Times New Roman" w:eastAsia="Times New Roman" w:hAnsi="Times New Roman"/>
          <w:sz w:val="18"/>
          <w:szCs w:val="18"/>
          <w:color w:val="auto"/>
        </w:rPr>
      </w:pPr>
    </w:p>
    <w:p>
      <w:pPr>
        <w:ind w:right="80" w:firstLine="443"/>
        <w:spacing w:after="0" w:line="261" w:lineRule="auto"/>
        <w:tabs>
          <w:tab w:leader="none" w:pos="69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Shares. </w:t>
      </w:r>
      <w:r>
        <w:rPr>
          <w:rFonts w:ascii="Times New Roman" w:cs="Times New Roman" w:eastAsia="Times New Roman" w:hAnsi="Times New Roman"/>
          <w:sz w:val="18"/>
          <w:szCs w:val="18"/>
          <w:color w:val="auto"/>
        </w:rPr>
        <w:t>The Shares to be issued and sold by the Company hereunder and the Private Placement Shares have been duly authorized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issued and delivered and paid for as provided herein and by the Private Placement Agreements, respectively,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w:t>
      </w:r>
    </w:p>
    <w:p>
      <w:pPr>
        <w:spacing w:after="0" w:line="71" w:lineRule="exact"/>
        <w:rPr>
          <w:rFonts w:ascii="Times New Roman" w:cs="Times New Roman" w:eastAsia="Times New Roman" w:hAnsi="Times New Roman"/>
          <w:sz w:val="18"/>
          <w:szCs w:val="18"/>
          <w:color w:val="auto"/>
        </w:rPr>
      </w:pPr>
    </w:p>
    <w:p>
      <w:pPr>
        <w:ind w:right="180" w:firstLine="443"/>
        <w:spacing w:after="0" w:line="267" w:lineRule="auto"/>
        <w:tabs>
          <w:tab w:leader="none" w:pos="69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Descriptions of Investment Management Agreement and Administration Agreement</w:t>
      </w:r>
      <w:r>
        <w:rPr>
          <w:rFonts w:ascii="Times New Roman" w:cs="Times New Roman" w:eastAsia="Times New Roman" w:hAnsi="Times New Roman"/>
          <w:sz w:val="18"/>
          <w:szCs w:val="18"/>
          <w:color w:val="auto"/>
        </w:rPr>
        <w:t>. Both the Investment Management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Agreement conform in all material respects to the descriptions thereof contained in the Registration Statement, the Pricing Disclosure Package and the Prospectus.</w:t>
      </w:r>
    </w:p>
    <w:p>
      <w:pPr>
        <w:sectPr>
          <w:pgSz w:w="11900" w:h="16838" w:orient="portrait"/>
          <w:cols w:equalWidth="0" w:num="1">
            <w:col w:w="10940"/>
          </w:cols>
          <w:pgMar w:left="700" w:top="270" w:right="259" w:bottom="1440" w:gutter="0" w:footer="0" w:header="0"/>
        </w:sectPr>
      </w:pPr>
    </w:p>
    <w:bookmarkStart w:id="19" w:name="page20"/>
    <w:bookmarkEnd w:id="19"/>
    <w:p>
      <w:pPr>
        <w:ind w:left="-4" w:right="20" w:firstLine="443"/>
        <w:spacing w:after="0" w:line="255" w:lineRule="auto"/>
        <w:tabs>
          <w:tab w:leader="none" w:pos="68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77" w:lineRule="exact"/>
        <w:rPr>
          <w:rFonts w:ascii="Times New Roman" w:cs="Times New Roman" w:eastAsia="Times New Roman" w:hAnsi="Times New Roman"/>
          <w:sz w:val="18"/>
          <w:szCs w:val="18"/>
          <w:color w:val="auto"/>
        </w:rPr>
      </w:pPr>
    </w:p>
    <w:p>
      <w:pPr>
        <w:ind w:left="-4" w:firstLine="443"/>
        <w:spacing w:after="0" w:line="253" w:lineRule="auto"/>
        <w:tabs>
          <w:tab w:leader="none" w:pos="65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this Agreement, the issuance and sale of the Shares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of the transactions contemplated by this Agreement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84" w:lineRule="exact"/>
        <w:rPr>
          <w:rFonts w:ascii="Times New Roman" w:cs="Times New Roman" w:eastAsia="Times New Roman" w:hAnsi="Times New Roman"/>
          <w:sz w:val="18"/>
          <w:szCs w:val="18"/>
          <w:color w:val="auto"/>
        </w:rPr>
      </w:pPr>
    </w:p>
    <w:p>
      <w:pPr>
        <w:ind w:left="-4" w:right="40" w:firstLine="443"/>
        <w:spacing w:after="0" w:line="253" w:lineRule="auto"/>
        <w:tabs>
          <w:tab w:leader="none" w:pos="66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Company of this Agreement, the issuance and sale of the Shares and the consummation of the transactions contemplated by this Agreement or the performance by the Company of the Investment Management Agreement and the Administration Agreement, except for (i) the registration of the Shares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the New York Stock Exchange or under applicable state securities laws in connection with the purchase and distribution of the Shares by the Underwriters and</w:t>
      </w:r>
    </w:p>
    <w:p>
      <w:pPr>
        <w:spacing w:after="0" w:line="5" w:lineRule="exact"/>
        <w:rPr>
          <w:rFonts w:ascii="Times New Roman" w:cs="Times New Roman" w:eastAsia="Times New Roman" w:hAnsi="Times New Roman"/>
          <w:sz w:val="18"/>
          <w:szCs w:val="18"/>
          <w:color w:val="auto"/>
        </w:rPr>
      </w:pPr>
    </w:p>
    <w:p>
      <w:pPr>
        <w:ind w:left="-4" w:firstLine="4"/>
        <w:spacing w:after="0" w:line="261" w:lineRule="auto"/>
        <w:tabs>
          <w:tab w:leader="none" w:pos="30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failure to obtain any such consent, approval, authorization, order, license, registration or qualification would not reasonably be expected, individually or in the aggregate, to have a Material Adverse Effect.</w:t>
      </w:r>
    </w:p>
    <w:p>
      <w:pPr>
        <w:spacing w:after="0" w:line="69" w:lineRule="exact"/>
        <w:rPr>
          <w:rFonts w:ascii="Times New Roman" w:cs="Times New Roman" w:eastAsia="Times New Roman" w:hAnsi="Times New Roman"/>
          <w:sz w:val="18"/>
          <w:szCs w:val="18"/>
          <w:color w:val="auto"/>
        </w:rPr>
      </w:pPr>
    </w:p>
    <w:p>
      <w:pPr>
        <w:ind w:left="-4" w:right="120" w:firstLine="443"/>
        <w:spacing w:after="0" w:line="284" w:lineRule="auto"/>
        <w:tabs>
          <w:tab w:leader="none" w:pos="64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the Registration Statement, the Pricing Disclosure Package and the Prospectus, there are no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w:t>
      </w:r>
    </w:p>
    <w:p>
      <w:pPr>
        <w:sectPr>
          <w:pgSz w:w="11900" w:h="16838" w:orient="portrait"/>
          <w:cols w:equalWidth="0" w:num="1">
            <w:col w:w="10896"/>
          </w:cols>
          <w:pgMar w:left="704" w:top="268" w:right="299" w:bottom="1440" w:gutter="0" w:footer="0" w:header="0"/>
        </w:sectPr>
      </w:pPr>
    </w:p>
    <w:bookmarkStart w:id="20" w:name="page21"/>
    <w:bookmarkEnd w:id="20"/>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76" w:lineRule="exact"/>
        <w:rPr>
          <w:sz w:val="20"/>
          <w:szCs w:val="20"/>
          <w:color w:val="auto"/>
        </w:rPr>
      </w:pPr>
    </w:p>
    <w:p>
      <w:pPr>
        <w:ind w:right="40" w:firstLine="443"/>
        <w:spacing w:after="0" w:line="261" w:lineRule="auto"/>
        <w:tabs>
          <w:tab w:leader="none" w:pos="6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Notification of Election</w:t>
      </w:r>
      <w:r>
        <w:rPr>
          <w:rFonts w:ascii="Times New Roman" w:cs="Times New Roman" w:eastAsia="Times New Roman" w:hAnsi="Times New Roman"/>
          <w:sz w:val="18"/>
          <w:szCs w:val="18"/>
          <w:color w:val="auto"/>
        </w:rPr>
        <w:t>. When the Notification of Election was filed with the Commission, it (i) contained all statements required to be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right="80" w:firstLine="443"/>
        <w:spacing w:after="0" w:line="255" w:lineRule="auto"/>
        <w:tabs>
          <w:tab w:leader="none" w:pos="6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 to be Treated as a Business Development Company</w:t>
      </w:r>
      <w:r>
        <w:rPr>
          <w:rFonts w:ascii="Times New Roman" w:cs="Times New Roman" w:eastAsia="Times New Roman" w:hAnsi="Times New Roman"/>
          <w:sz w:val="18"/>
          <w:szCs w:val="18"/>
          <w:color w:val="auto"/>
        </w:rPr>
        <w:t>. (A) The Company has duly elected to be treated by the Commission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Company Act as a business development company, such election is effective and the Company has not withdrawn such election and, to the Company’s knowledge, the Commission has not ordered such election to be withdrawn nor, to our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each sale of Shares, as of the Closing Date and as of any Additional Closing Date, the operations of the Company are in compliance in all material respects with the provisions of the Investment Company Act applicable to business development companies.</w:t>
      </w:r>
    </w:p>
    <w:p>
      <w:pPr>
        <w:spacing w:after="0" w:line="77" w:lineRule="exact"/>
        <w:rPr>
          <w:rFonts w:ascii="Times New Roman" w:cs="Times New Roman" w:eastAsia="Times New Roman" w:hAnsi="Times New Roman"/>
          <w:sz w:val="18"/>
          <w:szCs w:val="18"/>
          <w:color w:val="auto"/>
        </w:rPr>
      </w:pPr>
    </w:p>
    <w:p>
      <w:pPr>
        <w:ind w:right="20" w:firstLine="443"/>
        <w:spacing w:after="0" w:line="267" w:lineRule="auto"/>
        <w:tabs>
          <w:tab w:leader="none" w:pos="73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KPMG LLP, who have certified certain financial statements of the Company and its subsidiaries, is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65" w:lineRule="exact"/>
        <w:rPr>
          <w:rFonts w:ascii="Times New Roman" w:cs="Times New Roman" w:eastAsia="Times New Roman" w:hAnsi="Times New Roman"/>
          <w:sz w:val="18"/>
          <w:szCs w:val="18"/>
          <w:color w:val="auto"/>
        </w:rPr>
      </w:pPr>
    </w:p>
    <w:p>
      <w:pPr>
        <w:ind w:firstLine="443"/>
        <w:spacing w:after="0" w:line="257" w:lineRule="auto"/>
        <w:tabs>
          <w:tab w:leader="none" w:pos="69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Real and Personal Property</w:t>
      </w:r>
      <w:r>
        <w:rPr>
          <w:rFonts w:ascii="Times New Roman" w:cs="Times New Roman" w:eastAsia="Times New Roman" w:hAnsi="Times New Roman"/>
          <w:sz w:val="18"/>
          <w:szCs w:val="18"/>
          <w:color w:val="auto"/>
        </w:rPr>
        <w:t>. Except as would not reasonably be expected, individually or in the aggregate, to have a Material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3(y))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ectPr>
          <w:pgSz w:w="11900" w:h="16838" w:orient="portrait"/>
          <w:cols w:equalWidth="0" w:num="1">
            <w:col w:w="10940"/>
          </w:cols>
          <w:pgMar w:left="700" w:top="270" w:right="259" w:bottom="1440" w:gutter="0" w:footer="0" w:header="0"/>
        </w:sectPr>
      </w:pPr>
    </w:p>
    <w:bookmarkStart w:id="21" w:name="page22"/>
    <w:bookmarkEnd w:id="21"/>
    <w:p>
      <w:pPr>
        <w:ind w:left="696" w:hanging="257"/>
        <w:spacing w:after="0"/>
        <w:tabs>
          <w:tab w:leader="none" w:pos="696"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Title to Intellectual Property</w:t>
      </w:r>
      <w:r>
        <w:rPr>
          <w:rFonts w:ascii="Times New Roman" w:cs="Times New Roman" w:eastAsia="Times New Roman" w:hAnsi="Times New Roman"/>
          <w:sz w:val="17"/>
          <w:szCs w:val="17"/>
          <w:color w:val="auto"/>
        </w:rPr>
        <w:t>. Except as would not reasonably be expected, individually or in the aggregate, to have a Material Adverse Effect,</w:t>
      </w:r>
    </w:p>
    <w:p>
      <w:pPr>
        <w:spacing w:after="0" w:line="40" w:lineRule="exact"/>
        <w:rPr>
          <w:rFonts w:ascii="Times New Roman" w:cs="Times New Roman" w:eastAsia="Times New Roman" w:hAnsi="Times New Roman"/>
          <w:sz w:val="17"/>
          <w:szCs w:val="17"/>
          <w:color w:val="auto"/>
        </w:rPr>
      </w:pPr>
    </w:p>
    <w:p>
      <w:pPr>
        <w:ind w:left="-4" w:right="20" w:firstLine="4"/>
        <w:spacing w:after="0" w:line="252" w:lineRule="auto"/>
        <w:tabs>
          <w:tab w:leader="none" w:pos="2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78" w:lineRule="exact"/>
        <w:rPr>
          <w:rFonts w:ascii="Times New Roman" w:cs="Times New Roman" w:eastAsia="Times New Roman" w:hAnsi="Times New Roman"/>
          <w:sz w:val="18"/>
          <w:szCs w:val="18"/>
          <w:color w:val="auto"/>
        </w:rPr>
      </w:pPr>
    </w:p>
    <w:p>
      <w:pPr>
        <w:ind w:left="-4" w:right="80" w:firstLine="443"/>
        <w:spacing w:after="0" w:line="261" w:lineRule="auto"/>
        <w:tabs>
          <w:tab w:leader="none" w:pos="67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72" w:lineRule="exact"/>
        <w:rPr>
          <w:sz w:val="20"/>
          <w:szCs w:val="20"/>
          <w:color w:val="auto"/>
        </w:rPr>
      </w:pPr>
    </w:p>
    <w:p>
      <w:pPr>
        <w:ind w:left="-4" w:right="60" w:firstLine="443"/>
        <w:spacing w:after="0" w:line="259" w:lineRule="auto"/>
        <w:tabs>
          <w:tab w:leader="none" w:pos="7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its subsidiaries are not, and, after giving effect to the offering and sale of the Shares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71" w:lineRule="exact"/>
        <w:rPr>
          <w:rFonts w:ascii="Times New Roman" w:cs="Times New Roman" w:eastAsia="Times New Roman" w:hAnsi="Times New Roman"/>
          <w:sz w:val="18"/>
          <w:szCs w:val="18"/>
          <w:color w:val="auto"/>
        </w:rPr>
      </w:pPr>
    </w:p>
    <w:p>
      <w:pPr>
        <w:ind w:left="-4" w:firstLine="443"/>
        <w:spacing w:after="0" w:line="257" w:lineRule="auto"/>
        <w:tabs>
          <w:tab w:leader="none" w:pos="7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The Company and its subsidiaries have paid (or caused to be paid) all federal, state, local and foreign taxes required by law to be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74" w:lineRule="exact"/>
        <w:rPr>
          <w:rFonts w:ascii="Times New Roman" w:cs="Times New Roman" w:eastAsia="Times New Roman" w:hAnsi="Times New Roman"/>
          <w:sz w:val="18"/>
          <w:szCs w:val="18"/>
          <w:color w:val="auto"/>
        </w:rPr>
      </w:pPr>
    </w:p>
    <w:p>
      <w:pPr>
        <w:ind w:left="-4" w:right="180" w:firstLine="443"/>
        <w:spacing w:after="0" w:line="257" w:lineRule="auto"/>
        <w:tabs>
          <w:tab w:leader="none" w:pos="7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Company and its subsidiaries possess all licenses, certificates, permits and other authorizations issued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w:t>
      </w:r>
    </w:p>
    <w:p>
      <w:pPr>
        <w:sectPr>
          <w:pgSz w:w="11900" w:h="16838" w:orient="portrait"/>
          <w:cols w:equalWidth="0" w:num="1">
            <w:col w:w="10956"/>
          </w:cols>
          <w:pgMar w:left="704" w:top="268" w:right="239" w:bottom="1440" w:gutter="0" w:footer="0" w:header="0"/>
        </w:sectPr>
      </w:pPr>
    </w:p>
    <w:bookmarkStart w:id="22" w:name="page23"/>
    <w:bookmarkEnd w:id="2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66" w:lineRule="exact"/>
        <w:rPr>
          <w:sz w:val="20"/>
          <w:szCs w:val="20"/>
          <w:color w:val="auto"/>
        </w:rPr>
      </w:pPr>
    </w:p>
    <w:p>
      <w:pPr>
        <w:ind w:right="100" w:firstLine="443"/>
        <w:spacing w:after="0" w:line="257" w:lineRule="auto"/>
        <w:tabs>
          <w:tab w:leader="none" w:pos="78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maintains an effective system of “disclosure controls and procedures” (as defined in Rule 13a-15(e)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74" w:lineRule="exact"/>
        <w:rPr>
          <w:rFonts w:ascii="Times New Roman" w:cs="Times New Roman" w:eastAsia="Times New Roman" w:hAnsi="Times New Roman"/>
          <w:sz w:val="18"/>
          <w:szCs w:val="18"/>
          <w:color w:val="auto"/>
        </w:rPr>
      </w:pPr>
    </w:p>
    <w:p>
      <w:pPr>
        <w:ind w:right="20" w:firstLine="443"/>
        <w:spacing w:after="0" w:line="253" w:lineRule="auto"/>
        <w:tabs>
          <w:tab w:leader="none" w:pos="76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maintains a system of “internal control over financial reporting” (as defined in Rule 13a-15(f)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w:t>
      </w:r>
    </w:p>
    <w:p>
      <w:pPr>
        <w:spacing w:after="0" w:line="5" w:lineRule="exact"/>
        <w:rPr>
          <w:rFonts w:ascii="Times New Roman" w:cs="Times New Roman" w:eastAsia="Times New Roman" w:hAnsi="Times New Roman"/>
          <w:sz w:val="18"/>
          <w:szCs w:val="18"/>
          <w:color w:val="auto"/>
        </w:rPr>
      </w:pPr>
    </w:p>
    <w:p>
      <w:pPr>
        <w:ind w:right="20" w:firstLine="4"/>
        <w:spacing w:after="0" w:line="251" w:lineRule="auto"/>
        <w:tabs>
          <w:tab w:leader="none" w:pos="3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(it being understood that the Company is not required as of the date hereof to comply with the auditor attestation requirements under Section 404 of the Sarbanes-Oxley Act (as defined below)).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3" w:lineRule="exact"/>
        <w:rPr>
          <w:rFonts w:ascii="Times New Roman" w:cs="Times New Roman" w:eastAsia="Times New Roman" w:hAnsi="Times New Roman"/>
          <w:sz w:val="18"/>
          <w:szCs w:val="18"/>
          <w:color w:val="auto"/>
        </w:rPr>
      </w:pPr>
    </w:p>
    <w:p>
      <w:pPr>
        <w:ind w:right="80" w:firstLine="443"/>
        <w:spacing w:after="0" w:line="258" w:lineRule="auto"/>
        <w:tabs>
          <w:tab w:leader="none" w:pos="7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The Company and its subsidiaries have insurance covering their respective properties, operations, personnel and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w:t>
      </w:r>
    </w:p>
    <w:p>
      <w:pPr>
        <w:spacing w:after="0" w:line="1" w:lineRule="exact"/>
        <w:rPr>
          <w:rFonts w:ascii="Times New Roman" w:cs="Times New Roman" w:eastAsia="Times New Roman" w:hAnsi="Times New Roman"/>
          <w:sz w:val="18"/>
          <w:szCs w:val="18"/>
          <w:color w:val="auto"/>
        </w:rPr>
      </w:pPr>
    </w:p>
    <w:p>
      <w:pPr>
        <w:ind w:left="220" w:hanging="216"/>
        <w:spacing w:after="0"/>
        <w:tabs>
          <w:tab w:leader="none" w:pos="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notice</w:t>
      </w:r>
    </w:p>
    <w:p>
      <w:pPr>
        <w:sectPr>
          <w:pgSz w:w="11900" w:h="16838" w:orient="portrait"/>
          <w:cols w:equalWidth="0" w:num="1">
            <w:col w:w="10940"/>
          </w:cols>
          <w:pgMar w:left="700" w:top="270" w:right="259" w:bottom="1440" w:gutter="0" w:footer="0" w:header="0"/>
        </w:sectPr>
      </w:pPr>
    </w:p>
    <w:bookmarkStart w:id="23" w:name="page24"/>
    <w:bookmarkEnd w:id="2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70" w:lineRule="exact"/>
        <w:rPr>
          <w:sz w:val="20"/>
          <w:szCs w:val="20"/>
          <w:color w:val="auto"/>
        </w:rPr>
      </w:pPr>
    </w:p>
    <w:p>
      <w:pPr>
        <w:ind w:right="20" w:firstLine="443"/>
        <w:spacing w:after="0" w:line="254" w:lineRule="auto"/>
        <w:tabs>
          <w:tab w:leader="none" w:pos="78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2" w:lineRule="exact"/>
        <w:rPr>
          <w:rFonts w:ascii="Times New Roman" w:cs="Times New Roman" w:eastAsia="Times New Roman" w:hAnsi="Times New Roman"/>
          <w:sz w:val="18"/>
          <w:szCs w:val="18"/>
          <w:color w:val="auto"/>
        </w:rPr>
      </w:pPr>
    </w:p>
    <w:p>
      <w:pPr>
        <w:ind w:right="220" w:firstLine="4"/>
        <w:spacing w:after="0" w:line="252" w:lineRule="auto"/>
        <w:tabs>
          <w:tab w:leader="none" w:pos="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78" w:lineRule="exact"/>
        <w:rPr>
          <w:rFonts w:ascii="Times New Roman" w:cs="Times New Roman" w:eastAsia="Times New Roman" w:hAnsi="Times New Roman"/>
          <w:sz w:val="18"/>
          <w:szCs w:val="18"/>
          <w:color w:val="auto"/>
        </w:rPr>
      </w:pPr>
    </w:p>
    <w:p>
      <w:pPr>
        <w:ind w:right="100" w:firstLine="443"/>
        <w:spacing w:after="0" w:line="256" w:lineRule="auto"/>
        <w:tabs>
          <w:tab w:leader="none" w:pos="78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75" w:lineRule="exact"/>
        <w:rPr>
          <w:rFonts w:ascii="Times New Roman" w:cs="Times New Roman" w:eastAsia="Times New Roman" w:hAnsi="Times New Roman"/>
          <w:sz w:val="18"/>
          <w:szCs w:val="18"/>
          <w:color w:val="auto"/>
        </w:rPr>
      </w:pPr>
    </w:p>
    <w:p>
      <w:pPr>
        <w:ind w:right="40" w:firstLine="443"/>
        <w:spacing w:after="0" w:line="256" w:lineRule="auto"/>
        <w:tabs>
          <w:tab w:leader="none" w:pos="70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directors, officers or employees, nor,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and each such subject or target, a “Sanctioned Person”), nor is the Company, any of its subsidiaries located, organized or resident</w:t>
      </w:r>
    </w:p>
    <w:p>
      <w:pPr>
        <w:sectPr>
          <w:pgSz w:w="11900" w:h="16838" w:orient="portrait"/>
          <w:cols w:equalWidth="0" w:num="1">
            <w:col w:w="10960"/>
          </w:cols>
          <w:pgMar w:left="700" w:top="270" w:right="239" w:bottom="1440" w:gutter="0" w:footer="0" w:header="0"/>
        </w:sectPr>
      </w:pPr>
    </w:p>
    <w:bookmarkStart w:id="24" w:name="page25"/>
    <w:bookmarkEnd w:id="2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 country or territory that is the subject or the target of Sanctions, including, without limitation, Cuba, Iran, North Korea, Sudan and Syria, that broadly prohibit dealings with that country or territory (each, a “Sanctioned Country”); and the Company will not directly or indirectly use the proceeds of the offering of the Shares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Country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Country.</w:t>
      </w:r>
    </w:p>
    <w:p>
      <w:pPr>
        <w:spacing w:after="0" w:line="75" w:lineRule="exact"/>
        <w:rPr>
          <w:sz w:val="20"/>
          <w:szCs w:val="20"/>
          <w:color w:val="auto"/>
        </w:rPr>
      </w:pPr>
    </w:p>
    <w:p>
      <w:pPr>
        <w:ind w:right="100" w:firstLine="443"/>
        <w:spacing w:after="0" w:line="259" w:lineRule="auto"/>
        <w:tabs>
          <w:tab w:leader="none" w:pos="7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71" w:lineRule="exact"/>
        <w:rPr>
          <w:rFonts w:ascii="Times New Roman" w:cs="Times New Roman" w:eastAsia="Times New Roman" w:hAnsi="Times New Roman"/>
          <w:sz w:val="18"/>
          <w:szCs w:val="18"/>
          <w:color w:val="auto"/>
        </w:rPr>
      </w:pPr>
    </w:p>
    <w:p>
      <w:pPr>
        <w:ind w:right="280" w:firstLine="443"/>
        <w:spacing w:after="0" w:line="267" w:lineRule="auto"/>
        <w:tabs>
          <w:tab w:leader="none" w:pos="78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this Agreement) that would give rise to a valid claim against the Company or any of its subsidiaries or any Underwriter for a brokerage commission, finder’s fee or like payment in connection with the offering and sale of the Shares.</w:t>
      </w:r>
    </w:p>
    <w:p>
      <w:pPr>
        <w:spacing w:after="0" w:line="65" w:lineRule="exact"/>
        <w:rPr>
          <w:rFonts w:ascii="Times New Roman" w:cs="Times New Roman" w:eastAsia="Times New Roman" w:hAnsi="Times New Roman"/>
          <w:sz w:val="18"/>
          <w:szCs w:val="18"/>
          <w:color w:val="auto"/>
        </w:rPr>
      </w:pPr>
    </w:p>
    <w:p>
      <w:pPr>
        <w:ind w:right="180" w:firstLine="443"/>
        <w:spacing w:after="0" w:line="284" w:lineRule="auto"/>
        <w:tabs>
          <w:tab w:leader="none" w:pos="7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No person has the right to require the Company or any of its subsidiaries to register any securities for sale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by reason of the filing of the Registration Statement with the Commission or the issuance and sale of the Shares.</w:t>
      </w:r>
    </w:p>
    <w:p>
      <w:pPr>
        <w:spacing w:after="0" w:line="50" w:lineRule="exact"/>
        <w:rPr>
          <w:rFonts w:ascii="Times New Roman" w:cs="Times New Roman" w:eastAsia="Times New Roman" w:hAnsi="Times New Roman"/>
          <w:sz w:val="18"/>
          <w:szCs w:val="18"/>
          <w:color w:val="auto"/>
        </w:rPr>
      </w:pPr>
    </w:p>
    <w:p>
      <w:pPr>
        <w:ind w:right="60" w:firstLine="443"/>
        <w:spacing w:after="0" w:line="267" w:lineRule="auto"/>
        <w:tabs>
          <w:tab w:leader="none" w:pos="88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Except as set forth in Section 4(q) with respect to the Adviser, the Company has not taken, directly or indirectly,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giving effect to any activities by the Underwriters, any action designed to or that would reasonably be expected to cause or result in any stabilization or manipulation of the price of the Shares.</w:t>
      </w:r>
    </w:p>
    <w:p>
      <w:pPr>
        <w:spacing w:after="0" w:line="65" w:lineRule="exact"/>
        <w:rPr>
          <w:rFonts w:ascii="Times New Roman" w:cs="Times New Roman" w:eastAsia="Times New Roman" w:hAnsi="Times New Roman"/>
          <w:sz w:val="18"/>
          <w:szCs w:val="18"/>
          <w:color w:val="auto"/>
        </w:rPr>
      </w:pPr>
    </w:p>
    <w:p>
      <w:pPr>
        <w:jc w:val="both"/>
        <w:ind w:right="240" w:firstLine="443"/>
        <w:spacing w:after="0" w:line="267" w:lineRule="auto"/>
        <w:tabs>
          <w:tab w:leader="none" w:pos="78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Exchange Act) contained in the Registration Statement, the Pricing Disclosure Package or the Prospectus has been made or reaffirmed without a reasonable basis or has been disclosed other than in good faith.</w:t>
      </w:r>
    </w:p>
    <w:p>
      <w:pPr>
        <w:spacing w:after="0" w:line="65" w:lineRule="exact"/>
        <w:rPr>
          <w:rFonts w:ascii="Times New Roman" w:cs="Times New Roman" w:eastAsia="Times New Roman" w:hAnsi="Times New Roman"/>
          <w:sz w:val="18"/>
          <w:szCs w:val="18"/>
          <w:color w:val="auto"/>
        </w:rPr>
      </w:pPr>
    </w:p>
    <w:p>
      <w:pPr>
        <w:ind w:right="240" w:firstLine="443"/>
        <w:spacing w:after="0" w:line="267" w:lineRule="auto"/>
        <w:tabs>
          <w:tab w:leader="none" w:pos="78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 statistical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market-related data included in the Registration Statement, the Pricing Disclosure Package and the Prospectus is not based on or derived from sources that are reasonably reliable and accurate in all material respects.</w:t>
      </w:r>
    </w:p>
    <w:p>
      <w:pPr>
        <w:spacing w:after="0" w:line="65" w:lineRule="exact"/>
        <w:rPr>
          <w:rFonts w:ascii="Times New Roman" w:cs="Times New Roman" w:eastAsia="Times New Roman" w:hAnsi="Times New Roman"/>
          <w:sz w:val="18"/>
          <w:szCs w:val="18"/>
          <w:color w:val="auto"/>
        </w:rPr>
      </w:pPr>
    </w:p>
    <w:p>
      <w:pPr>
        <w:jc w:val="both"/>
        <w:ind w:right="40" w:firstLine="443"/>
        <w:spacing w:after="0" w:line="261" w:lineRule="auto"/>
        <w:tabs>
          <w:tab w:leader="none" w:pos="78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To the extent applicable to the Company on the date hereof, there is and has been no failure on the part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ectPr>
          <w:pgSz w:w="11900" w:h="16838" w:orient="portrait"/>
          <w:cols w:equalWidth="0" w:num="1">
            <w:col w:w="10960"/>
          </w:cols>
          <w:pgMar w:left="700" w:top="270" w:right="239" w:bottom="1440" w:gutter="0" w:footer="0" w:header="0"/>
        </w:sectPr>
      </w:pPr>
    </w:p>
    <w:bookmarkStart w:id="25" w:name="page26"/>
    <w:bookmarkEnd w:id="25"/>
    <w:p>
      <w:pPr>
        <w:ind w:right="20" w:firstLine="443"/>
        <w:spacing w:after="0" w:line="267" w:lineRule="auto"/>
        <w:tabs>
          <w:tab w:leader="none" w:pos="78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 38a-1 Compliance</w:t>
      </w:r>
      <w:r>
        <w:rPr>
          <w:rFonts w:ascii="Times New Roman" w:cs="Times New Roman" w:eastAsia="Times New Roman" w:hAnsi="Times New Roman"/>
          <w:sz w:val="18"/>
          <w:szCs w:val="18"/>
          <w:color w:val="auto"/>
        </w:rPr>
        <w:t>. The Company has adopted and implemented written policies and procedures reasonably designed to prevent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violation 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65" w:lineRule="exact"/>
        <w:rPr>
          <w:rFonts w:ascii="Times New Roman" w:cs="Times New Roman" w:eastAsia="Times New Roman" w:hAnsi="Times New Roman"/>
          <w:sz w:val="18"/>
          <w:szCs w:val="18"/>
          <w:color w:val="auto"/>
        </w:rPr>
      </w:pPr>
    </w:p>
    <w:p>
      <w:pPr>
        <w:jc w:val="both"/>
        <w:ind w:right="60" w:firstLine="443"/>
        <w:spacing w:after="0" w:line="261" w:lineRule="auto"/>
        <w:tabs>
          <w:tab w:leader="none" w:pos="72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 manner so as to enable the Company to continue to qualify as a regulated investment company under Subchapter M of the Code. The Company intends to direct the investment of the proceeds of the offering of the Shares in such a manner as to comply with the requirements of Subchapter M of the Code.</w:t>
      </w:r>
    </w:p>
    <w:p>
      <w:pPr>
        <w:spacing w:after="0" w:line="182"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Adviser</w:t>
      </w:r>
      <w:r>
        <w:rPr>
          <w:rFonts w:ascii="Times New Roman" w:cs="Times New Roman" w:eastAsia="Times New Roman" w:hAnsi="Times New Roman"/>
          <w:sz w:val="18"/>
          <w:szCs w:val="18"/>
          <w:color w:val="auto"/>
        </w:rPr>
        <w:t>. The Adviser represents and warrants to, and agrees with, each Underwriter that:</w:t>
      </w:r>
    </w:p>
    <w:p>
      <w:pPr>
        <w:spacing w:after="0" w:line="115" w:lineRule="exact"/>
        <w:rPr>
          <w:rFonts w:ascii="Times New Roman" w:cs="Times New Roman" w:eastAsia="Times New Roman" w:hAnsi="Times New Roman"/>
          <w:sz w:val="18"/>
          <w:szCs w:val="18"/>
          <w:color w:val="auto"/>
        </w:rPr>
      </w:pPr>
    </w:p>
    <w:p>
      <w:pPr>
        <w:jc w:val="both"/>
        <w:ind w:firstLine="443"/>
        <w:spacing w:after="0" w:line="277" w:lineRule="auto"/>
        <w:tabs>
          <w:tab w:leader="none" w:pos="683"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Material Adverse Change. </w:t>
      </w:r>
      <w:r>
        <w:rPr>
          <w:rFonts w:ascii="Times New Roman" w:cs="Times New Roman" w:eastAsia="Times New Roman" w:hAnsi="Times New Roman"/>
          <w:sz w:val="17"/>
          <w:szCs w:val="17"/>
          <w:color w:val="auto"/>
        </w:rPr>
        <w:t>Except as disclosed in the Registration Statement, the Pricing Disclosure Package and the Prospectus, since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of the most recent financial statements of the Company included in the Registration Statement, the Pricing Disclosure Package and the Prospectus,</w:t>
      </w:r>
    </w:p>
    <w:p>
      <w:pPr>
        <w:spacing w:after="0" w:line="1" w:lineRule="exact"/>
        <w:rPr>
          <w:rFonts w:ascii="Times New Roman" w:cs="Times New Roman" w:eastAsia="Times New Roman" w:hAnsi="Times New Roman"/>
          <w:sz w:val="17"/>
          <w:szCs w:val="17"/>
          <w:color w:val="auto"/>
        </w:rPr>
      </w:pPr>
    </w:p>
    <w:p>
      <w:pPr>
        <w:ind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77" w:lineRule="exact"/>
        <w:rPr>
          <w:rFonts w:ascii="Times New Roman" w:cs="Times New Roman" w:eastAsia="Times New Roman" w:hAnsi="Times New Roman"/>
          <w:sz w:val="17"/>
          <w:szCs w:val="17"/>
          <w:color w:val="auto"/>
        </w:rPr>
      </w:pPr>
    </w:p>
    <w:p>
      <w:pPr>
        <w:ind w:right="60" w:firstLine="443"/>
        <w:spacing w:after="0" w:line="255" w:lineRule="auto"/>
        <w:tabs>
          <w:tab w:leader="none" w:pos="69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Adviser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77" w:lineRule="exact"/>
        <w:rPr>
          <w:rFonts w:ascii="Times New Roman" w:cs="Times New Roman" w:eastAsia="Times New Roman" w:hAnsi="Times New Roman"/>
          <w:sz w:val="18"/>
          <w:szCs w:val="18"/>
          <w:color w:val="auto"/>
        </w:rPr>
      </w:pPr>
    </w:p>
    <w:p>
      <w:pPr>
        <w:ind w:right="20" w:firstLine="443"/>
        <w:spacing w:after="0" w:line="259" w:lineRule="auto"/>
        <w:tabs>
          <w:tab w:leader="none" w:pos="68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as an Investment Adviser</w:t>
      </w:r>
      <w:r>
        <w:rPr>
          <w:rFonts w:ascii="Times New Roman" w:cs="Times New Roman" w:eastAsia="Times New Roman" w:hAnsi="Times New Roman"/>
          <w:sz w:val="18"/>
          <w:szCs w:val="18"/>
          <w:color w:val="auto"/>
        </w:rPr>
        <w:t>. The Adviser is duly registered with the Commission as an investment adviser under the Advisers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ectPr>
          <w:pgSz w:w="11900" w:h="16838" w:orient="portrait"/>
          <w:cols w:equalWidth="0" w:num="1">
            <w:col w:w="10900"/>
          </w:cols>
          <w:pgMar w:left="700" w:top="268" w:right="299" w:bottom="1440" w:gutter="0" w:footer="0" w:header="0"/>
        </w:sectPr>
      </w:pPr>
    </w:p>
    <w:bookmarkStart w:id="26" w:name="page27"/>
    <w:bookmarkEnd w:id="26"/>
    <w:p>
      <w:pPr>
        <w:ind w:left="700" w:hanging="257"/>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Underwriting Agreement. </w:t>
      </w:r>
      <w:r>
        <w:rPr>
          <w:rFonts w:ascii="Times New Roman" w:cs="Times New Roman" w:eastAsia="Times New Roman" w:hAnsi="Times New Roman"/>
          <w:sz w:val="18"/>
          <w:szCs w:val="18"/>
          <w:color w:val="auto"/>
        </w:rPr>
        <w:t>This Agreement has been duly authorized, executed and delivered by the Adviser.</w:t>
      </w:r>
    </w:p>
    <w:p>
      <w:pPr>
        <w:spacing w:after="0" w:line="117" w:lineRule="exact"/>
        <w:rPr>
          <w:rFonts w:ascii="Times New Roman" w:cs="Times New Roman" w:eastAsia="Times New Roman" w:hAnsi="Times New Roman"/>
          <w:sz w:val="18"/>
          <w:szCs w:val="18"/>
          <w:color w:val="auto"/>
        </w:rPr>
      </w:pPr>
    </w:p>
    <w:p>
      <w:pPr>
        <w:ind w:right="240" w:firstLine="443"/>
        <w:spacing w:after="0" w:line="261" w:lineRule="auto"/>
        <w:tabs>
          <w:tab w:leader="none" w:pos="6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Management Agreement and the Administration Agreement. </w:t>
      </w:r>
      <w:r>
        <w:rPr>
          <w:rFonts w:ascii="Times New Roman" w:cs="Times New Roman" w:eastAsia="Times New Roman" w:hAnsi="Times New Roman"/>
          <w:sz w:val="18"/>
          <w:szCs w:val="18"/>
          <w:color w:val="auto"/>
        </w:rPr>
        <w:t>The Investment Management Agreement and the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71" w:lineRule="exact"/>
        <w:rPr>
          <w:rFonts w:ascii="Times New Roman" w:cs="Times New Roman" w:eastAsia="Times New Roman" w:hAnsi="Times New Roman"/>
          <w:sz w:val="18"/>
          <w:szCs w:val="18"/>
          <w:color w:val="auto"/>
        </w:rPr>
      </w:pPr>
    </w:p>
    <w:p>
      <w:pPr>
        <w:ind w:right="40" w:firstLine="443"/>
        <w:spacing w:after="0" w:line="255" w:lineRule="auto"/>
        <w:tabs>
          <w:tab w:leader="none" w:pos="6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Adviser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77"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Adviser of this Agreement and the performance by the Adviser of the</w:t>
      </w:r>
    </w:p>
    <w:p>
      <w:pPr>
        <w:spacing w:after="0" w:line="29"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84" w:lineRule="exact"/>
        <w:rPr>
          <w:rFonts w:ascii="Times New Roman" w:cs="Times New Roman" w:eastAsia="Times New Roman" w:hAnsi="Times New Roman"/>
          <w:sz w:val="18"/>
          <w:szCs w:val="18"/>
          <w:color w:val="auto"/>
        </w:rPr>
      </w:pPr>
    </w:p>
    <w:p>
      <w:pPr>
        <w:ind w:right="140" w:firstLine="443"/>
        <w:spacing w:after="0" w:line="257" w:lineRule="auto"/>
        <w:tabs>
          <w:tab w:leader="none" w:pos="6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ectPr>
          <w:pgSz w:w="11900" w:h="16838" w:orient="portrait"/>
          <w:cols w:equalWidth="0" w:num="1">
            <w:col w:w="10920"/>
          </w:cols>
          <w:pgMar w:left="700" w:top="268" w:right="279" w:bottom="1440" w:gutter="0" w:footer="0" w:header="0"/>
        </w:sectPr>
      </w:pPr>
    </w:p>
    <w:bookmarkStart w:id="27" w:name="page28"/>
    <w:bookmarkEnd w:id="27"/>
    <w:p>
      <w:pPr>
        <w:ind w:left="-4" w:right="80" w:firstLine="443"/>
        <w:spacing w:after="0" w:line="254" w:lineRule="auto"/>
        <w:tabs>
          <w:tab w:leader="none" w:pos="64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Legal Proceedings. </w:t>
      </w:r>
      <w:r>
        <w:rPr>
          <w:rFonts w:ascii="Times New Roman" w:cs="Times New Roman" w:eastAsia="Times New Roman" w:hAnsi="Times New Roman"/>
          <w:sz w:val="18"/>
          <w:szCs w:val="18"/>
          <w:color w:val="auto"/>
        </w:rPr>
        <w:t>Except as described in the Registration Statement, the Pricing Disclosure Package and the Prospectus, there are no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78" w:lineRule="exact"/>
        <w:rPr>
          <w:rFonts w:ascii="Times New Roman" w:cs="Times New Roman" w:eastAsia="Times New Roman" w:hAnsi="Times New Roman"/>
          <w:sz w:val="18"/>
          <w:szCs w:val="18"/>
          <w:color w:val="auto"/>
        </w:rPr>
      </w:pPr>
    </w:p>
    <w:p>
      <w:pPr>
        <w:ind w:left="-4" w:firstLine="443"/>
        <w:spacing w:after="0" w:line="254" w:lineRule="auto"/>
        <w:tabs>
          <w:tab w:leader="none" w:pos="64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Adviser and its subsidiaries possess all licenses, certificates, permits and other authorizations issued by,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81" w:lineRule="exact"/>
        <w:rPr>
          <w:rFonts w:ascii="Times New Roman" w:cs="Times New Roman" w:eastAsia="Times New Roman" w:hAnsi="Times New Roman"/>
          <w:sz w:val="18"/>
          <w:szCs w:val="18"/>
          <w:color w:val="auto"/>
        </w:rPr>
      </w:pPr>
    </w:p>
    <w:p>
      <w:pPr>
        <w:ind w:left="-4" w:right="180" w:firstLine="443"/>
        <w:spacing w:after="0" w:line="267" w:lineRule="auto"/>
        <w:tabs>
          <w:tab w:leader="none" w:pos="6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 of the Adviser</w:t>
      </w:r>
      <w:r>
        <w:rPr>
          <w:rFonts w:ascii="Times New Roman" w:cs="Times New Roman" w:eastAsia="Times New Roman" w:hAnsi="Times New Roman"/>
          <w:sz w:val="18"/>
          <w:szCs w:val="18"/>
          <w:color w:val="auto"/>
        </w:rPr>
        <w:t>. The description of the Adviser and its respective principals and business in the Registration Statement,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65" w:lineRule="exact"/>
        <w:rPr>
          <w:rFonts w:ascii="Times New Roman" w:cs="Times New Roman" w:eastAsia="Times New Roman" w:hAnsi="Times New Roman"/>
          <w:sz w:val="18"/>
          <w:szCs w:val="18"/>
          <w:color w:val="auto"/>
        </w:rPr>
      </w:pPr>
    </w:p>
    <w:p>
      <w:pPr>
        <w:ind w:left="-4" w:right="440" w:firstLine="443"/>
        <w:spacing w:after="0" w:line="267" w:lineRule="auto"/>
        <w:tabs>
          <w:tab w:leader="none" w:pos="64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Resources</w:t>
      </w:r>
      <w:r>
        <w:rPr>
          <w:rFonts w:ascii="Times New Roman" w:cs="Times New Roman" w:eastAsia="Times New Roman" w:hAnsi="Times New Roman"/>
          <w:sz w:val="18"/>
          <w:szCs w:val="18"/>
          <w:color w:val="auto"/>
        </w:rPr>
        <w:t>. The Adviser has the financial resources available to it necessary for the performance of its services and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in the Pricing Disclosure Package, the Prospectus, and under this Agreement, the Investment Management Agreement and the Administration Agreement.</w:t>
      </w:r>
    </w:p>
    <w:p>
      <w:pPr>
        <w:spacing w:after="0" w:line="65" w:lineRule="exact"/>
        <w:rPr>
          <w:rFonts w:ascii="Times New Roman" w:cs="Times New Roman" w:eastAsia="Times New Roman" w:hAnsi="Times New Roman"/>
          <w:sz w:val="18"/>
          <w:szCs w:val="18"/>
          <w:color w:val="auto"/>
        </w:rPr>
      </w:pPr>
    </w:p>
    <w:p>
      <w:pPr>
        <w:ind w:left="736" w:hanging="297"/>
        <w:spacing w:after="0"/>
        <w:tabs>
          <w:tab w:leader="none" w:pos="73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Controls</w:t>
      </w:r>
      <w:r>
        <w:rPr>
          <w:rFonts w:ascii="Times New Roman" w:cs="Times New Roman" w:eastAsia="Times New Roman" w:hAnsi="Times New Roman"/>
          <w:sz w:val="18"/>
          <w:szCs w:val="18"/>
          <w:color w:val="auto"/>
        </w:rPr>
        <w:t>. The Adviser maintains a system of internal accounting controls sufficient to provide reasonable assurance that</w:t>
      </w:r>
    </w:p>
    <w:p>
      <w:pPr>
        <w:spacing w:after="0" w:line="29" w:lineRule="exact"/>
        <w:rPr>
          <w:rFonts w:ascii="Times New Roman" w:cs="Times New Roman" w:eastAsia="Times New Roman" w:hAnsi="Times New Roman"/>
          <w:sz w:val="18"/>
          <w:szCs w:val="18"/>
          <w:color w:val="auto"/>
        </w:rPr>
      </w:pPr>
    </w:p>
    <w:p>
      <w:pPr>
        <w:ind w:left="-4" w:right="140" w:firstLine="4"/>
        <w:spacing w:after="0" w:line="255" w:lineRule="auto"/>
        <w:tabs>
          <w:tab w:leader="none" w:pos="2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w:t>
      </w:r>
    </w:p>
    <w:p>
      <w:pPr>
        <w:sectPr>
          <w:pgSz w:w="11900" w:h="16838" w:orient="portrait"/>
          <w:cols w:equalWidth="0" w:num="1">
            <w:col w:w="10936"/>
          </w:cols>
          <w:pgMar w:left="704" w:top="268" w:right="259" w:bottom="1440" w:gutter="0" w:footer="0" w:header="0"/>
        </w:sectPr>
      </w:pPr>
    </w:p>
    <w:bookmarkStart w:id="28" w:name="page29"/>
    <w:bookmarkEnd w:id="28"/>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calculate net asset value, and to maintain asset accountability, and to maintain material compliance with the books and records requirements under the Investment Company Act; (iii) access to assets of the Company and its subsidiaries is permitted only in accordance with its management’s general or specific authorization; and (iv) the recorded accountability for assets is compared with existing assets at reasonable intervals and appropriate action is taken with respect to any differences.</w:t>
      </w:r>
    </w:p>
    <w:p>
      <w:pPr>
        <w:spacing w:after="0" w:line="70" w:lineRule="exact"/>
        <w:rPr>
          <w:sz w:val="20"/>
          <w:szCs w:val="20"/>
          <w:color w:val="auto"/>
        </w:rPr>
      </w:pPr>
    </w:p>
    <w:p>
      <w:pPr>
        <w:ind w:firstLine="443"/>
        <w:spacing w:after="0" w:line="254" w:lineRule="auto"/>
        <w:tabs>
          <w:tab w:leader="none" w:pos="69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Adviser nor any of its subsidiaries nor any director, officer, or employee of the Adviser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2" w:lineRule="exact"/>
        <w:rPr>
          <w:rFonts w:ascii="Times New Roman" w:cs="Times New Roman" w:eastAsia="Times New Roman" w:hAnsi="Times New Roman"/>
          <w:sz w:val="18"/>
          <w:szCs w:val="18"/>
          <w:color w:val="auto"/>
        </w:rPr>
      </w:pPr>
    </w:p>
    <w:p>
      <w:pPr>
        <w:ind w:right="60" w:firstLine="4"/>
        <w:spacing w:after="0" w:line="254" w:lineRule="auto"/>
        <w:tabs>
          <w:tab w:leader="none" w:pos="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75" w:lineRule="exact"/>
        <w:rPr>
          <w:rFonts w:ascii="Times New Roman" w:cs="Times New Roman" w:eastAsia="Times New Roman" w:hAnsi="Times New Roman"/>
          <w:sz w:val="18"/>
          <w:szCs w:val="18"/>
          <w:color w:val="auto"/>
        </w:rPr>
      </w:pPr>
    </w:p>
    <w:p>
      <w:pPr>
        <w:ind w:right="60" w:firstLine="443"/>
        <w:spacing w:after="0" w:line="259" w:lineRule="auto"/>
        <w:tabs>
          <w:tab w:leader="none" w:pos="69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Adviser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71" w:lineRule="exact"/>
        <w:rPr>
          <w:rFonts w:ascii="Times New Roman" w:cs="Times New Roman" w:eastAsia="Times New Roman" w:hAnsi="Times New Roman"/>
          <w:sz w:val="18"/>
          <w:szCs w:val="18"/>
          <w:color w:val="auto"/>
        </w:rPr>
      </w:pPr>
    </w:p>
    <w:p>
      <w:pPr>
        <w:ind w:right="40" w:firstLine="443"/>
        <w:spacing w:after="0" w:line="259" w:lineRule="auto"/>
        <w:tabs>
          <w:tab w:leader="none" w:pos="69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Adviser nor any of its subsidiaries, directors, officers or employees, nor,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Adviser, any agent, or affiliate or other person associated with or acting on behalf of the Adviser or any of its subsidiaries is currently the subject or the target of any Sanctions, nor is the Adviser, any of its subsidiaries located, organized or resident in a Sanctioned Country.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Country.</w:t>
      </w:r>
    </w:p>
    <w:p>
      <w:pPr>
        <w:spacing w:after="0" w:line="71" w:lineRule="exact"/>
        <w:rPr>
          <w:rFonts w:ascii="Times New Roman" w:cs="Times New Roman" w:eastAsia="Times New Roman" w:hAnsi="Times New Roman"/>
          <w:sz w:val="18"/>
          <w:szCs w:val="18"/>
          <w:color w:val="auto"/>
        </w:rPr>
      </w:pPr>
    </w:p>
    <w:p>
      <w:pPr>
        <w:ind w:right="100" w:firstLine="443"/>
        <w:spacing w:after="0" w:line="267" w:lineRule="auto"/>
        <w:tabs>
          <w:tab w:leader="none" w:pos="69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Adviser has not taken, directly or indirectly, without giving effect to any activities by the Underwriters,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or that would reasonably be expected to cause or result in any stabilization or manipulation of the price of the Shares, other than permitted activity pursuant to Regulation M and Rule 10b-18 under the Exchange Act.</w:t>
      </w:r>
    </w:p>
    <w:p>
      <w:pPr>
        <w:spacing w:after="0" w:line="65" w:lineRule="exact"/>
        <w:rPr>
          <w:rFonts w:ascii="Times New Roman" w:cs="Times New Roman" w:eastAsia="Times New Roman" w:hAnsi="Times New Roman"/>
          <w:sz w:val="18"/>
          <w:szCs w:val="18"/>
          <w:color w:val="auto"/>
        </w:rPr>
      </w:pPr>
    </w:p>
    <w:p>
      <w:pPr>
        <w:jc w:val="both"/>
        <w:ind w:right="240" w:firstLine="443"/>
        <w:spacing w:after="0" w:line="261" w:lineRule="auto"/>
        <w:tabs>
          <w:tab w:leader="none" w:pos="66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Key Employees. </w:t>
      </w:r>
      <w:r>
        <w:rPr>
          <w:rFonts w:ascii="Times New Roman" w:cs="Times New Roman" w:eastAsia="Times New Roman" w:hAnsi="Times New Roman"/>
          <w:sz w:val="18"/>
          <w:szCs w:val="18"/>
          <w:color w:val="auto"/>
        </w:rPr>
        <w:t>The Adviser is not aware that (i) any of its executives, key employees or significant group of employees plans to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71" w:lineRule="exact"/>
        <w:rPr>
          <w:rFonts w:ascii="Times New Roman" w:cs="Times New Roman" w:eastAsia="Times New Roman" w:hAnsi="Times New Roman"/>
          <w:sz w:val="18"/>
          <w:szCs w:val="18"/>
          <w:color w:val="auto"/>
        </w:rPr>
      </w:pPr>
    </w:p>
    <w:p>
      <w:pPr>
        <w:ind w:right="80" w:firstLine="443"/>
        <w:spacing w:after="0" w:line="261" w:lineRule="auto"/>
        <w:tabs>
          <w:tab w:leader="none" w:pos="67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No labor disturbance by or dispute with employees of the Adviser or any of its subsidiaries exists 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ectPr>
          <w:pgSz w:w="11900" w:h="16838" w:orient="portrait"/>
          <w:cols w:equalWidth="0" w:num="1">
            <w:col w:w="10940"/>
          </w:cols>
          <w:pgMar w:left="700" w:top="270" w:right="259" w:bottom="1440" w:gutter="0" w:footer="0" w:header="0"/>
        </w:sectPr>
      </w:pPr>
    </w:p>
    <w:bookmarkStart w:id="29" w:name="page30"/>
    <w:bookmarkEnd w:id="29"/>
    <w:p>
      <w:pPr>
        <w:ind w:left="180" w:hanging="176"/>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rFonts w:ascii="Times New Roman" w:cs="Times New Roman" w:eastAsia="Times New Roman" w:hAnsi="Times New Roman"/>
          <w:sz w:val="18"/>
          <w:szCs w:val="18"/>
          <w:color w:val="auto"/>
        </w:rPr>
      </w:pPr>
    </w:p>
    <w:p>
      <w:pPr>
        <w:ind w:right="100" w:firstLine="443"/>
        <w:spacing w:after="0" w:line="256" w:lineRule="auto"/>
        <w:tabs>
          <w:tab w:leader="none" w:pos="68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497 and Rule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430A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Representatives may reasonably request.</w:t>
      </w:r>
    </w:p>
    <w:p>
      <w:pPr>
        <w:spacing w:after="0" w:line="75" w:lineRule="exact"/>
        <w:rPr>
          <w:rFonts w:ascii="Times New Roman" w:cs="Times New Roman" w:eastAsia="Times New Roman" w:hAnsi="Times New Roman"/>
          <w:sz w:val="18"/>
          <w:szCs w:val="18"/>
          <w:color w:val="auto"/>
        </w:rPr>
      </w:pPr>
    </w:p>
    <w:p>
      <w:pPr>
        <w:ind w:right="60" w:firstLine="443"/>
        <w:spacing w:after="0" w:line="277" w:lineRule="auto"/>
        <w:tabs>
          <w:tab w:leader="none" w:pos="693"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Delivery of Copies. </w:t>
      </w:r>
      <w:r>
        <w:rPr>
          <w:rFonts w:ascii="Times New Roman" w:cs="Times New Roman" w:eastAsia="Times New Roman" w:hAnsi="Times New Roman"/>
          <w:sz w:val="17"/>
          <w:szCs w:val="17"/>
          <w:color w:val="auto"/>
        </w:rPr>
        <w:t>The Company will deliver, without charge, (i) to the Representatives, electronic signed copies of the Registration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 as originally filed and each amendment thereto, in each case including all exhibits and consents filed therewith; and (ii) to each Underwriter</w:t>
      </w:r>
    </w:p>
    <w:p>
      <w:pPr>
        <w:spacing w:after="0" w:line="1" w:lineRule="exact"/>
        <w:rPr>
          <w:rFonts w:ascii="Times New Roman" w:cs="Times New Roman" w:eastAsia="Times New Roman" w:hAnsi="Times New Roman"/>
          <w:sz w:val="17"/>
          <w:szCs w:val="17"/>
          <w:color w:val="auto"/>
        </w:rPr>
      </w:pPr>
    </w:p>
    <w:p>
      <w:pPr>
        <w:ind w:right="4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 conformed copy of the Registration Statement as originally filed and each amendment thereto (without exhibits) and (B) during the Prospectus Delivery Period (as defined below), as many copies of the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in connection with sales of the Shares by any Underwriter or dealer.</w:t>
      </w:r>
    </w:p>
    <w:p>
      <w:pPr>
        <w:spacing w:after="0" w:line="75" w:lineRule="exact"/>
        <w:rPr>
          <w:rFonts w:ascii="Times New Roman" w:cs="Times New Roman" w:eastAsia="Times New Roman" w:hAnsi="Times New Roman"/>
          <w:sz w:val="17"/>
          <w:szCs w:val="17"/>
          <w:color w:val="auto"/>
        </w:rPr>
      </w:pPr>
    </w:p>
    <w:p>
      <w:pPr>
        <w:ind w:right="100" w:firstLine="443"/>
        <w:spacing w:after="0" w:line="261" w:lineRule="auto"/>
        <w:tabs>
          <w:tab w:leader="none" w:pos="68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w:t>
      </w:r>
      <w:r>
        <w:rPr>
          <w:rFonts w:ascii="Times New Roman" w:cs="Times New Roman" w:eastAsia="Times New Roman" w:hAnsi="Times New Roman"/>
          <w:sz w:val="18"/>
          <w:szCs w:val="18"/>
          <w:color w:val="auto"/>
        </w:rPr>
        <w:t>Before using, authorizing, approving, referring to or filing any amendment or supplement to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the Prospectus, the Company will furnish to the Representatives and counsel for the Underwriters a copy of the proposed amendment or supplement for review and will not use, authorize, approve, refer to or file any such proposed amendment or supplement to which the Representatives reasonably object in a timely manner.</w:t>
      </w:r>
    </w:p>
    <w:p>
      <w:pPr>
        <w:spacing w:after="0" w:line="71" w:lineRule="exact"/>
        <w:rPr>
          <w:rFonts w:ascii="Times New Roman" w:cs="Times New Roman" w:eastAsia="Times New Roman" w:hAnsi="Times New Roman"/>
          <w:sz w:val="18"/>
          <w:szCs w:val="18"/>
          <w:color w:val="auto"/>
        </w:rPr>
      </w:pPr>
    </w:p>
    <w:p>
      <w:pPr>
        <w:ind w:firstLine="443"/>
        <w:spacing w:after="0" w:line="257" w:lineRule="auto"/>
        <w:tabs>
          <w:tab w:leader="none" w:pos="69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Representatives. </w:t>
      </w:r>
      <w:r>
        <w:rPr>
          <w:rFonts w:ascii="Times New Roman" w:cs="Times New Roman" w:eastAsia="Times New Roman" w:hAnsi="Times New Roman"/>
          <w:sz w:val="18"/>
          <w:szCs w:val="18"/>
          <w:color w:val="auto"/>
        </w:rPr>
        <w:t>The Company will advise the Representatives promptly, and confirm such advice in writing, (i) when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has become effective; (ii) when any amendment to the Registration Statement has been filed or becomes effective; (iii) when any supplement to the Prospectus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of any order</w:t>
      </w:r>
    </w:p>
    <w:p>
      <w:pPr>
        <w:sectPr>
          <w:pgSz w:w="11900" w:h="16838" w:orient="portrait"/>
          <w:cols w:equalWidth="0" w:num="1">
            <w:col w:w="10900"/>
          </w:cols>
          <w:pgMar w:left="700" w:top="270" w:right="299" w:bottom="1440" w:gutter="0" w:footer="0" w:header="0"/>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suspending the effectiveness of the Registration Statement or preventing or suspending the use of any Preliminary Prospectus, the Pricing Disclosure Package or the Prospectus or the initiation or threatening of any proceeding for that purpose or pursuant to Section 8A of the Securities Act; (vi) of the occurrence of any event or development within the Prospectus Delivery Period as a result of which the Prospectus or the Pricing Disclosure Package, as then amended or supplemented, would include any untrue statement of a material fact or omit to state a material fact necessary in order to make the statements therein, in the light of the circumstances existing when the Prospectus or the Pricing Disclosure Package is delivered to a purchaser, not misleading; and (vii) of the receipt by the Company of any notice with respect to any suspension of the qualification of the Shares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use commercially reasonable efforts to obtain as soon as possible the withdrawal thereof.</w:t>
      </w:r>
    </w:p>
    <w:p>
      <w:pPr>
        <w:spacing w:after="0" w:line="76" w:lineRule="exact"/>
        <w:rPr>
          <w:sz w:val="20"/>
          <w:szCs w:val="20"/>
          <w:color w:val="auto"/>
        </w:rPr>
      </w:pPr>
    </w:p>
    <w:p>
      <w:pPr>
        <w:ind w:right="20" w:firstLine="443"/>
        <w:spacing w:after="0" w:line="252" w:lineRule="auto"/>
        <w:tabs>
          <w:tab w:leader="none" w:pos="68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88" w:lineRule="exact"/>
        <w:rPr>
          <w:rFonts w:ascii="Times New Roman" w:cs="Times New Roman" w:eastAsia="Times New Roman" w:hAnsi="Times New Roman"/>
          <w:sz w:val="18"/>
          <w:szCs w:val="18"/>
          <w:color w:val="auto"/>
        </w:rPr>
      </w:pPr>
    </w:p>
    <w:p>
      <w:pPr>
        <w:ind w:firstLine="443"/>
        <w:spacing w:after="0" w:line="259" w:lineRule="auto"/>
        <w:tabs>
          <w:tab w:leader="none" w:pos="6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use commercially reasonable efforts, in cooperation with the Representatives, to qualify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offer and sale under the securities or Blue Sky laws of such jurisdictions as the Representatives shall reasonably request and will continue such qualifications in effect so long as required for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ectPr>
          <w:pgSz w:w="11900" w:h="16838" w:orient="portrait"/>
          <w:cols w:equalWidth="0" w:num="1">
            <w:col w:w="10940"/>
          </w:cols>
          <w:pgMar w:left="700" w:top="270" w:right="259" w:bottom="1440" w:gutter="0" w:footer="0" w:header="0"/>
        </w:sectPr>
      </w:pPr>
    </w:p>
    <w:bookmarkStart w:id="31" w:name="page32"/>
    <w:bookmarkEnd w:id="31"/>
    <w:p>
      <w:pPr>
        <w:ind w:left="-4" w:right="80" w:firstLine="443"/>
        <w:spacing w:after="0" w:line="259" w:lineRule="auto"/>
        <w:tabs>
          <w:tab w:leader="none" w:pos="68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Representatives as soon as practicable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71" w:lineRule="exact"/>
        <w:rPr>
          <w:rFonts w:ascii="Times New Roman" w:cs="Times New Roman" w:eastAsia="Times New Roman" w:hAnsi="Times New Roman"/>
          <w:sz w:val="18"/>
          <w:szCs w:val="18"/>
          <w:color w:val="auto"/>
        </w:rPr>
      </w:pPr>
    </w:p>
    <w:p>
      <w:pPr>
        <w:ind w:left="-4" w:firstLine="443"/>
        <w:spacing w:after="0" w:line="256" w:lineRule="auto"/>
        <w:tabs>
          <w:tab w:leader="none" w:pos="68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a period of 180 days after the date of the Prospectus, the Company will not (i) offer, pledge, sell, contract to sell, sell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Stock or any securities convertible into or exercisable or exchangeable for Stock, or publicly disclose the intention to make any such offer, sale, pledge, disposition or filing, or</w:t>
      </w:r>
    </w:p>
    <w:p>
      <w:pPr>
        <w:spacing w:after="0" w:line="1" w:lineRule="exact"/>
        <w:rPr>
          <w:rFonts w:ascii="Times New Roman" w:cs="Times New Roman" w:eastAsia="Times New Roman" w:hAnsi="Times New Roman"/>
          <w:sz w:val="18"/>
          <w:szCs w:val="18"/>
          <w:color w:val="auto"/>
        </w:rPr>
      </w:pPr>
    </w:p>
    <w:p>
      <w:pPr>
        <w:ind w:left="-4" w:right="20" w:firstLine="4"/>
        <w:spacing w:after="0" w:line="251" w:lineRule="auto"/>
        <w:tabs>
          <w:tab w:leader="none" w:pos="26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J.P. Morgan Securities LLC, Merrill Lynch, Pierce, Fenner &amp; Smith Incorporated and Goldman, Sachs &amp; Co. on behalf of the Underwriters, other than the (A) Shares to be sold hereunder, (B) Private Placement Shares to be sold under the Private Placement Agreements and (C) shares of Stock issued or delivered in connection with the Company’s dividend reinvestment plan. Notwithstanding the foregoing, if the Company is not then an Emerging Growth Company, then if (1) during the last 17 days of the 180-day restricted period, the Company issues an earnings release or material news or a material event relating to the Company occurs; or (2) prior to the expiration of the 180-day restricted period, the Company announces that it will release earnings results during the 16-day period beginning on the last day of the 180-day period, the restrictions imposed by this Agreement shall continue to apply until the expiration of the 18-day period beginning on the issuance of the earnings release or the occurrence of the material news or material event.</w:t>
      </w:r>
    </w:p>
    <w:p>
      <w:pPr>
        <w:spacing w:after="0" w:line="83" w:lineRule="exact"/>
        <w:rPr>
          <w:rFonts w:ascii="Times New Roman" w:cs="Times New Roman" w:eastAsia="Times New Roman" w:hAnsi="Times New Roman"/>
          <w:sz w:val="18"/>
          <w:szCs w:val="18"/>
          <w:color w:val="auto"/>
        </w:rPr>
      </w:pPr>
    </w:p>
    <w:p>
      <w:pPr>
        <w:ind w:left="-4" w:right="80" w:firstLine="443"/>
        <w:spacing w:after="0" w:line="284" w:lineRule="auto"/>
        <w:tabs>
          <w:tab w:leader="none" w:pos="64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apply the net proceeds from the sale of the Shares in all material respects as described in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the Pricing Disclosure Package and the Prospectus under the heading “Use of proceeds”.</w:t>
      </w:r>
    </w:p>
    <w:p>
      <w:pPr>
        <w:spacing w:after="0" w:line="50" w:lineRule="exact"/>
        <w:rPr>
          <w:rFonts w:ascii="Times New Roman" w:cs="Times New Roman" w:eastAsia="Times New Roman" w:hAnsi="Times New Roman"/>
          <w:sz w:val="18"/>
          <w:szCs w:val="18"/>
          <w:color w:val="auto"/>
        </w:rPr>
      </w:pPr>
    </w:p>
    <w:p>
      <w:pPr>
        <w:ind w:left="-4" w:right="60" w:firstLine="443"/>
        <w:spacing w:after="0" w:line="267" w:lineRule="auto"/>
        <w:tabs>
          <w:tab w:leader="none" w:pos="64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Except as described in 3(mm) herein, the Company will not take, directly or indirectly, without giving effect to any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Underwriters, any action designed to or that would reasonably be expected to cause or result in any stabilization or manipulation of the price of the Stock.</w:t>
      </w:r>
    </w:p>
    <w:p>
      <w:pPr>
        <w:spacing w:after="0" w:line="65" w:lineRule="exact"/>
        <w:rPr>
          <w:rFonts w:ascii="Times New Roman" w:cs="Times New Roman" w:eastAsia="Times New Roman" w:hAnsi="Times New Roman"/>
          <w:sz w:val="18"/>
          <w:szCs w:val="18"/>
          <w:color w:val="auto"/>
        </w:rPr>
      </w:pPr>
    </w:p>
    <w:p>
      <w:pPr>
        <w:ind w:left="-4" w:right="40" w:firstLine="443"/>
        <w:spacing w:after="0" w:line="284" w:lineRule="auto"/>
        <w:tabs>
          <w:tab w:leader="none" w:pos="6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Company will use commercially reasonable efforts to list for quotation, subject to notice of issuance, the Shares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Stock Exchange.</w:t>
      </w:r>
    </w:p>
    <w:p>
      <w:pPr>
        <w:spacing w:after="0" w:line="50" w:lineRule="exact"/>
        <w:rPr>
          <w:rFonts w:ascii="Times New Roman" w:cs="Times New Roman" w:eastAsia="Times New Roman" w:hAnsi="Times New Roman"/>
          <w:sz w:val="18"/>
          <w:szCs w:val="18"/>
          <w:color w:val="auto"/>
        </w:rPr>
      </w:pPr>
    </w:p>
    <w:p>
      <w:pPr>
        <w:ind w:left="-4" w:right="80" w:firstLine="443"/>
        <w:spacing w:after="0" w:line="259" w:lineRule="auto"/>
        <w:tabs>
          <w:tab w:leader="none" w:pos="64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For a period of one year from the date of this Agreement, so long as the Shares are outstanding, the Company will furnish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Representatives, as soon as commercially reasonable after the date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Representatives to the extent they are filed on EDGAR.</w:t>
      </w:r>
    </w:p>
    <w:p>
      <w:pPr>
        <w:sectPr>
          <w:pgSz w:w="11900" w:h="16838" w:orient="portrait"/>
          <w:cols w:equalWidth="0" w:num="1">
            <w:col w:w="10956"/>
          </w:cols>
          <w:pgMar w:left="704" w:top="268" w:right="239" w:bottom="1440" w:gutter="0" w:footer="0" w:header="0"/>
        </w:sectPr>
      </w:pPr>
    </w:p>
    <w:bookmarkStart w:id="32" w:name="page33"/>
    <w:bookmarkEnd w:id="32"/>
    <w:p>
      <w:pPr>
        <w:ind w:left="-4" w:firstLine="443"/>
        <w:spacing w:after="0" w:line="267" w:lineRule="auto"/>
        <w:tabs>
          <w:tab w:leader="none" w:pos="73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Emerging Growth Company</w:t>
      </w:r>
      <w:r>
        <w:rPr>
          <w:rFonts w:ascii="Times New Roman" w:cs="Times New Roman" w:eastAsia="Times New Roman" w:hAnsi="Times New Roman"/>
          <w:sz w:val="18"/>
          <w:szCs w:val="18"/>
          <w:color w:val="auto"/>
        </w:rPr>
        <w:t>. The Company will promptly notify the Representatives if the Company ceases to be an Emerging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at any time prior to the later of (i) completion of the distribution of Shares within the meaning of the Securities Act and (ii) completion of the 180-day restricted period referred to in Section 5(h) hereof.</w:t>
      </w:r>
    </w:p>
    <w:p>
      <w:pPr>
        <w:spacing w:after="0" w:line="65" w:lineRule="exact"/>
        <w:rPr>
          <w:rFonts w:ascii="Times New Roman" w:cs="Times New Roman" w:eastAsia="Times New Roman" w:hAnsi="Times New Roman"/>
          <w:sz w:val="18"/>
          <w:szCs w:val="18"/>
          <w:color w:val="auto"/>
        </w:rPr>
      </w:pPr>
    </w:p>
    <w:p>
      <w:pPr>
        <w:ind w:left="-4" w:firstLine="443"/>
        <w:spacing w:after="0" w:line="261" w:lineRule="auto"/>
        <w:tabs>
          <w:tab w:leader="none" w:pos="6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Development Company</w:t>
      </w:r>
      <w:r>
        <w:rPr>
          <w:rFonts w:ascii="Times New Roman" w:cs="Times New Roman" w:eastAsia="Times New Roman" w:hAnsi="Times New Roman"/>
          <w:sz w:val="18"/>
          <w:szCs w:val="18"/>
          <w:color w:val="auto"/>
        </w:rPr>
        <w:t>. The Company, during a period of two years from the effective date of the Registration Statement, will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commercially reasonable efforts to maintain its status as a business development company under the Investment Company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71" w:lineRule="exact"/>
        <w:rPr>
          <w:rFonts w:ascii="Times New Roman" w:cs="Times New Roman" w:eastAsia="Times New Roman" w:hAnsi="Times New Roman"/>
          <w:sz w:val="18"/>
          <w:szCs w:val="18"/>
          <w:color w:val="auto"/>
        </w:rPr>
      </w:pPr>
    </w:p>
    <w:p>
      <w:pPr>
        <w:ind w:left="-4" w:right="80" w:firstLine="443"/>
        <w:spacing w:after="0" w:line="267" w:lineRule="auto"/>
        <w:tabs>
          <w:tab w:leader="none" w:pos="6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Regulated Investment Company. </w:t>
      </w:r>
      <w:r>
        <w:rPr>
          <w:rFonts w:ascii="Times New Roman" w:cs="Times New Roman" w:eastAsia="Times New Roman" w:hAnsi="Times New Roman"/>
          <w:sz w:val="18"/>
          <w:szCs w:val="18"/>
          <w:color w:val="auto"/>
        </w:rPr>
        <w:t>The Company will use commercially reasonable efforts to maintain in effect its qualification and election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treated as a regulated investment company under Subchapter M of the Code for each taxable year during which it is a business development company under the Investment Company Act.</w:t>
      </w:r>
    </w:p>
    <w:p>
      <w:pPr>
        <w:spacing w:after="0" w:line="65" w:lineRule="exact"/>
        <w:rPr>
          <w:rFonts w:ascii="Times New Roman" w:cs="Times New Roman" w:eastAsia="Times New Roman" w:hAnsi="Times New Roman"/>
          <w:sz w:val="18"/>
          <w:szCs w:val="18"/>
          <w:color w:val="auto"/>
        </w:rPr>
      </w:pPr>
    </w:p>
    <w:p>
      <w:pPr>
        <w:ind w:left="-4" w:right="140" w:firstLine="443"/>
        <w:spacing w:after="0" w:line="259" w:lineRule="auto"/>
        <w:tabs>
          <w:tab w:leader="none" w:pos="6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Compliance Reviews</w:t>
      </w:r>
      <w:r>
        <w:rPr>
          <w:rFonts w:ascii="Times New Roman" w:cs="Times New Roman" w:eastAsia="Times New Roman" w:hAnsi="Times New Roman"/>
          <w:sz w:val="18"/>
          <w:szCs w:val="18"/>
          <w:color w:val="auto"/>
        </w:rPr>
        <w:t>. The Company will retain qualified accountants and qualified tax experts (i) to test procedures and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71" w:lineRule="exact"/>
        <w:rPr>
          <w:rFonts w:ascii="Times New Roman" w:cs="Times New Roman" w:eastAsia="Times New Roman" w:hAnsi="Times New Roman"/>
          <w:sz w:val="18"/>
          <w:szCs w:val="18"/>
          <w:color w:val="auto"/>
        </w:rPr>
      </w:pPr>
    </w:p>
    <w:p>
      <w:pPr>
        <w:ind w:left="-4" w:right="60" w:firstLine="443"/>
        <w:spacing w:after="0" w:line="256" w:lineRule="auto"/>
        <w:tabs>
          <w:tab w:leader="none" w:pos="6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w:t>
      </w:r>
      <w:r>
        <w:rPr>
          <w:rFonts w:ascii="Times New Roman" w:cs="Times New Roman" w:eastAsia="Times New Roman" w:hAnsi="Times New Roman"/>
          <w:sz w:val="18"/>
          <w:szCs w:val="18"/>
          <w:color w:val="auto"/>
        </w:rPr>
        <w:t>. The Company represents and agrees that, without the prior consent of the Representatives (i) it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 any offering material other than the Registration Statement, the Pricing Disclosures Package or the Prospectus, and (ii) it has not made and will not make any offer relating to the Shares that would constitute a “free writing prospectus” as defined in Rule 405 under the Act and which the parties agree, for the purposes of this Agreement, includes (x) any “advertisement” as defined in Rule 482 under the Act; and (y) any sales literature, materials or information provided to investors by, or with the approval of, the Company in connection with the marketing of the offering of the Shares, including any in-person roadshow or investor presentations (including slides and scripts relating thereto) made to investors by or on behalf of the Company.</w:t>
      </w:r>
    </w:p>
    <w:p>
      <w:pPr>
        <w:spacing w:after="0" w:line="185" w:lineRule="exact"/>
        <w:rPr>
          <w:rFonts w:ascii="Times New Roman" w:cs="Times New Roman" w:eastAsia="Times New Roman" w:hAnsi="Times New Roman"/>
          <w:sz w:val="18"/>
          <w:szCs w:val="18"/>
          <w:color w:val="auto"/>
        </w:rPr>
      </w:pPr>
    </w:p>
    <w:p>
      <w:pPr>
        <w:ind w:left="176" w:hanging="176"/>
        <w:spacing w:after="0"/>
        <w:tabs>
          <w:tab w:leader="none" w:pos="17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represents, warrants and agrees that:</w:t>
      </w:r>
    </w:p>
    <w:p>
      <w:pPr>
        <w:spacing w:after="0" w:line="117" w:lineRule="exact"/>
        <w:rPr>
          <w:rFonts w:ascii="Times New Roman" w:cs="Times New Roman" w:eastAsia="Times New Roman" w:hAnsi="Times New Roman"/>
          <w:sz w:val="18"/>
          <w:szCs w:val="18"/>
          <w:color w:val="auto"/>
        </w:rPr>
      </w:pPr>
    </w:p>
    <w:p>
      <w:pPr>
        <w:ind w:left="-4" w:right="60" w:firstLine="443"/>
        <w:spacing w:after="0" w:line="261" w:lineRule="auto"/>
        <w:tabs>
          <w:tab w:leader="none" w:pos="67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including any Written Testing-the-Waters Communication, other than materials contained in the Pricing Disclosure Package, the Prospectus or any other offering materials prepared by or with the prior written consent of the Company.</w:t>
      </w:r>
    </w:p>
    <w:p>
      <w:pPr>
        <w:spacing w:after="0" w:line="71" w:lineRule="exact"/>
        <w:rPr>
          <w:rFonts w:ascii="Times New Roman" w:cs="Times New Roman" w:eastAsia="Times New Roman" w:hAnsi="Times New Roman"/>
          <w:sz w:val="18"/>
          <w:szCs w:val="18"/>
          <w:color w:val="auto"/>
        </w:rPr>
      </w:pPr>
    </w:p>
    <w:p>
      <w:pPr>
        <w:ind w:left="-4" w:right="800" w:firstLine="443"/>
        <w:spacing w:after="0" w:line="282" w:lineRule="auto"/>
        <w:tabs>
          <w:tab w:leader="none" w:pos="68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ectPr>
          <w:pgSz w:w="11900" w:h="16838" w:orient="portrait"/>
          <w:cols w:equalWidth="0" w:num="1">
            <w:col w:w="10916"/>
          </w:cols>
          <w:pgMar w:left="704" w:top="268" w:right="279" w:bottom="1440" w:gutter="0" w:footer="0" w:header="0"/>
        </w:sectPr>
      </w:pPr>
    </w:p>
    <w:bookmarkStart w:id="33" w:name="page34"/>
    <w:bookmarkEnd w:id="33"/>
    <w:p>
      <w:pPr>
        <w:ind w:left="-464" w:right="60" w:firstLine="464"/>
        <w:spacing w:after="0" w:line="266" w:lineRule="auto"/>
        <w:tabs>
          <w:tab w:leader="none" w:pos="17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of Underwriters’ Obligations.</w:t>
      </w:r>
      <w:r>
        <w:rPr>
          <w:rFonts w:ascii="Times New Roman" w:cs="Times New Roman" w:eastAsia="Times New Roman" w:hAnsi="Times New Roman"/>
          <w:sz w:val="18"/>
          <w:szCs w:val="18"/>
          <w:color w:val="auto"/>
        </w:rPr>
        <w:t xml:space="preserve"> The obligation of each Underwriter to purchase the Underwritten Shares on the Closing Date or the Option Shares on the Closing Date or the Additional Closing Date, as the case may be, as provided herein is subject to the performance by the Company of its covenants and other obligations hereunder and to the following additional conditions:</w:t>
      </w:r>
    </w:p>
    <w:p>
      <w:pPr>
        <w:spacing w:after="0" w:line="66" w:lineRule="exact"/>
        <w:rPr>
          <w:rFonts w:ascii="Times New Roman" w:cs="Times New Roman" w:eastAsia="Times New Roman" w:hAnsi="Times New Roman"/>
          <w:sz w:val="18"/>
          <w:szCs w:val="18"/>
          <w:color w:val="auto"/>
        </w:rPr>
      </w:pPr>
    </w:p>
    <w:p>
      <w:pPr>
        <w:ind w:left="-4" w:right="200" w:firstLine="443"/>
        <w:spacing w:after="0" w:line="261" w:lineRule="auto"/>
        <w:tabs>
          <w:tab w:leader="none" w:pos="67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Representatives.</w:t>
      </w:r>
    </w:p>
    <w:p>
      <w:pPr>
        <w:spacing w:after="0" w:line="71" w:lineRule="exact"/>
        <w:rPr>
          <w:rFonts w:ascii="Times New Roman" w:cs="Times New Roman" w:eastAsia="Times New Roman" w:hAnsi="Times New Roman"/>
          <w:sz w:val="18"/>
          <w:szCs w:val="18"/>
          <w:color w:val="auto"/>
        </w:rPr>
      </w:pPr>
    </w:p>
    <w:p>
      <w:pPr>
        <w:ind w:left="-4" w:firstLine="443"/>
        <w:spacing w:after="0" w:line="261" w:lineRule="auto"/>
        <w:tabs>
          <w:tab w:leader="none" w:pos="68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and the Adviser contained herein shall be true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71" w:lineRule="exact"/>
        <w:rPr>
          <w:rFonts w:ascii="Times New Roman" w:cs="Times New Roman" w:eastAsia="Times New Roman" w:hAnsi="Times New Roman"/>
          <w:sz w:val="18"/>
          <w:szCs w:val="18"/>
          <w:color w:val="auto"/>
        </w:rPr>
      </w:pPr>
    </w:p>
    <w:p>
      <w:pPr>
        <w:ind w:left="-4" w:firstLine="443"/>
        <w:spacing w:after="0" w:line="259" w:lineRule="auto"/>
        <w:tabs>
          <w:tab w:leader="none" w:pos="67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3(h) and Section 4(a) hereof shall have occurred or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71" w:lineRule="exact"/>
        <w:rPr>
          <w:rFonts w:ascii="Times New Roman" w:cs="Times New Roman" w:eastAsia="Times New Roman" w:hAnsi="Times New Roman"/>
          <w:sz w:val="18"/>
          <w:szCs w:val="18"/>
          <w:color w:val="auto"/>
        </w:rPr>
      </w:pPr>
    </w:p>
    <w:p>
      <w:pPr>
        <w:ind w:left="-4" w:right="60" w:firstLine="443"/>
        <w:spacing w:after="0" w:line="254" w:lineRule="auto"/>
        <w:tabs>
          <w:tab w:leader="none" w:pos="68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Company’s Officer’s Certificate. </w:t>
      </w:r>
      <w:r>
        <w:rPr>
          <w:rFonts w:ascii="Times New Roman" w:cs="Times New Roman" w:eastAsia="Times New Roman" w:hAnsi="Times New Roman"/>
          <w:sz w:val="18"/>
          <w:szCs w:val="18"/>
          <w:color w:val="auto"/>
        </w:rPr>
        <w:t>The Representatives shall have received on and as of the Closing Date or the Additional Closing Date,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may be, a certificate, which shall be delivered on behalf of the Company and not the signatories in their individual capacity, of the chief financial officer or chief accounting officer of the Company and one additional senior executive officer of the Company who is reasonably satisfactory to the Representatives (i) confirming that such officers have carefully reviewed the Registration Statement, the Pricing Disclosure Package and the Prospectus, (ii) confirming that, to the knowledge of such officers, the representations and warranties of the Company in Sections 3(b) and 3(e)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(iv) to the effect set forth in paragraphs (a) above and, with respect to the Company and its subsidiaries, to the effect set forth in paragraph (c) above.</w:t>
      </w:r>
    </w:p>
    <w:p>
      <w:pPr>
        <w:spacing w:after="0" w:line="81" w:lineRule="exact"/>
        <w:rPr>
          <w:rFonts w:ascii="Times New Roman" w:cs="Times New Roman" w:eastAsia="Times New Roman" w:hAnsi="Times New Roman"/>
          <w:sz w:val="18"/>
          <w:szCs w:val="18"/>
          <w:color w:val="auto"/>
        </w:rPr>
      </w:pPr>
    </w:p>
    <w:p>
      <w:pPr>
        <w:ind w:left="-4" w:right="100" w:firstLine="443"/>
        <w:spacing w:after="0" w:line="257" w:lineRule="auto"/>
        <w:tabs>
          <w:tab w:leader="none" w:pos="67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Adviser’s Officer’s Certificate. </w:t>
      </w:r>
      <w:r>
        <w:rPr>
          <w:rFonts w:ascii="Times New Roman" w:cs="Times New Roman" w:eastAsia="Times New Roman" w:hAnsi="Times New Roman"/>
          <w:sz w:val="18"/>
          <w:szCs w:val="18"/>
          <w:color w:val="auto"/>
        </w:rPr>
        <w:t>The Representatives shall have received on and as of the Closing Date or the Additional Closing Date,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may be, a certificate, which shall be delivered on behalf of the Adviser and not the signatories in their individual capacity, from the two appropriate senior officers of the Adviser reasonably satisfactory to the Representatives (i) confirming that the representations and warranties of the Adviser in this Agreement are true and correct and that the Adviser has complied with all agreements and satisfied all conditions on its part to be performed or satisfied hereunder at or prior to the Closing Date or the Additional Closing Date, as the case may be, and (ii) with respect to the Adviser and its subsidiaries, to the effect set forth in paragraph (c) above.</w:t>
      </w:r>
    </w:p>
    <w:p>
      <w:pPr>
        <w:sectPr>
          <w:pgSz w:w="11900" w:h="16838" w:orient="portrait"/>
          <w:cols w:equalWidth="0" w:num="1">
            <w:col w:w="10956"/>
          </w:cols>
          <w:pgMar w:left="704" w:top="270" w:right="239" w:bottom="1440" w:gutter="0" w:footer="0" w:header="0"/>
        </w:sectPr>
      </w:pPr>
    </w:p>
    <w:bookmarkStart w:id="34" w:name="page35"/>
    <w:bookmarkEnd w:id="34"/>
    <w:p>
      <w:pPr>
        <w:ind w:left="-443" w:firstLine="443"/>
        <w:spacing w:after="0" w:line="256" w:lineRule="auto"/>
        <w:tabs>
          <w:tab w:leader="none" w:pos="2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Comfort Letters. </w:t>
      </w:r>
      <w:r>
        <w:rPr>
          <w:rFonts w:ascii="Times New Roman" w:cs="Times New Roman" w:eastAsia="Times New Roman" w:hAnsi="Times New Roman"/>
          <w:sz w:val="18"/>
          <w:szCs w:val="18"/>
          <w:color w:val="auto"/>
        </w:rPr>
        <w:t>On the date of this Agreement and on the Closing Date or the Additional Closing Date, as the case may be, KPMG LLC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the Registration Statement, the Pricing Disclosure Package and the Prospectus; provided, that the letter delivered on the Closing Date or the Additional Closing Date, as the case may be, shall use a “cut-off” date no more than three business days prior to such Closing Date or such Additional Closing Date, as the case may be.</w:t>
      </w:r>
    </w:p>
    <w:p>
      <w:pPr>
        <w:spacing w:after="0" w:line="75" w:lineRule="exact"/>
        <w:rPr>
          <w:rFonts w:ascii="Times New Roman" w:cs="Times New Roman" w:eastAsia="Times New Roman" w:hAnsi="Times New Roman"/>
          <w:sz w:val="18"/>
          <w:szCs w:val="18"/>
          <w:color w:val="auto"/>
        </w:rPr>
      </w:pPr>
    </w:p>
    <w:p>
      <w:pPr>
        <w:ind w:left="-443" w:right="20" w:firstLine="443"/>
        <w:spacing w:after="0" w:line="253" w:lineRule="auto"/>
        <w:tabs>
          <w:tab w:leader="none" w:pos="2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and Adviser. </w:t>
      </w:r>
      <w:r>
        <w:rPr>
          <w:rFonts w:ascii="Times New Roman" w:cs="Times New Roman" w:eastAsia="Times New Roman" w:hAnsi="Times New Roman"/>
          <w:sz w:val="18"/>
          <w:szCs w:val="18"/>
          <w:color w:val="auto"/>
        </w:rPr>
        <w:t>Cleary Gottlieb Steen &amp; Hamilton LLP, counsel for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Adviser, shall have furnished to the Representatives, at the request of the Company and the Adviser, their written opinions and 10b-5 letter, dated the Closing Date or the Additional Closing Date, as the case may be, and addressed to the Underwriters, in form and substance reasonably satisfactory to the Representatives, to the effect set forth in Annexes A-1 and A-2 hereto. Sutherland Asbill &amp; Brennan LLP, Investment Company Act counsel for the Company and Advisers Act counsel for the Adviser, shall have furnished to the Representatives, at the request of the Company and the Adviser, their written opinion, dated the Closing Date or the Additional Closing Date, as the case may be, and addressed to the Underwriters, in form and substance reasonably satisfactory to the Representatives, to the effect set forth in Annex A-3 hereto. Morris, Nichols, Arsht &amp; Tunnell LLP, Delaware counsel for the Company and the Adviser, shall have furnished to the Representatives, at the request of the Company and the Adviser, their written opinion, dated the Closing Date or the Additional Closing Date, as the case may be, and addressed to the Underwriters, in form and substance reasonably satisfactory to the Representatives, to the effect set forth in Annex A-4 hereto. In-house counsel to the Company and the Adviser, shall have furnished to the Representatives, its written opinion, dated the Closing Date or the Additional Closing Date, as the case may be, and addressed to the Underwriters, in form and substance reasonably satisfactory to the Representatives, to the effect set forth in Annex A-5 hereto.</w:t>
      </w:r>
    </w:p>
    <w:p>
      <w:pPr>
        <w:spacing w:after="0" w:line="82" w:lineRule="exact"/>
        <w:rPr>
          <w:rFonts w:ascii="Times New Roman" w:cs="Times New Roman" w:eastAsia="Times New Roman" w:hAnsi="Times New Roman"/>
          <w:sz w:val="18"/>
          <w:szCs w:val="18"/>
          <w:color w:val="auto"/>
        </w:rPr>
      </w:pPr>
    </w:p>
    <w:p>
      <w:pPr>
        <w:ind w:left="-443" w:right="140" w:firstLine="443"/>
        <w:spacing w:after="0" w:line="261" w:lineRule="auto"/>
        <w:tabs>
          <w:tab w:leader="none" w:pos="25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Representatives shall have received on and as of the Closing Date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Closing Date, as the case may be, an opinion and 10b-5 statement of Fried, Frank, Harris, Shriver &amp; Jacobson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71" w:lineRule="exact"/>
        <w:rPr>
          <w:rFonts w:ascii="Times New Roman" w:cs="Times New Roman" w:eastAsia="Times New Roman" w:hAnsi="Times New Roman"/>
          <w:sz w:val="18"/>
          <w:szCs w:val="18"/>
          <w:color w:val="auto"/>
        </w:rPr>
      </w:pPr>
    </w:p>
    <w:p>
      <w:pPr>
        <w:ind w:left="-443" w:right="20" w:firstLine="443"/>
        <w:spacing w:after="0" w:line="261" w:lineRule="auto"/>
        <w:tabs>
          <w:tab w:leader="none" w:pos="21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71" w:lineRule="exact"/>
        <w:rPr>
          <w:rFonts w:ascii="Times New Roman" w:cs="Times New Roman" w:eastAsia="Times New Roman" w:hAnsi="Times New Roman"/>
          <w:sz w:val="18"/>
          <w:szCs w:val="18"/>
          <w:color w:val="auto"/>
        </w:rPr>
      </w:pPr>
    </w:p>
    <w:p>
      <w:pPr>
        <w:ind w:left="-443" w:right="300" w:firstLine="443"/>
        <w:spacing w:after="0" w:line="284" w:lineRule="auto"/>
        <w:tabs>
          <w:tab w:leader="none" w:pos="21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w:t>
      </w:r>
      <w:r>
        <w:rPr>
          <w:rFonts w:ascii="Times New Roman" w:cs="Times New Roman" w:eastAsia="Times New Roman" w:hAnsi="Times New Roman"/>
          <w:sz w:val="18"/>
          <w:szCs w:val="18"/>
          <w:color w:val="auto"/>
        </w:rPr>
        <w:t>. The Representatives shall have received on and as of the Closing Date or the Additional Closing Date, as the case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satisfactory evidence</w:t>
      </w:r>
    </w:p>
    <w:p>
      <w:pPr>
        <w:sectPr>
          <w:pgSz w:w="11900" w:h="16838" w:orient="portrait"/>
          <w:cols w:equalWidth="0" w:num="1">
            <w:col w:w="10497"/>
          </w:cols>
          <w:pgMar w:left="1143" w:top="268" w:right="259" w:bottom="1440" w:gutter="0" w:footer="0" w:header="0"/>
        </w:sectPr>
      </w:pPr>
    </w:p>
    <w:bookmarkStart w:id="35" w:name="page36"/>
    <w:bookmarkEnd w:id="35"/>
    <w:p>
      <w:pPr>
        <w:ind w:left="460"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good standing of the Company and its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66" w:lineRule="exact"/>
        <w:rPr>
          <w:sz w:val="20"/>
          <w:szCs w:val="20"/>
          <w:color w:val="auto"/>
        </w:rPr>
      </w:pPr>
    </w:p>
    <w:p>
      <w:pPr>
        <w:ind w:left="460" w:right="180" w:firstLine="443"/>
        <w:spacing w:after="0" w:line="284" w:lineRule="auto"/>
        <w:tabs>
          <w:tab w:leader="none" w:pos="115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Shares to be delivered on the Closing Date or Additional Closing Date, as the case may be, shall have been approved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listing on the New York Stock Exchange, subject to official notice of issuance.</w:t>
      </w:r>
    </w:p>
    <w:p>
      <w:pPr>
        <w:spacing w:after="0" w:line="50" w:lineRule="exact"/>
        <w:rPr>
          <w:rFonts w:ascii="Times New Roman" w:cs="Times New Roman" w:eastAsia="Times New Roman" w:hAnsi="Times New Roman"/>
          <w:sz w:val="18"/>
          <w:szCs w:val="18"/>
          <w:color w:val="auto"/>
        </w:rPr>
      </w:pPr>
    </w:p>
    <w:p>
      <w:pPr>
        <w:ind w:left="460" w:right="80" w:firstLine="443"/>
        <w:spacing w:after="0" w:line="261" w:lineRule="auto"/>
        <w:tabs>
          <w:tab w:leader="none" w:pos="111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The “lock-up” agreements, each substantially in the form of Exhibit A-1 hereto, between you and all of the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the Adviser), officers and directors of the Company, and in the form of Exhibit A-2, between you and the Adviser, relating to sales and certain other dispositions of shares of common stock or certain other securities, delivered to you on or before the date hereof, shall be in full force and effect on the Closing Date or Additional Closing Date, as the case may be.</w:t>
      </w:r>
    </w:p>
    <w:p>
      <w:pPr>
        <w:spacing w:after="0" w:line="71" w:lineRule="exact"/>
        <w:rPr>
          <w:rFonts w:ascii="Times New Roman" w:cs="Times New Roman" w:eastAsia="Times New Roman" w:hAnsi="Times New Roman"/>
          <w:sz w:val="18"/>
          <w:szCs w:val="18"/>
          <w:color w:val="auto"/>
        </w:rPr>
      </w:pPr>
    </w:p>
    <w:p>
      <w:pPr>
        <w:ind w:left="460" w:right="20" w:firstLine="443"/>
        <w:spacing w:after="0" w:line="267" w:lineRule="auto"/>
        <w:tabs>
          <w:tab w:leader="none" w:pos="120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Placement. </w:t>
      </w:r>
      <w:r>
        <w:rPr>
          <w:rFonts w:ascii="Times New Roman" w:cs="Times New Roman" w:eastAsia="Times New Roman" w:hAnsi="Times New Roman"/>
          <w:sz w:val="18"/>
          <w:szCs w:val="18"/>
          <w:color w:val="auto"/>
        </w:rPr>
        <w:t>Concurrently with the purchase of the Underwritten Shares on the Closing Date, substantially all of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will be purchased by the Existing Investors and the Company will receive proceeds in the amount contemplated in the Private Placement Agreements.</w:t>
      </w:r>
    </w:p>
    <w:p>
      <w:pPr>
        <w:spacing w:after="0" w:line="65" w:lineRule="exact"/>
        <w:rPr>
          <w:rFonts w:ascii="Times New Roman" w:cs="Times New Roman" w:eastAsia="Times New Roman" w:hAnsi="Times New Roman"/>
          <w:sz w:val="18"/>
          <w:szCs w:val="18"/>
          <w:color w:val="auto"/>
        </w:rPr>
      </w:pPr>
    </w:p>
    <w:p>
      <w:pPr>
        <w:ind w:left="460" w:firstLine="443"/>
        <w:spacing w:after="0" w:line="257" w:lineRule="auto"/>
        <w:tabs>
          <w:tab w:leader="none" w:pos="115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Downgrade</w:t>
      </w:r>
      <w:r>
        <w:rPr>
          <w:rFonts w:ascii="Times New Roman" w:cs="Times New Roman" w:eastAsia="Times New Roman" w:hAnsi="Times New Roman"/>
          <w:sz w:val="18"/>
          <w:szCs w:val="18"/>
          <w:color w:val="auto"/>
        </w:rPr>
        <w:t>. Subsequent to the earlier of (A) the Applicable Time and (B) the execution and delivery of this Agreement, if there are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74" w:lineRule="exact"/>
        <w:rPr>
          <w:rFonts w:ascii="Times New Roman" w:cs="Times New Roman" w:eastAsia="Times New Roman" w:hAnsi="Times New Roman"/>
          <w:sz w:val="18"/>
          <w:szCs w:val="18"/>
          <w:color w:val="auto"/>
        </w:rPr>
      </w:pPr>
    </w:p>
    <w:p>
      <w:pPr>
        <w:ind w:left="460" w:right="60" w:firstLine="443"/>
        <w:spacing w:after="0" w:line="284" w:lineRule="auto"/>
        <w:tabs>
          <w:tab w:leader="none" w:pos="115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or the Additional Closing Date, as the case may be, the Company shall have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Representatives such further certificates and documents as the Representatives may reasonably request.</w:t>
      </w:r>
    </w:p>
    <w:p>
      <w:pPr>
        <w:spacing w:after="0" w:line="160"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640" w:hanging="17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464"/>
        <w:spacing w:after="0" w:line="256" w:lineRule="auto"/>
        <w:tabs>
          <w:tab w:leader="none" w:pos="70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w:t>
      </w:r>
      <w:r>
        <w:rPr>
          <w:rFonts w:ascii="Times New Roman" w:cs="Times New Roman" w:eastAsia="Times New Roman" w:hAnsi="Times New Roman"/>
          <w:sz w:val="18"/>
          <w:szCs w:val="18"/>
          <w:color w:val="auto"/>
        </w:rPr>
        <w:t>The Company agrees to indemnify and hold harmless each Underwriter, its affiliates, directors and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w:t>
      </w:r>
    </w:p>
    <w:p>
      <w:pPr>
        <w:sectPr>
          <w:pgSz w:w="11900" w:h="16838" w:orient="portrait"/>
          <w:cols w:equalWidth="0" w:num="1">
            <w:col w:w="11420"/>
          </w:cols>
          <w:pgMar w:left="240" w:top="270" w:right="239" w:bottom="1440" w:gutter="0" w:footer="0" w:header="0"/>
        </w:sectPr>
      </w:pPr>
    </w:p>
    <w:bookmarkStart w:id="36" w:name="page37"/>
    <w:bookmarkEnd w:id="3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fact contained in the Prospectus (or any amendment or supplement thereto), any road show as defined in Rule 433(h) under the Securities Act (a “road show”)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below.</w:t>
      </w:r>
    </w:p>
    <w:p>
      <w:pPr>
        <w:spacing w:after="0" w:line="187" w:lineRule="exact"/>
        <w:rPr>
          <w:sz w:val="20"/>
          <w:szCs w:val="20"/>
          <w:color w:val="auto"/>
        </w:rPr>
      </w:pPr>
    </w:p>
    <w:p>
      <w:pPr>
        <w:ind w:right="100" w:firstLine="464"/>
        <w:spacing w:after="0" w:line="253" w:lineRule="auto"/>
        <w:tabs>
          <w:tab w:leader="none" w:pos="71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w:t>
      </w:r>
      <w:r>
        <w:rPr>
          <w:rFonts w:ascii="Times New Roman" w:cs="Times New Roman" w:eastAsia="Times New Roman" w:hAnsi="Times New Roman"/>
          <w:sz w:val="18"/>
          <w:szCs w:val="18"/>
          <w:color w:val="auto"/>
        </w:rPr>
        <w:t>Each Underwriter agrees, severally and not jointly, to indemnify and hold harmless the Company, its directors,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marketing names of the Underwriters set forth on such cover page, and under the caption “Underwriting;” the legal names of the Underwriters, the concession and reallowance figures appearing in the third paragraph, the statements regarding electronic distribution in the eighth paragraph and the information regarding stabilizing transactions contained in the fifteenth, sixteenth and seventeenth paragraphs.</w:t>
      </w:r>
    </w:p>
    <w:p>
      <w:pPr>
        <w:spacing w:after="0" w:line="192" w:lineRule="exact"/>
        <w:rPr>
          <w:rFonts w:ascii="Times New Roman" w:cs="Times New Roman" w:eastAsia="Times New Roman" w:hAnsi="Times New Roman"/>
          <w:sz w:val="18"/>
          <w:szCs w:val="18"/>
          <w:color w:val="auto"/>
        </w:rPr>
      </w:pPr>
    </w:p>
    <w:p>
      <w:pPr>
        <w:ind w:firstLine="464"/>
        <w:spacing w:after="0" w:line="252" w:lineRule="auto"/>
        <w:tabs>
          <w:tab w:leader="none" w:pos="70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 brought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w:t>
      </w:r>
    </w:p>
    <w:p>
      <w:pPr>
        <w:sectPr>
          <w:pgSz w:w="11900" w:h="16838" w:orient="portrait"/>
          <w:cols w:equalWidth="0" w:num="1">
            <w:col w:w="11400"/>
          </w:cols>
          <w:pgMar w:left="240" w:top="270" w:right="259" w:bottom="1440" w:gutter="0" w:footer="0" w:header="0"/>
        </w:sectPr>
      </w:pPr>
    </w:p>
    <w:bookmarkStart w:id="37" w:name="page38"/>
    <w:bookmarkEnd w:id="3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 officers and any control persons of such Underwriter shall be designated in writing by J.P. Morgan Securities LLC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93" w:lineRule="exact"/>
        <w:rPr>
          <w:sz w:val="20"/>
          <w:szCs w:val="20"/>
          <w:color w:val="auto"/>
        </w:rPr>
      </w:pPr>
    </w:p>
    <w:p>
      <w:pPr>
        <w:ind w:right="40" w:firstLine="464"/>
        <w:spacing w:after="0" w:line="253" w:lineRule="auto"/>
        <w:tabs>
          <w:tab w:leader="none" w:pos="71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and (b) above is unavailable to an Indemnified Person or insufficient in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86"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and the Underwriters agree that it would not be just and equitable if contribution pursuant to paragraph</w:t>
      </w:r>
    </w:p>
    <w:p>
      <w:pPr>
        <w:spacing w:after="0" w:line="29" w:lineRule="exact"/>
        <w:rPr>
          <w:rFonts w:ascii="Times New Roman" w:cs="Times New Roman" w:eastAsia="Times New Roman" w:hAnsi="Times New Roman"/>
          <w:sz w:val="18"/>
          <w:szCs w:val="18"/>
          <w:color w:val="auto"/>
        </w:rPr>
      </w:pPr>
    </w:p>
    <w:p>
      <w:pPr>
        <w:ind w:right="160" w:firstLine="8"/>
        <w:spacing w:after="0" w:line="261"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paragraph (d) above.</w:t>
      </w:r>
    </w:p>
    <w:p>
      <w:pPr>
        <w:sectPr>
          <w:pgSz w:w="11900" w:h="16838" w:orient="portrait"/>
          <w:cols w:equalWidth="0" w:num="1">
            <w:col w:w="11400"/>
          </w:cols>
          <w:pgMar w:left="240" w:top="270" w:right="259" w:bottom="1440" w:gutter="0" w:footer="0" w:header="0"/>
        </w:sectPr>
      </w:pPr>
    </w:p>
    <w:bookmarkStart w:id="38" w:name="page39"/>
    <w:bookmarkEnd w:id="3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183" w:lineRule="exact"/>
        <w:rPr>
          <w:sz w:val="20"/>
          <w:szCs w:val="20"/>
          <w:color w:val="auto"/>
        </w:rPr>
      </w:pPr>
    </w:p>
    <w:p>
      <w:pPr>
        <w:ind w:right="200" w:firstLine="464"/>
        <w:spacing w:after="0" w:line="284" w:lineRule="auto"/>
        <w:tabs>
          <w:tab w:leader="none" w:pos="68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8 paragraphs (a) through (e) are not exclusive and shall not limit any rights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remedies which may otherwise be available to any Indemnified Person at law or in equity.</w:t>
      </w:r>
    </w:p>
    <w:p>
      <w:pPr>
        <w:spacing w:after="0" w:line="160" w:lineRule="exact"/>
        <w:rPr>
          <w:sz w:val="20"/>
          <w:szCs w:val="20"/>
          <w:color w:val="auto"/>
        </w:rPr>
      </w:pPr>
    </w:p>
    <w:p>
      <w:pPr>
        <w:ind w:left="640" w:hanging="17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5" w:lineRule="exact"/>
        <w:rPr>
          <w:rFonts w:ascii="Times New Roman" w:cs="Times New Roman" w:eastAsia="Times New Roman" w:hAnsi="Times New Roman"/>
          <w:sz w:val="18"/>
          <w:szCs w:val="18"/>
          <w:color w:val="auto"/>
        </w:rPr>
      </w:pPr>
    </w:p>
    <w:p>
      <w:pPr>
        <w:ind w:firstLine="464"/>
        <w:spacing w:after="0" w:line="254" w:lineRule="auto"/>
        <w:tabs>
          <w:tab w:leader="none" w:pos="7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Representatives, by notice to the Company, if after the execution and delivery of this Agreement and prior to the Closing Date or, in the case of the Option Shares, prior to the Additional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89"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64"/>
        <w:spacing w:after="0" w:line="254" w:lineRule="auto"/>
        <w:tabs>
          <w:tab w:leader="none" w:pos="70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reasonably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w:t>
      </w:r>
    </w:p>
    <w:p>
      <w:pPr>
        <w:sectPr>
          <w:pgSz w:w="11900" w:h="16838" w:orient="portrait"/>
          <w:cols w:equalWidth="0" w:num="1">
            <w:col w:w="11380"/>
          </w:cols>
          <w:pgMar w:left="240" w:top="270" w:right="279" w:bottom="1440" w:gutter="0" w:footer="0" w:header="0"/>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all purposes of this Agreement unless the context otherwise requires, any person not listed in Schedule 1 hereto that, pursuant to this Section 11, purchases Shares that a defaulting Underwriter agreed but failed to purchase.</w:t>
      </w:r>
    </w:p>
    <w:p>
      <w:pPr>
        <w:spacing w:after="0" w:line="162" w:lineRule="exact"/>
        <w:rPr>
          <w:sz w:val="20"/>
          <w:szCs w:val="20"/>
          <w:color w:val="auto"/>
        </w:rPr>
      </w:pPr>
    </w:p>
    <w:p>
      <w:pPr>
        <w:ind w:right="140" w:firstLine="464"/>
        <w:spacing w:after="0" w:line="256" w:lineRule="auto"/>
        <w:tabs>
          <w:tab w:leader="none" w:pos="7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87" w:lineRule="exact"/>
        <w:rPr>
          <w:rFonts w:ascii="Times New Roman" w:cs="Times New Roman" w:eastAsia="Times New Roman" w:hAnsi="Times New Roman"/>
          <w:sz w:val="18"/>
          <w:szCs w:val="18"/>
          <w:color w:val="auto"/>
        </w:rPr>
      </w:pPr>
    </w:p>
    <w:p>
      <w:pPr>
        <w:ind w:right="160" w:firstLine="464"/>
        <w:spacing w:after="0" w:line="255" w:lineRule="auto"/>
        <w:tabs>
          <w:tab w:leader="none" w:pos="70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185" w:lineRule="exact"/>
        <w:rPr>
          <w:rFonts w:ascii="Times New Roman" w:cs="Times New Roman" w:eastAsia="Times New Roman" w:hAnsi="Times New Roman"/>
          <w:sz w:val="18"/>
          <w:szCs w:val="18"/>
          <w:color w:val="auto"/>
        </w:rPr>
      </w:pPr>
    </w:p>
    <w:p>
      <w:pPr>
        <w:ind w:right="140" w:firstLine="464"/>
        <w:spacing w:after="0" w:line="282" w:lineRule="auto"/>
        <w:tabs>
          <w:tab w:leader="none" w:pos="71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or any non-defaulting Underwriter for damages caused by its default.</w:t>
      </w:r>
    </w:p>
    <w:p>
      <w:pPr>
        <w:spacing w:after="0" w:line="160" w:lineRule="exact"/>
        <w:rPr>
          <w:sz w:val="20"/>
          <w:szCs w:val="20"/>
          <w:color w:val="auto"/>
        </w:rPr>
      </w:pPr>
    </w:p>
    <w:p>
      <w:pPr>
        <w:ind w:left="740" w:hanging="276"/>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firstLine="464"/>
        <w:spacing w:after="0" w:line="253" w:lineRule="auto"/>
        <w:tabs>
          <w:tab w:leader="none" w:pos="70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stamp, issuance, transfer or other similar taxes payable in that connection; (ii) the costs incident to the preparation, printing and filing under the Securities Act of the Registration Statement, the Preliminary Prospectus, any Pricing Disclosure Package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Shares under the state or foreign securities or blue sky laws of such jurisdictions as the Representatives may designate with the prior approval of the Company (such approval not to be unreasonably withheld, conditioned or delayed) (including the related reasonable and documented fees and expenses of counsel for the Underwriters; (v) the cost of preparing stock certificates, if applicable; (vi) the costs and charges of any transfer agent and any registrar; (vii) all filing fees and the reasonable fees and expenses incurred in connection with any filing with, and clearance of the offering by, FINRA (such fees and expenses pursuant to this clause (vii) and clause (iv), in the aggregate, shall not exceed $35,000); (viii) all expenses incurred by the Company in connection with any “road show” presentation to potential investors,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Underwriters shall be responsible for 50% of the third-party costs</w:t>
      </w:r>
    </w:p>
    <w:p>
      <w:pPr>
        <w:sectPr>
          <w:pgSz w:w="11900" w:h="16838" w:orient="portrait"/>
          <w:cols w:equalWidth="0" w:num="1">
            <w:col w:w="11400"/>
          </w:cols>
          <w:pgMar w:left="240" w:top="270" w:right="259" w:bottom="1440" w:gutter="0" w:footer="0" w:header="0"/>
        </w:sectPr>
      </w:pPr>
    </w:p>
    <w:bookmarkStart w:id="40" w:name="page41"/>
    <w:bookmarkEnd w:id="40"/>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any chartered private aircraft incurred in connection with such road show; and (ix) all expenses and application fees related to the listing of the Shares on the New York Stock Exchange.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Underwriters incurred by them in connection with any road show.</w:t>
      </w:r>
    </w:p>
    <w:p>
      <w:pPr>
        <w:spacing w:after="0" w:line="184" w:lineRule="exact"/>
        <w:rPr>
          <w:sz w:val="20"/>
          <w:szCs w:val="20"/>
          <w:color w:val="auto"/>
        </w:rPr>
      </w:pPr>
    </w:p>
    <w:p>
      <w:pPr>
        <w:ind w:left="720" w:hanging="256"/>
        <w:spacing w:after="0"/>
        <w:tabs>
          <w:tab w:leader="none" w:pos="7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10 (other than as a result of a termination pursuant to clauses (i), (iii) or (iv) of Section 10),</w:t>
      </w:r>
    </w:p>
    <w:p>
      <w:pPr>
        <w:spacing w:after="0" w:line="27" w:lineRule="exact"/>
        <w:rPr>
          <w:rFonts w:ascii="Times New Roman" w:cs="Times New Roman" w:eastAsia="Times New Roman" w:hAnsi="Times New Roman"/>
          <w:sz w:val="18"/>
          <w:szCs w:val="18"/>
          <w:color w:val="auto"/>
        </w:rPr>
      </w:pPr>
    </w:p>
    <w:p>
      <w:pPr>
        <w:ind w:firstLine="8"/>
        <w:spacing w:after="0" w:line="253" w:lineRule="auto"/>
        <w:tabs>
          <w:tab w:leader="none" w:pos="2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for any reason fails to tender the Shares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Shares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87" w:lineRule="exact"/>
        <w:rPr>
          <w:sz w:val="20"/>
          <w:szCs w:val="20"/>
          <w:color w:val="auto"/>
        </w:rPr>
      </w:pPr>
    </w:p>
    <w:p>
      <w:pPr>
        <w:ind w:right="120" w:firstLine="464"/>
        <w:spacing w:after="0" w:line="261" w:lineRule="auto"/>
        <w:tabs>
          <w:tab w:leader="none" w:pos="7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80" w:lineRule="exact"/>
        <w:rPr>
          <w:rFonts w:ascii="Times New Roman" w:cs="Times New Roman" w:eastAsia="Times New Roman" w:hAnsi="Times New Roman"/>
          <w:sz w:val="18"/>
          <w:szCs w:val="18"/>
          <w:color w:val="auto"/>
        </w:rPr>
      </w:pPr>
    </w:p>
    <w:p>
      <w:pPr>
        <w:jc w:val="both"/>
        <w:ind w:right="500" w:firstLine="464"/>
        <w:spacing w:after="0" w:line="261" w:lineRule="auto"/>
        <w:tabs>
          <w:tab w:leader="none" w:pos="7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Adviser or the Underwriters.</w:t>
      </w:r>
    </w:p>
    <w:p>
      <w:pPr>
        <w:spacing w:after="0" w:line="180" w:lineRule="exact"/>
        <w:rPr>
          <w:rFonts w:ascii="Times New Roman" w:cs="Times New Roman" w:eastAsia="Times New Roman" w:hAnsi="Times New Roman"/>
          <w:sz w:val="18"/>
          <w:szCs w:val="18"/>
          <w:color w:val="auto"/>
        </w:rPr>
      </w:pPr>
    </w:p>
    <w:p>
      <w:pPr>
        <w:ind w:right="60" w:firstLine="464"/>
        <w:spacing w:after="0" w:line="266" w:lineRule="auto"/>
        <w:tabs>
          <w:tab w:leader="none" w:pos="7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76" w:lineRule="exact"/>
        <w:rPr>
          <w:rFonts w:ascii="Times New Roman" w:cs="Times New Roman" w:eastAsia="Times New Roman" w:hAnsi="Times New Roman"/>
          <w:sz w:val="18"/>
          <w:szCs w:val="18"/>
          <w:color w:val="auto"/>
        </w:rPr>
      </w:pPr>
    </w:p>
    <w:p>
      <w:pPr>
        <w:ind w:left="740" w:hanging="276"/>
        <w:spacing w:after="0"/>
        <w:tabs>
          <w:tab w:leader="none" w:pos="7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20" w:firstLine="464"/>
        <w:spacing w:after="0" w:line="255" w:lineRule="auto"/>
        <w:tabs>
          <w:tab w:leader="none" w:pos="70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 transmitted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confirmed by any standard form of telecommunication. Notices to the Underwriters shall be given to the Representatives c/o J.P. Morgan Securities LLC, 383 Madison Avenue, New York, New York 10179 (fax: (212) 622-8358); Attention Equity Syndicate Desk; Merrill Lynch, Pierce, Fenner &amp; Smith Incorporated, One Bryant Park, New York, New York 10036, attention of Syndicate Department, with a copy to ECM Legal; Goldman, Sachs &amp; Co., 200 West Street, New York, New York 10282, Attention: Registration Department; Citigroup Global Markets Inc., 388 Greenwich Street, New York, New York</w:t>
      </w:r>
    </w:p>
    <w:p>
      <w:pPr>
        <w:spacing w:after="0" w:line="1" w:lineRule="exact"/>
        <w:rPr>
          <w:sz w:val="20"/>
          <w:szCs w:val="20"/>
          <w:color w:val="auto"/>
        </w:rPr>
      </w:pPr>
    </w:p>
    <w:p>
      <w:pPr>
        <w:spacing w:after="0"/>
        <w:tabs>
          <w:tab w:leader="none" w:pos="1100" w:val="left"/>
          <w:tab w:leader="none" w:pos="2340" w:val="left"/>
          <w:tab w:leader="none" w:pos="8680" w:val="left"/>
          <w:tab w:leader="none" w:pos="9900" w:val="left"/>
        </w:tabs>
        <w:rPr>
          <w:sz w:val="20"/>
          <w:szCs w:val="20"/>
          <w:color w:val="auto"/>
        </w:rPr>
      </w:pPr>
      <w:r>
        <w:rPr>
          <w:rFonts w:ascii="Times New Roman" w:cs="Times New Roman" w:eastAsia="Times New Roman" w:hAnsi="Times New Roman"/>
          <w:sz w:val="18"/>
          <w:szCs w:val="18"/>
          <w:color w:val="auto"/>
        </w:rPr>
        <w:t>10013 (fax: [</w:t>
        <w:tab/>
        <w:t>]), Attention: [</w:t>
        <w:tab/>
        <w:t>]; Wells Fargo Securities, LLC, 375 Park Avenue, New York, New York 10152 (fax: [</w:t>
        <w:tab/>
        <w:t>]), Attention: [</w:t>
      </w:r>
      <w:r>
        <w:rPr>
          <w:sz w:val="20"/>
          <w:szCs w:val="20"/>
          <w:color w:val="auto"/>
        </w:rPr>
        <w:tab/>
      </w:r>
      <w:r>
        <w:rPr>
          <w:rFonts w:ascii="Times New Roman" w:cs="Times New Roman" w:eastAsia="Times New Roman" w:hAnsi="Times New Roman"/>
          <w:sz w:val="17"/>
          <w:szCs w:val="17"/>
          <w:color w:val="auto"/>
        </w:rPr>
        <w:t>]; and Barclays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Inc., 745 Seventh Avenue, New York, New York 10019, Attention: Syndicate Registration (Fax: 646-834-8133). Notices to the Company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Adviser shall be given to either of them at TPG Specialty Lending, Inc., 345 California Street, Suite 3300, San Francisco, California 94104 (fax: (917) 463-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0175), Attention: David Stiepleman.</w:t>
      </w:r>
    </w:p>
    <w:p>
      <w:pPr>
        <w:sectPr>
          <w:pgSz w:w="11900" w:h="16838" w:orient="portrait"/>
          <w:cols w:equalWidth="0" w:num="1">
            <w:col w:w="11380"/>
          </w:cols>
          <w:pgMar w:left="240" w:top="270" w:right="279" w:bottom="1440" w:gutter="0" w:footer="0" w:header="0"/>
        </w:sectPr>
      </w:pPr>
    </w:p>
    <w:bookmarkStart w:id="41" w:name="page42"/>
    <w:bookmarkEnd w:id="41"/>
    <w:p>
      <w:pPr>
        <w:ind w:left="-40" w:firstLine="464"/>
        <w:spacing w:after="0" w:line="267" w:lineRule="auto"/>
        <w:tabs>
          <w:tab w:leader="none" w:pos="67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73" w:lineRule="exact"/>
        <w:rPr>
          <w:rFonts w:ascii="Times New Roman" w:cs="Times New Roman" w:eastAsia="Times New Roman" w:hAnsi="Times New Roman"/>
          <w:sz w:val="18"/>
          <w:szCs w:val="18"/>
          <w:color w:val="auto"/>
        </w:rPr>
      </w:pPr>
    </w:p>
    <w:p>
      <w:pPr>
        <w:ind w:left="-40" w:right="660" w:firstLine="464"/>
        <w:spacing w:after="0" w:line="284" w:lineRule="auto"/>
        <w:tabs>
          <w:tab w:leader="none" w:pos="6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 applicable to agreements made and to be performed in such state.</w:t>
      </w:r>
    </w:p>
    <w:p>
      <w:pPr>
        <w:spacing w:after="0" w:line="158" w:lineRule="exact"/>
        <w:rPr>
          <w:rFonts w:ascii="Times New Roman" w:cs="Times New Roman" w:eastAsia="Times New Roman" w:hAnsi="Times New Roman"/>
          <w:sz w:val="18"/>
          <w:szCs w:val="18"/>
          <w:color w:val="auto"/>
        </w:rPr>
      </w:pPr>
    </w:p>
    <w:p>
      <w:pPr>
        <w:ind w:left="-40" w:right="1340" w:firstLine="464"/>
        <w:spacing w:after="0" w:line="284" w:lineRule="auto"/>
        <w:tabs>
          <w:tab w:leader="none" w:pos="67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w:t>
      </w:r>
    </w:p>
    <w:p>
      <w:pPr>
        <w:spacing w:after="0" w:line="158" w:lineRule="exact"/>
        <w:rPr>
          <w:rFonts w:ascii="Times New Roman" w:cs="Times New Roman" w:eastAsia="Times New Roman" w:hAnsi="Times New Roman"/>
          <w:sz w:val="18"/>
          <w:szCs w:val="18"/>
          <w:color w:val="auto"/>
        </w:rPr>
      </w:pPr>
    </w:p>
    <w:p>
      <w:pPr>
        <w:ind w:left="-40" w:right="320" w:firstLine="464"/>
        <w:spacing w:after="0" w:line="284" w:lineRule="auto"/>
        <w:tabs>
          <w:tab w:leader="none" w:pos="66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 therefrom,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left="-40" w:right="620" w:firstLine="464"/>
        <w:spacing w:after="0" w:line="284" w:lineRule="auto"/>
        <w:tabs>
          <w:tab w:leader="none" w:pos="64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provided below.</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ectPr>
          <w:pgSz w:w="11900" w:h="16838" w:orient="portrait"/>
          <w:cols w:equalWidth="0" w:num="1">
            <w:col w:w="11340"/>
          </w:cols>
          <w:pgMar w:left="280" w:top="268" w:right="279" w:bottom="1440" w:gutter="0" w:footer="0" w:header="0"/>
        </w:sectPr>
      </w:pPr>
    </w:p>
    <w:bookmarkStart w:id="42" w:name="page43"/>
    <w:bookmarkEnd w:id="42"/>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TPG SPECIALTY LENDING, INC.</w:t>
      </w:r>
    </w:p>
    <w:p>
      <w:pPr>
        <w:spacing w:after="0" w:line="23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17145</wp:posOffset>
            </wp:positionV>
            <wp:extent cx="26587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TSL ADVISERS, LLC</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17145</wp:posOffset>
            </wp:positionV>
            <wp:extent cx="26587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270"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6073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INCORPORATED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6073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6073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6073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6073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6073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219"/>
          </w:cols>
          <w:pgMar w:left="240" w:top="270"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Underwriter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Merrill Lynch, Pierce, Fenner &amp; Smith</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Capital BD,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Janney Montgomery Scott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Schedule 1</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1456055</wp:posOffset>
            </wp:positionV>
            <wp:extent cx="668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1610360</wp:posOffset>
            </wp:positionV>
            <wp:extent cx="6686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1627505</wp:posOffset>
            </wp:positionV>
            <wp:extent cx="6686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ectPr>
          <w:pgSz w:w="11900" w:h="16838" w:orient="portrait"/>
          <w:cols w:equalWidth="0" w:num="2">
            <w:col w:w="9640" w:space="720"/>
            <w:col w:w="1060"/>
          </w:cols>
          <w:pgMar w:left="240" w:top="270"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25" w:lineRule="exact"/>
        <w:rPr>
          <w:sz w:val="20"/>
          <w:szCs w:val="20"/>
          <w:color w:val="auto"/>
        </w:rPr>
      </w:pPr>
    </w:p>
    <w:p>
      <w:pPr>
        <w:jc w:val="center"/>
        <w:ind w:right="434"/>
        <w:spacing w:after="0"/>
        <w:rPr>
          <w:sz w:val="20"/>
          <w:szCs w:val="20"/>
          <w:color w:val="auto"/>
        </w:rPr>
      </w:pPr>
      <w:r>
        <w:rPr>
          <w:rFonts w:ascii="Times New Roman" w:cs="Times New Roman" w:eastAsia="Times New Roman" w:hAnsi="Times New Roman"/>
          <w:sz w:val="18"/>
          <w:szCs w:val="18"/>
          <w:color w:val="auto"/>
        </w:rPr>
        <w:t>Subsidiaries of the Company</w:t>
      </w:r>
    </w:p>
    <w:p>
      <w:pPr>
        <w:spacing w:after="0" w:line="131" w:lineRule="exact"/>
        <w:rPr>
          <w:sz w:val="20"/>
          <w:szCs w:val="20"/>
          <w:color w:val="auto"/>
        </w:rPr>
      </w:pPr>
    </w:p>
    <w:p>
      <w:pPr>
        <w:ind w:left="446" w:hanging="446"/>
        <w:spacing w:after="0"/>
        <w:tabs>
          <w:tab w:leader="none" w:pos="4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 Lending, LLC</w:t>
      </w:r>
    </w:p>
    <w:p>
      <w:pPr>
        <w:spacing w:after="0" w:line="130"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SL SPV, LLC</w:t>
      </w:r>
    </w:p>
    <w:p>
      <w:pPr>
        <w:sectPr>
          <w:pgSz w:w="11900" w:h="16838" w:orient="portrait"/>
          <w:cols w:equalWidth="0" w:num="1">
            <w:col w:w="10966"/>
          </w:cols>
          <w:pgMar w:left="694" w:top="270"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Information Provided Orally by Underwriters</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3"/>
              </w:rPr>
              <w:t>1.</w:t>
            </w:r>
          </w:p>
        </w:tc>
        <w:tc>
          <w:tcPr>
            <w:tcW w:w="2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Underwritten Shares: [</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3"/>
              </w:rPr>
              <w:t>2.</w:t>
            </w:r>
          </w:p>
        </w:tc>
        <w:tc>
          <w:tcPr>
            <w:tcW w:w="2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Public Offering Price Per Share: $[  ]</w:t>
            </w:r>
          </w:p>
        </w:tc>
      </w:tr>
    </w:tbl>
    <w:p>
      <w:pPr>
        <w:sectPr>
          <w:pgSz w:w="11900" w:h="16838" w:orient="portrait"/>
          <w:cols w:equalWidth="0" w:num="1">
            <w:col w:w="11420"/>
          </w:cols>
          <w:pgMar w:left="240" w:top="270"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tbl>
      <w:tblPr>
        <w:tblLayout w:type="fixed"/>
        <w:tblInd w:w="10140" w:type="dxa"/>
        <w:tblCellMar>
          <w:top w:w="0" w:type="dxa"/>
          <w:left w:w="0" w:type="dxa"/>
          <w:bottom w:w="0" w:type="dxa"/>
          <w:right w:w="0" w:type="dxa"/>
        </w:tblCellMar>
      </w:tblPr>
      <w:tr>
        <w:trPr>
          <w:trHeight w:val="234"/>
        </w:trPr>
        <w:tc>
          <w:tcPr>
            <w:tcW w:w="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referred to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10179</w:t>
      </w:r>
    </w:p>
    <w:p>
      <w:pPr>
        <w:spacing w:after="0" w:line="207" w:lineRule="exact"/>
        <w:rPr>
          <w:sz w:val="20"/>
          <w:szCs w:val="20"/>
          <w:color w:val="auto"/>
        </w:rPr>
      </w:pPr>
    </w:p>
    <w:p>
      <w:pPr>
        <w:jc w:val="center"/>
        <w:ind w:left="3720"/>
        <w:spacing w:after="0"/>
        <w:tabs>
          <w:tab w:leader="none" w:pos="3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TPG Specialty Lending, Inc. –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you, as Representatives of the several Underwriters, propose to enter into an Underwriting Agreement (the “Underwriting Agreement”) with TPG Specialty Lending, Inc., a Delaware corporation (the “Company”) and TSL Advisers, LLC, providing for the public offering (the “Public Offering”) by the several Underwriters named in Schedule 1 to the Underwriting Agreement (the “Underwriters”), of common stock, par value $0.01, of the Company (the “Shares”). Capitalized terms used herein and not otherwise defined shall have the meanings set forth in the Underwriting Agreement.</w:t>
      </w:r>
    </w:p>
    <w:p>
      <w:pPr>
        <w:spacing w:after="0" w:line="184" w:lineRule="exact"/>
        <w:rPr>
          <w:sz w:val="20"/>
          <w:szCs w:val="20"/>
          <w:color w:val="auto"/>
        </w:rPr>
      </w:pPr>
    </w:p>
    <w:p>
      <w:pPr>
        <w:ind w:right="60" w:firstLine="913"/>
        <w:spacing w:after="0" w:line="254" w:lineRule="auto"/>
        <w:rPr>
          <w:sz w:val="20"/>
          <w:szCs w:val="20"/>
          <w:color w:val="auto"/>
        </w:rPr>
      </w:pPr>
      <w:r>
        <w:rPr>
          <w:rFonts w:ascii="Times New Roman" w:cs="Times New Roman" w:eastAsia="Times New Roman" w:hAnsi="Times New Roman"/>
          <w:sz w:val="18"/>
          <w:szCs w:val="18"/>
          <w:color w:val="auto"/>
        </w:rPr>
        <w:t>In consideration of the Underwriters’ agreement to purchase and make the Public Offering of the Shares, and for other good and valuable consideration receipt of which is hereby acknowledged, the undersigned hereby agrees that, without the prior written consent of J.P. Morgan Securities LLC, Merrill Lynch, Pierce, Fenner &amp; Smith Incorporated and Goldman, Sachs &amp; Co., on behalf of the Underwriters, the undersigned will not, during the “Lock-Up Period,” which term shall mean the period ending 180 days after the date of the prospectus relating to the Public Offering (the “Prospectus”) for all of the undersigned’s shares of common stock, $0.01 per share par value, of the Company (the “Common Stock”), and the period ending 270 days after the date of the Prospectus for 50% of the undersigned’s shares of Common Stock, (1)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(the “Commission”) and</w:t>
      </w:r>
    </w:p>
    <w:p>
      <w:pPr>
        <w:sectPr>
          <w:pgSz w:w="11900" w:h="16838" w:orient="portrait"/>
          <w:cols w:equalWidth="0" w:num="1">
            <w:col w:w="11420"/>
          </w:cols>
          <w:pgMar w:left="240" w:top="270" w:right="239" w:bottom="1440" w:gutter="0" w:footer="0" w:header="0"/>
        </w:sectPr>
      </w:pPr>
    </w:p>
    <w:bookmarkStart w:id="48" w:name="page49"/>
    <w:bookmarkEnd w:id="48"/>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any shares acquired by the undersigned in any private placement transactions concurrent with the Public Offering and Common Stock or such other securities which may be issued upon exercise of a stock option or warrant), or publicly disclose the intention to make any offer, sale, pledge or disposition,</w:t>
      </w:r>
    </w:p>
    <w:p>
      <w:pPr>
        <w:ind w:right="20" w:firstLine="8"/>
        <w:spacing w:after="0" w:line="252"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 (except for purposes of clause (3) for such demands or exercises as will not require or permit any public filing or other public disclosure to be made in connection therewith until after the expiration of the Lock-Up Period referred to above), in each case other than:</w:t>
      </w:r>
    </w:p>
    <w:p>
      <w:pPr>
        <w:spacing w:after="0" w:line="9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such other securities as a bona fide gift or gifts;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Common Stock or such other securities as donations to charitable organizations;</w:t>
      </w:r>
    </w:p>
    <w:p>
      <w:pPr>
        <w:spacing w:after="0" w:line="130"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such other securities as a result of the operation of law, such as estate, other testamentary document or intestate succession;</w:t>
      </w:r>
    </w:p>
    <w:p>
      <w:pPr>
        <w:spacing w:after="0" w:line="67" w:lineRule="exact"/>
        <w:rPr>
          <w:rFonts w:ascii="Times New Roman" w:cs="Times New Roman" w:eastAsia="Times New Roman" w:hAnsi="Times New Roman"/>
          <w:sz w:val="18"/>
          <w:szCs w:val="18"/>
          <w:color w:val="auto"/>
        </w:rPr>
      </w:pPr>
    </w:p>
    <w:p>
      <w:pPr>
        <w:ind w:left="900" w:right="340" w:hanging="446"/>
        <w:spacing w:after="0" w:line="266" w:lineRule="auto"/>
        <w:tabs>
          <w:tab w:leader="none" w:pos="9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shares of Common Stock or such other securities to any immediate family member of the undersigned or any trust for the direct or indirect benefit of the undersigned or any immediate family member of the undersigned (for purposes of this Letter Agreement, “immediate family” shall mean any relationship by blood, marriage or adoption, not more remote than first cousin);</w:t>
      </w:r>
    </w:p>
    <w:p>
      <w:pPr>
        <w:spacing w:after="0" w:line="81" w:lineRule="exact"/>
        <w:rPr>
          <w:rFonts w:ascii="Times New Roman" w:cs="Times New Roman" w:eastAsia="Times New Roman" w:hAnsi="Times New Roman"/>
          <w:sz w:val="18"/>
          <w:szCs w:val="18"/>
          <w:color w:val="auto"/>
        </w:rPr>
      </w:pPr>
    </w:p>
    <w:p>
      <w:pPr>
        <w:ind w:left="900" w:right="160" w:hanging="446"/>
        <w:spacing w:after="0" w:line="266" w:lineRule="auto"/>
        <w:tabs>
          <w:tab w:leader="none" w:pos="9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or other business entity, transfers or distributions of shares of Common Stock or such other securities to (1) its limited or general partners, members or stockholders or (2) its direct or indirect affiliates or other entities or funds controlled or managed by the undersigned or its affiliates; or</w:t>
      </w:r>
    </w:p>
    <w:p>
      <w:pPr>
        <w:spacing w:after="0" w:line="81" w:lineRule="exact"/>
        <w:rPr>
          <w:rFonts w:ascii="Times New Roman" w:cs="Times New Roman" w:eastAsia="Times New Roman" w:hAnsi="Times New Roman"/>
          <w:sz w:val="18"/>
          <w:szCs w:val="18"/>
          <w:color w:val="auto"/>
        </w:rPr>
      </w:pPr>
    </w:p>
    <w:p>
      <w:pPr>
        <w:ind w:left="900" w:right="360" w:hanging="446"/>
        <w:spacing w:after="0" w:line="282" w:lineRule="auto"/>
        <w:tabs>
          <w:tab w:leader="none" w:pos="9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such other securities acquired in open market transactions or acquired from the Company under its dividend reinvestment plan after the completion of the Public Offering;</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transfer or distribution pursuant to clauses (i) through (v), each donee, transferee or distributee shall execute and deliver to the Representatives a lock-up letter in the form of this paragraph; and provided, further, that in the case of any transfer or distribution pursuant to clauses</w:t>
      </w:r>
    </w:p>
    <w:p>
      <w:pPr>
        <w:ind w:right="240" w:firstLine="8"/>
        <w:spacing w:after="0" w:line="255" w:lineRule="auto"/>
        <w:tabs>
          <w:tab w:leader="none" w:pos="21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 no filing by any party (donor, donee, transferor or transferee) under the Securities Exchange Act of 1934, as amended, or other public announcement shall be required or shall be made voluntarily in connection with such transfer or distribution (other than a filing on a Form 5 made after the expiration of the Lock-Up Period referred to above).</w:t>
      </w:r>
    </w:p>
    <w:p>
      <w:pPr>
        <w:spacing w:after="0" w:line="186" w:lineRule="exact"/>
        <w:rPr>
          <w:sz w:val="20"/>
          <w:szCs w:val="20"/>
          <w:color w:val="auto"/>
        </w:rPr>
      </w:pPr>
    </w:p>
    <w:p>
      <w:pPr>
        <w:ind w:right="100" w:firstLine="913"/>
        <w:spacing w:after="0" w:line="266" w:lineRule="auto"/>
        <w:rPr>
          <w:sz w:val="20"/>
          <w:szCs w:val="20"/>
          <w:color w:val="auto"/>
        </w:rPr>
      </w:pPr>
      <w:r>
        <w:rPr>
          <w:rFonts w:ascii="Times New Roman" w:cs="Times New Roman" w:eastAsia="Times New Roman" w:hAnsi="Times New Roman"/>
          <w:sz w:val="18"/>
          <w:szCs w:val="18"/>
          <w:color w:val="auto"/>
        </w:rPr>
        <w:t xml:space="preserve">Furthermore, the undersigned may, if permitted by the Company, establish a written trading plan meeting the requirements of Rule 10b5-1 under the Exchange Act;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establishment of such plan does not give rise to any filing or public announcement and that no sales or other transfers occur under such plan during the Lock-Up Period referred to above.</w:t>
      </w:r>
    </w:p>
    <w:p>
      <w:pPr>
        <w:spacing w:after="0" w:line="176"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the Company is not then an Emerging Growth Company then if (1) during the last 17 days of the Lock-Up Period, the Company issues an earnings release or material news or a material event relating to the Company occurs; or (2) prior to the expiration of the Lock-Up Period, the Company announces that it will release earnings results during the 16-day period beginning on</w:t>
      </w:r>
    </w:p>
    <w:p>
      <w:pPr>
        <w:sectPr>
          <w:pgSz w:w="11900" w:h="16838" w:orient="portrait"/>
          <w:cols w:equalWidth="0" w:num="1">
            <w:col w:w="11420"/>
          </w:cols>
          <w:pgMar w:left="240" w:top="270" w:right="239" w:bottom="1440" w:gutter="0" w:footer="0" w:header="0"/>
        </w:sectPr>
      </w:pPr>
    </w:p>
    <w:bookmarkStart w:id="49" w:name="page50"/>
    <w:bookmarkEnd w:id="49"/>
    <w:p>
      <w:pPr>
        <w:ind w:right="5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last day of the Lock-Up Period, the restrictions imposed by this Letter Agreement shall continue to apply until the expiration of the 18-day period beginning on the issuance of the earnings release or the occurrence of the material news or material event.</w:t>
      </w:r>
    </w:p>
    <w:p>
      <w:pPr>
        <w:spacing w:after="0" w:line="162" w:lineRule="exact"/>
        <w:rPr>
          <w:sz w:val="20"/>
          <w:szCs w:val="20"/>
          <w:color w:val="auto"/>
        </w:rPr>
      </w:pPr>
    </w:p>
    <w:p>
      <w:pPr>
        <w:jc w:val="both"/>
        <w:ind w:right="220" w:firstLine="913"/>
        <w:spacing w:after="0" w:line="313" w:lineRule="auto"/>
        <w:rPr>
          <w:sz w:val="20"/>
          <w:szCs w:val="20"/>
          <w:color w:val="auto"/>
        </w:rPr>
      </w:pPr>
      <w:r>
        <w:rPr>
          <w:rFonts w:ascii="Times New Roman" w:cs="Times New Roman" w:eastAsia="Times New Roman" w:hAnsi="Times New Roman"/>
          <w:sz w:val="17"/>
          <w:szCs w:val="17"/>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38" w:lineRule="exact"/>
        <w:rPr>
          <w:sz w:val="20"/>
          <w:szCs w:val="20"/>
          <w:color w:val="auto"/>
        </w:rPr>
      </w:pPr>
    </w:p>
    <w:p>
      <w:pPr>
        <w:ind w:right="160" w:firstLine="913"/>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if (i) prior to entering into the Underwriting Agreement, the Company notifies the Representatives in writing that the Company does not intend to proceed with the Public Offering of Shares and files an application to withdraw the registration statement related to the offering; (ii) the Underwriting Agreement has not been executed by all parties by August 1, 2014; or (iii)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88" w:lineRule="exact"/>
        <w:rPr>
          <w:sz w:val="20"/>
          <w:szCs w:val="20"/>
          <w:color w:val="auto"/>
        </w:rPr>
      </w:pPr>
    </w:p>
    <w:p>
      <w:pPr>
        <w:ind w:right="620" w:firstLine="913"/>
        <w:spacing w:after="0" w:line="282" w:lineRule="auto"/>
        <w:rPr>
          <w:sz w:val="20"/>
          <w:szCs w:val="20"/>
          <w:color w:val="auto"/>
        </w:rPr>
      </w:pPr>
      <w:r>
        <w:rPr>
          <w:rFonts w:ascii="Times New Roman" w:cs="Times New Roman" w:eastAsia="Times New Roman" w:hAnsi="Times New Roman"/>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300"/>
          </w:cols>
          <w:pgMar w:left="240" w:top="270" w:right="359" w:bottom="1440" w:gutter="0" w:footer="0" w:header="0"/>
        </w:sectPr>
      </w:pPr>
    </w:p>
    <w:bookmarkStart w:id="50" w:name="page51"/>
    <w:bookmarkEnd w:id="50"/>
    <w:p>
      <w:pPr>
        <w:ind w:left="56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3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4028440</wp:posOffset>
            </wp:positionH>
            <wp:positionV relativeFrom="paragraph">
              <wp:posOffset>17145</wp:posOffset>
            </wp:positionV>
            <wp:extent cx="24612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270"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jc w:val="right"/>
        <w:spacing w:after="0"/>
        <w:tabs>
          <w:tab w:leader="none" w:pos="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Merrill Lynch, Pierce, Fenner &amp; Smith</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referred to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10179</w:t>
      </w:r>
    </w:p>
    <w:p>
      <w:pPr>
        <w:spacing w:after="0" w:line="207" w:lineRule="exact"/>
        <w:rPr>
          <w:sz w:val="20"/>
          <w:szCs w:val="20"/>
          <w:color w:val="auto"/>
        </w:rPr>
      </w:pPr>
    </w:p>
    <w:p>
      <w:pPr>
        <w:jc w:val="center"/>
        <w:ind w:left="3720"/>
        <w:spacing w:after="0"/>
        <w:tabs>
          <w:tab w:leader="none" w:pos="3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TPG Specialty Lending, Inc. –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you, as Representatives of the several Underwriters, propose to enter into an Underwriting Agreement (the “Underwriting Agreement”) with TPG Specialty Lending, Inc., a Delaware corporation (the “Company”) and TSL Advisers, LLC, providing for the public offering (the “Public Offering”) by the several Underwriters named in Schedule 1 to the Underwriting Agreement (the “Underwriters”), of common stock, par value $0.01, of the Company (the “Shares”). Capitalized terms used herein and not otherwise defined shall have the meanings set forth in the Underwriting Agreement.</w:t>
      </w:r>
    </w:p>
    <w:p>
      <w:pPr>
        <w:spacing w:after="0" w:line="18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consideration of the Underwriters’ agreement to purchase and make the Public Offering of the Shares, and for other good and valuable consideration receipt of which is hereby acknowledged, the undersigned hereby agrees that, without the prior written consent of J.P. Morgan Securities LLC, Merrill Lynch, Pierce, Fenner &amp; Smith Incorporated and Goldman, Sachs &amp; Co., on behalf of the Underwriters, the undersigned will not, during the “Lock-Up Period,” which term shall mean the period ending 365 days after the date of the prospectus relating to the Public Offering (the “Prospectus”) for all of the undersigned’s shares of common stock, $0.01 per share par value, of the Company (the “Common Stock”), (1)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(the “Commission”) and including any shares acquired by the undersigned in any private placement transactions concurrent with the Public Offering</w:t>
      </w:r>
    </w:p>
    <w:p>
      <w:pPr>
        <w:sectPr>
          <w:pgSz w:w="11900" w:h="16838" w:orient="portrait"/>
          <w:cols w:equalWidth="0" w:num="1">
            <w:col w:w="11420"/>
          </w:cols>
          <w:pgMar w:left="240" w:top="270" w:right="239" w:bottom="1440" w:gutter="0" w:footer="0" w:header="0"/>
        </w:sectPr>
      </w:pPr>
    </w:p>
    <w:bookmarkStart w:id="52" w:name="page53"/>
    <w:bookmarkEnd w:id="52"/>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Common Stock or such other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Common Stock or any security convertible into or exercisable or exchangeable for Common Stock (except for purposes of clause (3) for such demands or exercises as will not require or permit any public filing or other public disclosure to be made in connection therewith until after the expiration of the Lock-Up Period referred to above), in each case other than:</w:t>
      </w:r>
    </w:p>
    <w:p>
      <w:pPr>
        <w:spacing w:after="0" w:line="95" w:lineRule="exact"/>
        <w:rPr>
          <w:sz w:val="20"/>
          <w:szCs w:val="20"/>
          <w:color w:val="auto"/>
        </w:rPr>
      </w:pPr>
    </w:p>
    <w:p>
      <w:pPr>
        <w:ind w:left="1480" w:hanging="567"/>
        <w:spacing w:after="0"/>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such other securities as a bona fide gift or gifts;</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Common Stock or such other securities as donations to charitable organizations;</w:t>
      </w:r>
    </w:p>
    <w:p>
      <w:pPr>
        <w:spacing w:after="0" w:line="130" w:lineRule="exact"/>
        <w:rPr>
          <w:rFonts w:ascii="Times New Roman" w:cs="Times New Roman" w:eastAsia="Times New Roman" w:hAnsi="Times New Roman"/>
          <w:sz w:val="18"/>
          <w:szCs w:val="18"/>
          <w:color w:val="auto"/>
        </w:rPr>
      </w:pPr>
    </w:p>
    <w:p>
      <w:pPr>
        <w:ind w:left="1480" w:right="600" w:hanging="567"/>
        <w:spacing w:after="0" w:line="282" w:lineRule="auto"/>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such other securities as a result of the operation of law, such as estate, other testamentary document or intestate succession;</w:t>
      </w:r>
    </w:p>
    <w:p>
      <w:pPr>
        <w:spacing w:after="0" w:line="67" w:lineRule="exact"/>
        <w:rPr>
          <w:rFonts w:ascii="Times New Roman" w:cs="Times New Roman" w:eastAsia="Times New Roman" w:hAnsi="Times New Roman"/>
          <w:sz w:val="18"/>
          <w:szCs w:val="18"/>
          <w:color w:val="auto"/>
        </w:rPr>
      </w:pPr>
    </w:p>
    <w:p>
      <w:pPr>
        <w:ind w:left="1480" w:right="80" w:hanging="567"/>
        <w:spacing w:after="0" w:line="266" w:lineRule="auto"/>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shares of Common Stock or such other securities to any immediate family member of the undersigned or any trust for the direct or indirect benefit of the undersigned or any immediate family member of the undersigned (for purposes of this Letter Agreement, “immediate family” shall mean any relationship by blood, marriage or adoption, not more remote than first cousin);</w:t>
      </w:r>
    </w:p>
    <w:p>
      <w:pPr>
        <w:spacing w:after="0" w:line="81" w:lineRule="exact"/>
        <w:rPr>
          <w:rFonts w:ascii="Times New Roman" w:cs="Times New Roman" w:eastAsia="Times New Roman" w:hAnsi="Times New Roman"/>
          <w:sz w:val="18"/>
          <w:szCs w:val="18"/>
          <w:color w:val="auto"/>
        </w:rPr>
      </w:pPr>
    </w:p>
    <w:p>
      <w:pPr>
        <w:jc w:val="both"/>
        <w:ind w:left="1480" w:right="380" w:hanging="567"/>
        <w:spacing w:after="0" w:line="266" w:lineRule="auto"/>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or other business entity, transfers or distributions of shares of Common Stock or such other securities to (1) its limited or general partners, members or stockholders or (2) its direct or indirect affiliates or other entities or funds controlled or managed by the undersigned or its affiliates; or</w:t>
      </w:r>
    </w:p>
    <w:p>
      <w:pPr>
        <w:spacing w:after="0" w:line="81" w:lineRule="exact"/>
        <w:rPr>
          <w:rFonts w:ascii="Times New Roman" w:cs="Times New Roman" w:eastAsia="Times New Roman" w:hAnsi="Times New Roman"/>
          <w:sz w:val="18"/>
          <w:szCs w:val="18"/>
          <w:color w:val="auto"/>
        </w:rPr>
      </w:pPr>
    </w:p>
    <w:p>
      <w:pPr>
        <w:ind w:left="1480" w:right="320" w:hanging="567"/>
        <w:spacing w:after="0" w:line="266" w:lineRule="auto"/>
        <w:tabs>
          <w:tab w:leader="none" w:pos="14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such other securities acquired in open market transactions or acquired from the Company under its dividend reinvestment plan after the completion of the Public Offering, other than those shares of Common Stock acquired pursuant to the undersigned’s 10b5-1 Plan with Goldman, Sachs &amp; Co., dated March 11, 2014;</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transfer or distribution pursuant to clauses (i) through (v), each donee, transferee or distributee shall execute and deliver to the Representatives a lock-up letter in the form of this paragraph; and provided, further, that in the case of any transfer or distribution pursuant to clauses</w:t>
      </w:r>
    </w:p>
    <w:p>
      <w:pPr>
        <w:ind w:right="220" w:firstLine="8"/>
        <w:spacing w:after="0" w:line="255" w:lineRule="auto"/>
        <w:tabs>
          <w:tab w:leader="none" w:pos="2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 no filing by any party (donor, donee, transferor or transferee) under the Securities Exchange Act of 1934, as amended, or other public announcement shall be required or shall be made voluntarily in connection with such transfer or distribution (other than a filing on a Form 5 made after the expiration of the Lock-Up Period referred to above).</w:t>
      </w:r>
    </w:p>
    <w:p>
      <w:pPr>
        <w:spacing w:after="0" w:line="18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Furthermore, the undersigned may, if permitted by the Company, establish a written trading plan meeting the requirements of Rule 10b5-1 under the Exchange Act;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establishment of such plan does not give rise to any filing or public announcement and that no sales or other transfers occur under such plan during the Lock-Up Period referred to above.</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the Company is not then an Emerging Growth Company then if (1) during the last 17 days of the Lock-Up Period, the Company issues an earnings release or material</w:t>
      </w:r>
    </w:p>
    <w:p>
      <w:pPr>
        <w:sectPr>
          <w:pgSz w:w="11900" w:h="16838" w:orient="portrait"/>
          <w:cols w:equalWidth="0" w:num="1">
            <w:col w:w="11400"/>
          </w:cols>
          <w:pgMar w:left="240" w:top="270" w:right="259" w:bottom="1440" w:gutter="0" w:footer="0" w:header="0"/>
        </w:sectPr>
      </w:pPr>
    </w:p>
    <w:bookmarkStart w:id="53" w:name="page54"/>
    <w:bookmarkEnd w:id="5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news or a material event relating to the Company occurs; or (2) prior to the expiration of the Lock-Up Period, the Company announces that it will release earnings results during the 16-day period beginning on the last day of the Lock-Up Period, the restrictions imposed by this Letter Agreement shall continue to apply until the expiration of the 18-day period beginning on the issuance of the earnings release or the occurrence of the material news or material event.</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62"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firstLine="456"/>
        <w:spacing w:after="0" w:line="276" w:lineRule="auto"/>
        <w:rPr>
          <w:sz w:val="20"/>
          <w:szCs w:val="20"/>
          <w:color w:val="auto"/>
        </w:rPr>
      </w:pPr>
      <w:r>
        <w:rPr>
          <w:rFonts w:ascii="Times New Roman" w:cs="Times New Roman" w:eastAsia="Times New Roman" w:hAnsi="Times New Roman"/>
          <w:sz w:val="17"/>
          <w:szCs w:val="17"/>
          <w:color w:val="auto"/>
        </w:rPr>
        <w:t>The undersigned understands that, if (i) prior to entering into the Underwriting Agreement, the Company notifies the Representatives in writing that the Company does not intend to proceed with the Public Offering of Shares and files an application to withdraw the registration statement related to the offering;</w:t>
      </w:r>
    </w:p>
    <w:p>
      <w:pPr>
        <w:spacing w:after="0" w:line="1" w:lineRule="exact"/>
        <w:rPr>
          <w:sz w:val="20"/>
          <w:szCs w:val="20"/>
          <w:color w:val="auto"/>
        </w:rPr>
      </w:pPr>
    </w:p>
    <w:p>
      <w:pPr>
        <w:ind w:right="400" w:firstLine="8"/>
        <w:spacing w:after="0" w:line="254" w:lineRule="auto"/>
        <w:tabs>
          <w:tab w:leader="none" w:pos="26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has not been executed by all parties by August 1, 2014; or (iii)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8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380"/>
          </w:cols>
          <w:pgMar w:left="240" w:top="270" w:right="279" w:bottom="1440" w:gutter="0" w:footer="0" w:header="0"/>
        </w:sectPr>
      </w:pPr>
    </w:p>
    <w:bookmarkStart w:id="54" w:name="page55"/>
    <w:bookmarkEnd w:id="54"/>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b w:val="1"/>
          <w:bCs w:val="1"/>
          <w:color w:val="auto"/>
        </w:rPr>
        <w:t>By: TSL Advisers, LLC</w:t>
      </w:r>
    </w:p>
    <w:p>
      <w:pPr>
        <w:spacing w:after="0" w:line="24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17145</wp:posOffset>
            </wp:positionV>
            <wp:extent cx="26587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270"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174625</wp:posOffset>
            </wp:positionV>
            <wp:extent cx="6089015" cy="21355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8901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March 17,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TX 76102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have acted as counsel to TPG Specialty Lending,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of a registration statement on Form N-2 (No. 333-193986)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offering by the Company of its common shares, par value $0.01 per share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arriving at the opinion expressed below, we have reviewed the following documents:</w:t>
      </w:r>
    </w:p>
    <w:p>
      <w:pPr>
        <w:spacing w:after="0" w:line="131" w:lineRule="exact"/>
        <w:rPr>
          <w:sz w:val="20"/>
          <w:szCs w:val="20"/>
          <w:color w:val="auto"/>
        </w:rPr>
      </w:pPr>
    </w:p>
    <w:p>
      <w:pPr>
        <w:ind w:left="900" w:hanging="446"/>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30" w:lineRule="exact"/>
        <w:rPr>
          <w:rFonts w:ascii="Times New Roman" w:cs="Times New Roman" w:eastAsia="Times New Roman" w:hAnsi="Times New Roman"/>
          <w:sz w:val="18"/>
          <w:szCs w:val="18"/>
          <w:color w:val="auto"/>
        </w:rPr>
      </w:pPr>
    </w:p>
    <w:p>
      <w:pPr>
        <w:ind w:left="900" w:right="80" w:hanging="446"/>
        <w:spacing w:after="0" w:line="261"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underwriting agreement by and among the Company, TSL Advisers, LLC, and J.P. Morgan Securities LLC, Merrill Lynch, Pierce, Fenner &amp; Smith Incorporated, Goldman, Sachs &amp; Co., Citigroup Global Markets Inc., Wells Fargo Securities, LLC and Barclays Capital Inc., as representatives of the several underwriters named therein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included as Exhibit (h) to the Registration Statement; and</w:t>
      </w:r>
    </w:p>
    <w:p>
      <w:pPr>
        <w:spacing w:after="0" w:line="85" w:lineRule="exact"/>
        <w:rPr>
          <w:rFonts w:ascii="Times New Roman" w:cs="Times New Roman" w:eastAsia="Times New Roman" w:hAnsi="Times New Roman"/>
          <w:sz w:val="18"/>
          <w:szCs w:val="18"/>
          <w:color w:val="auto"/>
        </w:rPr>
      </w:pPr>
    </w:p>
    <w:p>
      <w:pPr>
        <w:ind w:left="900" w:right="180" w:hanging="446"/>
        <w:spacing w:after="0" w:line="266"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Company, included as Exhibit (a)(1) to the Registration Statement, the Certificate of Amendment to the Amended and Restated Certificate of Incorporation of the Company, included as Exhibit (a)(2) to the Registration Statement, and the Bylaws of the Company, included as Exhibit (b)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140335</wp:posOffset>
            </wp:positionV>
            <wp:extent cx="6089015" cy="774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89015" cy="7747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 p. 2</w:t>
      </w:r>
    </w:p>
    <w:p>
      <w:pPr>
        <w:spacing w:after="0" w:line="15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w:t>
      </w:r>
    </w:p>
    <w:p>
      <w:pPr>
        <w:spacing w:after="0" w:line="162"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(i) the accuracy as to factual matters of each document we have reviewed and (ii) upon issuance, that valid book-entry notations for the issuance of the Securities in uncertificated form have been duly made in the share register of the Company.</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Based on the foregoing, and subject to the further assumptions and qualifications set forth below, it is our opinion that upon (i) due action of the pricing committee of the Board of Directors of the Company and (ii) due issuance of the Securities against payment therefor in the manner described in the Underwriting Agreement, the Securities will be duly authorized by all necessary corporate action of the Company and will be validly issued by the Company and fully paid and nonassessable.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foregoing opinion is limited to the General Corporation Law of the State of Delaware.</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hereby consent to the use of our name in the prospectus constituting a part of the Registration Statement under the heading “Legal Matters” as counsel for the Company that has passed on the validity of the Securities, and to the use of this opinion as a part (Exhibit (l)) of the Registration Statement. In giving this consent, we do not thereby admit that we are within the category of persons whose consent is required under Section 7 of the Securities Act or the rules and regulations of the Commission thereunder. 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w:t>
      </w:r>
    </w:p>
    <w:p>
      <w:pPr>
        <w:spacing w:after="0" w:line="200" w:lineRule="exact"/>
        <w:rPr>
          <w:sz w:val="20"/>
          <w:szCs w:val="20"/>
          <w:color w:val="auto"/>
        </w:rPr>
      </w:pPr>
    </w:p>
    <w:p>
      <w:pPr>
        <w:spacing w:after="0" w:line="2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Adam E. Fleisher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17145</wp:posOffset>
            </wp:positionV>
            <wp:extent cx="27184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Adam E. Fleisher, a Partner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270" w:right="2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1958340</wp:posOffset>
            </wp:positionV>
            <wp:extent cx="151765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1087120</wp:posOffset>
            </wp:positionH>
            <wp:positionV relativeFrom="paragraph">
              <wp:posOffset>157480</wp:posOffset>
            </wp:positionV>
            <wp:extent cx="3567430" cy="1577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7430"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Code of Ethics and Securities Trading Policy</w:t>
      </w:r>
    </w:p>
    <w:p>
      <w:pPr>
        <w:spacing w:after="0" w:line="21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Adopted: August 9, 2011</w:t>
      </w:r>
    </w:p>
    <w:p>
      <w:pPr>
        <w:sectPr>
          <w:pgSz w:w="11900" w:h="16838" w:orient="portrait"/>
          <w:cols w:equalWidth="0" w:num="1">
            <w:col w:w="10220"/>
          </w:cols>
          <w:pgMar w:left="1440" w:top="117"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6920" w:type="dxa"/>
            <w:vAlign w:val="bottom"/>
          </w:tcPr>
          <w:p>
            <w:pPr>
              <w:jc w:val="right"/>
              <w:ind w:right="465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48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6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DEFINITIONS</w:t>
            </w:r>
          </w:p>
        </w:tc>
        <w:tc>
          <w:tcPr>
            <w:tcW w:w="6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SCOPE OF THE CODE</w:t>
            </w:r>
          </w:p>
        </w:tc>
        <w:tc>
          <w:tcPr>
            <w:tcW w:w="6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STANDARDS OF BUSINESS CONDUCT</w:t>
            </w:r>
          </w:p>
        </w:tc>
        <w:tc>
          <w:tcPr>
            <w:tcW w:w="6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 Securities Laws</w:t>
            </w:r>
          </w:p>
        </w:tc>
        <w:tc>
          <w:tcPr>
            <w:tcW w:w="6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Fiduciary Duty</w:t>
            </w:r>
          </w:p>
        </w:tc>
        <w:tc>
          <w:tcPr>
            <w:tcW w:w="6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Conflicts of Interest</w:t>
            </w:r>
          </w:p>
        </w:tc>
        <w:tc>
          <w:tcPr>
            <w:tcW w:w="6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REPORTING AND CERTIFICATION REQUIREMENTS</w:t>
            </w:r>
          </w:p>
        </w:tc>
        <w:tc>
          <w:tcPr>
            <w:tcW w:w="6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Initial and Annual Acknowledgement</w:t>
            </w:r>
          </w:p>
        </w:tc>
        <w:tc>
          <w:tcPr>
            <w:tcW w:w="6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Transactions in Covered Securities</w:t>
            </w:r>
          </w:p>
        </w:tc>
        <w:tc>
          <w:tcPr>
            <w:tcW w:w="6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ENFORCEMENT OF CODE</w:t>
            </w:r>
          </w:p>
        </w:tc>
        <w:tc>
          <w:tcPr>
            <w:tcW w:w="6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ADMINISTRATION OF CODE</w:t>
            </w:r>
          </w:p>
        </w:tc>
        <w:tc>
          <w:tcPr>
            <w:tcW w:w="6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Annual Review of Code of Ethics</w:t>
            </w:r>
          </w:p>
        </w:tc>
        <w:tc>
          <w:tcPr>
            <w:tcW w:w="6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Material Changes</w:t>
            </w:r>
          </w:p>
        </w:tc>
        <w:tc>
          <w:tcPr>
            <w:tcW w:w="6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This Independent Directors Code of Ethics and Securities Trading Policy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has been adopted by TPG Specialty Lending,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compliance with Rule 17j-1 under the Investment Company Act of 1940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 In the Code, “we,” “us” and “our” refer to the Company, unless otherwise specified.</w:t>
      </w:r>
    </w:p>
    <w:p>
      <w:pPr>
        <w:spacing w:after="0" w:line="17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reputation in the investment community, with our investors and with those individuals and organizations with which we have contact depends upon the manner in which we conduct our affairs. To that end, we have adopted the Code to guide us and to help us ensure that we comply with all applicable federal laws, rules and regulations. Our overriding goal is to comply with our fiduciary duty to the Company.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have any doubt as to the appropriateness of any activity, believe that you have violated the Code or become aware of a violation of the Code by another individual, you should promptly consult the Chief Compliance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right="100" w:firstLine="8"/>
        <w:spacing w:after="0" w:line="268" w:lineRule="auto"/>
        <w:tabs>
          <w:tab w:leader="none" w:pos="2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“Beneficial Ownership” </w:t>
      </w:r>
      <w:r>
        <w:rPr>
          <w:rFonts w:ascii="Times New Roman" w:cs="Times New Roman" w:eastAsia="Times New Roman" w:hAnsi="Times New Roman"/>
          <w:sz w:val="18"/>
          <w:szCs w:val="18"/>
          <w:color w:val="auto"/>
        </w:rPr>
        <w:t>means any opportunity, directly or indirectly, to profit or share in the profit from any transaction in securities. It also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over which you exercise investment discretion, even if you do not share in the profits. (See “Personal Trading Policies and Procedures” for a list of securities for which persons are generally presumed to have Beneficial Ownership, for purposes of the Code.)</w:t>
      </w:r>
    </w:p>
    <w:p>
      <w:pPr>
        <w:spacing w:after="0" w:line="170"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“Chief Compliance Officer” </w:t>
      </w:r>
      <w:r>
        <w:rPr>
          <w:rFonts w:ascii="Times New Roman" w:cs="Times New Roman" w:eastAsia="Times New Roman" w:hAnsi="Times New Roman"/>
          <w:sz w:val="18"/>
          <w:szCs w:val="18"/>
          <w:color w:val="auto"/>
        </w:rPr>
        <w:t>means the Chief Compliance Officer of the Company. The Chief Compliance Officer is currently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Justin Meagher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80" w:firstLine="8"/>
        <w:spacing w:after="0" w:line="286" w:lineRule="auto"/>
        <w:tabs>
          <w:tab w:leader="none" w:pos="2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“Covered Person” </w:t>
      </w:r>
      <w:r>
        <w:rPr>
          <w:rFonts w:ascii="Times New Roman" w:cs="Times New Roman" w:eastAsia="Times New Roman" w:hAnsi="Times New Roman"/>
          <w:sz w:val="18"/>
          <w:szCs w:val="18"/>
          <w:color w:val="auto"/>
        </w:rPr>
        <w:t>means any director of the Company who is not an “interested person” of the Company within the meaning of Section 2(a)(19)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1940 Act.</w:t>
      </w:r>
    </w:p>
    <w:p>
      <w:pPr>
        <w:spacing w:after="0" w:line="154" w:lineRule="exact"/>
        <w:rPr>
          <w:rFonts w:ascii="Times New Roman" w:cs="Times New Roman" w:eastAsia="Times New Roman" w:hAnsi="Times New Roman"/>
          <w:sz w:val="18"/>
          <w:szCs w:val="18"/>
          <w:color w:val="auto"/>
        </w:rPr>
      </w:pPr>
    </w:p>
    <w:p>
      <w:pPr>
        <w:ind w:right="80" w:firstLine="8"/>
        <w:spacing w:after="0" w:line="256" w:lineRule="auto"/>
        <w:tabs>
          <w:tab w:leader="none" w:pos="2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“Covered Security” </w:t>
      </w:r>
      <w:r>
        <w:rPr>
          <w:rFonts w:ascii="Times New Roman" w:cs="Times New Roman" w:eastAsia="Times New Roman" w:hAnsi="Times New Roman"/>
          <w:sz w:val="18"/>
          <w:szCs w:val="18"/>
          <w:color w:val="auto"/>
        </w:rPr>
        <w:t>means a security, as defined in Section 2(a)(36) of the 1940 Act, to wit: any note, stock, treasury stock, security future, bond,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266" w:right="259" w:bottom="1440" w:gutter="0" w:footer="0" w:header="0"/>
        </w:sectPr>
      </w:pPr>
    </w:p>
    <w:bookmarkStart w:id="60" w:name="page61"/>
    <w:bookmarkEnd w:id="60"/>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“Covered Security” </w:t>
      </w:r>
      <w:r>
        <w:rPr>
          <w:rFonts w:ascii="Times New Roman" w:cs="Times New Roman" w:eastAsia="Times New Roman" w:hAnsi="Times New Roman"/>
          <w:sz w:val="18"/>
          <w:szCs w:val="18"/>
          <w:color w:val="auto"/>
        </w:rPr>
        <w:t>does not include: (i) direct obligations of the Government of the United States; (ii) bankers’ acceptances, bank certificates of deposit,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paper and high quality short-term debt instruments, including repurchase agreements; and (iii) shares issued by open-end investment companies registered under the 1940 Act. References to a Covered Security in the Code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w:t>
      </w:r>
      <w:r>
        <w:rPr>
          <w:rFonts w:ascii="Times New Roman" w:cs="Times New Roman" w:eastAsia="Times New Roman" w:hAnsi="Times New Roman"/>
          <w:sz w:val="18"/>
          <w:szCs w:val="18"/>
          <w:b w:val="1"/>
          <w:bCs w:val="1"/>
          <w:i w:val="1"/>
          <w:iCs w:val="1"/>
          <w:color w:val="auto"/>
        </w:rPr>
        <w:t>“Derivatives”</w:t>
      </w:r>
      <w:r>
        <w:rPr>
          <w:rFonts w:ascii="Times New Roman" w:cs="Times New Roman" w:eastAsia="Times New Roman" w:hAnsi="Times New Roman"/>
          <w:sz w:val="18"/>
          <w:szCs w:val="18"/>
          <w:color w:val="auto"/>
        </w:rPr>
        <w:t>). Therefore, except as otherwise specifically provided by the Code: (i) any prohibition or requirement of the Code applicable to the purchase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of a Covered Security shall also be applicable to the purchase or sale of a Derivative relating to that Covered Security; and (ii) any prohibition or requirement of the Code applicable to the purchase or sale of a Derivative shall also be applicable to the purchase or sale of a Covered Security relating to that Derivative.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Scope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Code applies in its entirety to all Covered Persons.</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All other “access persons” of the Company are subject to the provisions of a code of ethics adopted by the Company’s investment adviser and approved by the Company’s board of directors in accordance with the requirements of Rule 17j-1 under the 1940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seeks to foster and maintain a reputation for honesty, openness, trust, integrity and professionalism. The confidence and trust placed in us by our investors is something we value greatly and endeavor to protect. That reputation is a vital business asset. Accordingly, we place a high value on ethical conduct by the Company and persons working on its behalf. To further promote the importance of this value, we have adopted the Code. We expect and insist that all Covered Persons meet the letter and spirit of this Code and also live up to our ethical and professional ideals.</w:t>
      </w:r>
    </w:p>
    <w:p>
      <w:pPr>
        <w:spacing w:after="0" w:line="329" w:lineRule="exact"/>
        <w:rPr>
          <w:sz w:val="20"/>
          <w:szCs w:val="20"/>
          <w:color w:val="auto"/>
        </w:rPr>
      </w:pPr>
    </w:p>
    <w:p>
      <w:pPr>
        <w:ind w:left="460" w:hanging="452"/>
        <w:spacing w:after="0"/>
        <w:tabs>
          <w:tab w:leader="none" w:pos="4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Securities Laws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business is highly regulated, and we are committed to compliance with applicable regulations. Each Covered Person also must recognize his or her personal obligations as an individual to understand and obey the laws as they apply in the conduct of his or her duties. They include laws and regulations that apply specifically to investment companies, as well as laws with broader applicability, including prohibitions on insider trading and other forms of market abuse.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6" w:right="239" w:bottom="1440" w:gutter="0" w:footer="0" w:header="0"/>
        </w:sectPr>
      </w:pPr>
    </w:p>
    <w:bookmarkStart w:id="61" w:name="page62"/>
    <w:bookmarkEnd w:id="61"/>
    <w:p>
      <w:pPr>
        <w:ind w:left="460" w:hanging="452"/>
        <w:spacing w:after="0"/>
        <w:tabs>
          <w:tab w:leader="none" w:pos="4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Fiduciary Duty</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fiduciaries and as such, we have affirmative duties of care, honesty, loyalty and good faith to act in the best interests of the Company. The Company’s interests are paramount and come before our own interests.</w:t>
      </w:r>
    </w:p>
    <w:p>
      <w:pPr>
        <w:spacing w:after="0" w:line="310" w:lineRule="exact"/>
        <w:rPr>
          <w:sz w:val="20"/>
          <w:szCs w:val="20"/>
          <w:color w:val="auto"/>
        </w:rPr>
      </w:pPr>
    </w:p>
    <w:p>
      <w:pPr>
        <w:ind w:left="460" w:hanging="452"/>
        <w:spacing w:after="0"/>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 of Interest</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must strive to identify and avoid conflicts of interest with the Company, regardless of how such conflicts may arise. When we identify actual or potential conflicts, we must seek to have controls in place to effectively manage such conflicts. As a matter of business policy, we want to avoid even the appearance of conflicts.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short, Covered Persons should not:</w:t>
      </w:r>
    </w:p>
    <w:p>
      <w:pPr>
        <w:spacing w:after="0" w:line="131" w:lineRule="exact"/>
        <w:rPr>
          <w:sz w:val="20"/>
          <w:szCs w:val="20"/>
          <w:color w:val="auto"/>
        </w:rPr>
      </w:pPr>
    </w:p>
    <w:p>
      <w:pPr>
        <w:ind w:left="460" w:hanging="452"/>
        <w:spacing w:after="0"/>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any device, scheme or artifice to defraud the Company;</w:t>
      </w:r>
    </w:p>
    <w:p>
      <w:pPr>
        <w:spacing w:after="0" w:line="130" w:lineRule="exact"/>
        <w:rPr>
          <w:rFonts w:ascii="Times New Roman" w:cs="Times New Roman" w:eastAsia="Times New Roman" w:hAnsi="Times New Roman"/>
          <w:sz w:val="18"/>
          <w:szCs w:val="18"/>
          <w:color w:val="auto"/>
        </w:rPr>
      </w:pPr>
    </w:p>
    <w:p>
      <w:pPr>
        <w:ind w:left="460" w:right="100" w:hanging="452"/>
        <w:spacing w:after="0" w:line="282"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to the Company any untrue statement of a material fact or omit to state to the Company a material fact necessary in order to make the statements made, in light of the circumstances under which they are made, not misleading;</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 practice, or course of business that operates or would operate as a fraud or deceit upon the Company;</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manipulative practice with respect to the Company;</w:t>
      </w:r>
    </w:p>
    <w:p>
      <w:pPr>
        <w:spacing w:after="0" w:line="130" w:lineRule="exact"/>
        <w:rPr>
          <w:rFonts w:ascii="Times New Roman" w:cs="Times New Roman" w:eastAsia="Times New Roman" w:hAnsi="Times New Roman"/>
          <w:sz w:val="18"/>
          <w:szCs w:val="18"/>
          <w:color w:val="auto"/>
        </w:rPr>
      </w:pPr>
    </w:p>
    <w:p>
      <w:pPr>
        <w:ind w:left="460" w:right="520" w:hanging="452"/>
        <w:spacing w:after="0" w:line="282"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his or her position, or any investment opportunities presented by virtue of his or her position, to personal advantage or to the detriment of the Company; or</w:t>
      </w:r>
    </w:p>
    <w:p>
      <w:pPr>
        <w:spacing w:after="0" w:line="67"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personal trading activities in contravention of the Code or applicable legal principles or in such a manner as may be inconsistent with the duties owed to the Company as a fiduciary.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and Certification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left="460" w:hanging="452"/>
        <w:spacing w:after="0"/>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and Annual Acknowledgement</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Within 10 days of being designated a Covered Person, and annually thereafter, you will receive and be required to review the current Code. You will also be asked to acknowledge in writing that you have received and read the Code and that you understand that the Code applies to you.</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62" w:name="page63"/>
    <w:bookmarkEnd w:id="62"/>
    <w:p>
      <w:pPr>
        <w:ind w:left="460" w:right="8200" w:hanging="452"/>
        <w:spacing w:after="0" w:line="397" w:lineRule="auto"/>
        <w:tabs>
          <w:tab w:leader="none" w:pos="44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Transactions in Covered Securities </w:t>
      </w:r>
      <w:r>
        <w:rPr>
          <w:rFonts w:ascii="Times New Roman" w:cs="Times New Roman" w:eastAsia="Times New Roman" w:hAnsi="Times New Roman"/>
          <w:sz w:val="17"/>
          <w:szCs w:val="17"/>
          <w:i w:val="1"/>
          <w:iCs w:val="1"/>
          <w:color w:val="auto"/>
        </w:rPr>
        <w:t>Transaction Reporting Requirements.</w:t>
      </w:r>
    </w:p>
    <w:p>
      <w:pPr>
        <w:spacing w:after="0" w:line="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No later than 30 calendar days after the end of March, June, September and December each year, each Covered Person must report to the Chief Compliance Officer any transaction executed during the calendar quarter then ended in a Covered Security of which such Covered Person had or acquired Beneficial Ownership if the Covered Person knew, or in the ordinary course of fulfilling his or her duty as an independent director of the Company should have known, that during the 15-day period immediately before or after the date of such transaction, (i) the Company purchased or sold such Covered Security or (ii) the Company or its investment adviser considered purchasing or selling such Covered Security.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quarterly transaction report must contain, with respect to any reportable transaction:</w:t>
      </w:r>
    </w:p>
    <w:p>
      <w:pPr>
        <w:spacing w:after="0" w:line="131" w:lineRule="exact"/>
        <w:rPr>
          <w:sz w:val="20"/>
          <w:szCs w:val="20"/>
          <w:color w:val="auto"/>
        </w:rPr>
      </w:pPr>
    </w:p>
    <w:p>
      <w:pPr>
        <w:ind w:left="460" w:right="120" w:hanging="452"/>
        <w:spacing w:after="0" w:line="282"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transaction, the title and, as applicable, the exchange ticker symbol or CUSIP number, interest rate and maturity date, number of shares and principal amount of each Covered Security;</w:t>
      </w:r>
    </w:p>
    <w:p>
      <w:pPr>
        <w:spacing w:after="0" w:line="6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transaction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purchase, sale or any other type of acquisition or disposition);</w:t>
      </w:r>
    </w:p>
    <w:p>
      <w:pPr>
        <w:spacing w:after="0" w:line="13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Covered Security at which the transaction was effected;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broker, dealer or bank with or through which the transaction was effected;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report is submitted.</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Covered Person need not report transactions effected pursuant to an automatic investment plan. An “automatic investment plan” means a program in which regular periodic purchases (or withdrawals) are made automatically in (or from) investment accounts in accordance with a predetermined schedule and allocation. An automatic investment plan includes a dividend reinvestment plan.</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Disclaimers.</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report by a Covered Person of any transaction in a Covered Security effected for the benefit of a person other than the Covered Person may contain a statement that the report should not be construed as an admission by the Covered Person that he or she has any direct or indirect beneficial ownership of the Covered Security.</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270"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Enforcement of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ind w:left="460" w:hanging="452"/>
        <w:spacing w:after="0"/>
        <w:tabs>
          <w:tab w:leader="none" w:pos="4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Investigating Violations of the Code</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Chief Compliance Officer is responsible for investigating any suspected violation of the Code by a Covered Person and shall report the results of each investigation to the board of directors of the Company, provided that the board of directors of the Company may determine to appoint counsel to investigate any matter at the Company’s expense and report to the board of directors and the Chief Compliance Officer regarding such matter. The board of directors of the Company is responsible for reviewing the results of any investigation of any reported or suspected violation of the Code by a Covered Person. Any violation of the Code by a Covered Person will be reported to the board of directors of the Company by the Chief Compliance Officer not later than the next regularly scheduled meeting of the board of directors after the violation occurs.</w:t>
      </w:r>
    </w:p>
    <w:p>
      <w:pPr>
        <w:spacing w:after="0" w:line="332" w:lineRule="exact"/>
        <w:rPr>
          <w:sz w:val="20"/>
          <w:szCs w:val="20"/>
          <w:color w:val="auto"/>
        </w:rPr>
      </w:pPr>
    </w:p>
    <w:p>
      <w:pPr>
        <w:ind w:left="460" w:hanging="452"/>
        <w:spacing w:after="0"/>
        <w:tabs>
          <w:tab w:leader="none" w:pos="4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Sanctions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the board of directors of the Company determines that a Covered Person has violated the Code, the board of directors of the Company may impose such sanctions and take such other actions as it deems appropriate, including, among other things, a verbal warning, a letter of warning, a fine, a civil referral to the Securities and Exchange Commission or a criminal referral to the applicable legal authority. The board of directors of the Company also may require the Covered Person to reverse the transaction in question and to forfeit any profit or to absorb any loss associated with or derived as a result of such reversal. The amount of profit or loss shall be calculated by the board of directors of the Company. The Covered Person at issue shall not participate in the determination by the board of directors of the Company of any remedies to be imposed in connection with his or her violation of the Code.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of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left="460" w:hanging="452"/>
        <w:spacing w:after="0"/>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Review of Code of Ethics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At least annually, the Chief Compliance Officer shall furnish to the Company’s board of directors, and the board of directors shall consider, a written report that:</w:t>
      </w:r>
    </w:p>
    <w:p>
      <w:pPr>
        <w:spacing w:after="0" w:line="67" w:lineRule="exact"/>
        <w:rPr>
          <w:sz w:val="20"/>
          <w:szCs w:val="20"/>
          <w:color w:val="auto"/>
        </w:rPr>
      </w:pPr>
    </w:p>
    <w:p>
      <w:pPr>
        <w:ind w:left="460" w:right="480" w:hanging="452"/>
        <w:spacing w:after="0" w:line="282"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describes any issues arising under the Code since the last report to the board of directors, including, but not limited to, information about material violations of the Code and sanctions imposed in response to the material violations; and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the Company has adopted procedures reasonably necessary to prevent Covered Persons from violating the Code.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66" w:right="239" w:bottom="1440" w:gutter="0" w:footer="0" w:header="0"/>
        </w:sectPr>
      </w:pPr>
    </w:p>
    <w:bookmarkStart w:id="64" w:name="page65"/>
    <w:bookmarkEnd w:id="64"/>
    <w:p>
      <w:pPr>
        <w:ind w:left="460" w:hanging="452"/>
        <w:spacing w:after="0"/>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Changes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material change may be made to the Code without the approval of the board of directors of the Company, including a majority of the directors who are not “interested persons” of the Company within the meaning of Section 2(a)(19) of the 1940 Act.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0" w:right="27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ACKNOWLEDGMENT AND CERTIFICATION</w:t>
      </w:r>
    </w:p>
    <w:p>
      <w:pPr>
        <w:spacing w:after="0" w:line="20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 acknowledge receipt of the Independent Directors Code of Ethics and Securities Trading Policy (the “Code of Ethics”) of TPG Specialty Lending, Inc. I have read and understand such Code of Ethics and agree to be governed by it at all times. Further, if I have been subject to the Code of Ethics during the preceding year, I certify that I have complied with the requirements of the Code of Ethics and have disclosed or reported all personal securities transactions required to be disclosed or reported pursuant to the requirements of the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280035</wp:posOffset>
            </wp:positionV>
            <wp:extent cx="32588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292100</wp:posOffset>
            </wp:positionV>
            <wp:extent cx="32588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17145</wp:posOffset>
            </wp:positionV>
            <wp:extent cx="32588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66" w:right="2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QUARTERLY TRANSACTION REPORT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w:t>
            </w: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Date</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NUMBER</w:t>
            </w:r>
          </w:p>
        </w:tc>
        <w:tc>
          <w:tcPr>
            <w:tcW w:w="7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NAME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w w:val="96"/>
              </w:rPr>
              <w:t>DATE</w:t>
            </w:r>
          </w:p>
        </w:tc>
        <w:tc>
          <w:tcPr>
            <w:tcW w:w="9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w:t>
            </w:r>
          </w:p>
        </w:tc>
        <w:tc>
          <w:tcPr>
            <w:tcW w:w="780" w:type="dxa"/>
            <w:vAlign w:val="bottom"/>
          </w:tcPr>
          <w:p>
            <w:pPr>
              <w:spacing w:after="0"/>
              <w:rPr>
                <w:sz w:val="14"/>
                <w:szCs w:val="14"/>
                <w:color w:val="auto"/>
              </w:rPr>
            </w:pPr>
          </w:p>
        </w:tc>
        <w:tc>
          <w:tcPr>
            <w:tcW w:w="142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color w:val="auto"/>
              </w:rPr>
              <w:t>OF</w:t>
            </w: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INTEREST</w:t>
            </w:r>
          </w:p>
        </w:tc>
        <w:tc>
          <w:tcPr>
            <w:tcW w:w="34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MATURITY</w:t>
            </w:r>
          </w:p>
        </w:tc>
        <w:tc>
          <w:tcPr>
            <w:tcW w:w="7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PRINCIPAL</w:t>
            </w:r>
          </w:p>
        </w:tc>
        <w:tc>
          <w:tcPr>
            <w:tcW w:w="600" w:type="dxa"/>
            <w:vAlign w:val="bottom"/>
          </w:tcPr>
          <w:p>
            <w:pPr>
              <w:spacing w:after="0"/>
              <w:rPr>
                <w:sz w:val="14"/>
                <w:szCs w:val="14"/>
                <w:color w:val="auto"/>
              </w:rPr>
            </w:pPr>
          </w:p>
        </w:tc>
        <w:tc>
          <w:tcPr>
            <w:tcW w:w="16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TYPE OF</w:t>
            </w: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DEALER/</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ISSUER</w:t>
            </w:r>
          </w:p>
        </w:tc>
        <w:tc>
          <w:tcPr>
            <w:tcW w:w="780" w:type="dxa"/>
            <w:vAlign w:val="bottom"/>
          </w:tcPr>
          <w:p>
            <w:pPr>
              <w:spacing w:after="0"/>
              <w:rPr>
                <w:sz w:val="12"/>
                <w:szCs w:val="12"/>
                <w:color w:val="auto"/>
              </w:rPr>
            </w:pPr>
          </w:p>
        </w:tc>
        <w:tc>
          <w:tcPr>
            <w:tcW w:w="1420" w:type="dxa"/>
            <w:vAlign w:val="bottom"/>
            <w:gridSpan w:val="2"/>
          </w:tcPr>
          <w:p>
            <w:pPr>
              <w:jc w:val="center"/>
              <w:ind w:right="820"/>
              <w:spacing w:after="0" w:line="129" w:lineRule="exact"/>
              <w:rPr>
                <w:sz w:val="20"/>
                <w:szCs w:val="20"/>
                <w:color w:val="auto"/>
              </w:rPr>
            </w:pPr>
            <w:r>
              <w:rPr>
                <w:rFonts w:ascii="Times New Roman" w:cs="Times New Roman" w:eastAsia="Times New Roman" w:hAnsi="Times New Roman"/>
                <w:sz w:val="14"/>
                <w:szCs w:val="14"/>
                <w:color w:val="auto"/>
              </w:rPr>
              <w:t>SHARES</w:t>
            </w:r>
          </w:p>
        </w:tc>
        <w:tc>
          <w:tcPr>
            <w:tcW w:w="110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4"/>
                <w:szCs w:val="14"/>
                <w:color w:val="auto"/>
              </w:rPr>
              <w:t>DATE</w:t>
            </w:r>
          </w:p>
        </w:tc>
        <w:tc>
          <w:tcPr>
            <w:tcW w:w="340" w:type="dxa"/>
            <w:vAlign w:val="bottom"/>
          </w:tcPr>
          <w:p>
            <w:pPr>
              <w:spacing w:after="0"/>
              <w:rPr>
                <w:sz w:val="12"/>
                <w:szCs w:val="12"/>
                <w:color w:val="auto"/>
              </w:rPr>
            </w:pPr>
          </w:p>
        </w:tc>
        <w:tc>
          <w:tcPr>
            <w:tcW w:w="7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w w:val="96"/>
              </w:rPr>
              <w:t>DATE</w:t>
            </w:r>
          </w:p>
        </w:tc>
        <w:tc>
          <w:tcPr>
            <w:tcW w:w="72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AMOUNT</w:t>
            </w:r>
          </w:p>
        </w:tc>
        <w:tc>
          <w:tcPr>
            <w:tcW w:w="22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color w:val="auto"/>
              </w:rPr>
              <w:t>TRANSACTION</w:t>
            </w:r>
          </w:p>
        </w:tc>
        <w:tc>
          <w:tcPr>
            <w:tcW w:w="94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color w:val="auto"/>
              </w:rPr>
              <w:t>BANK</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I certify that the foregoing is a complete and accurate list of all transactions for the covered period in securities in which I have any 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268605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Signature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66"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174625</wp:posOffset>
            </wp:positionV>
            <wp:extent cx="3567430" cy="16548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67430"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TSL Advisers, LLC</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Securities Trading Policy</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Investment Adviser Code of Ethics</w:t>
      </w:r>
    </w:p>
    <w:p>
      <w:pPr>
        <w:sectPr>
          <w:pgSz w:w="11900" w:h="16838" w:orient="portrait"/>
          <w:cols w:equalWidth="0" w:num="1">
            <w:col w:w="10220"/>
          </w:cols>
          <w:pgMar w:left="1440" w:top="117"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900" w:type="dxa"/>
            <w:vAlign w:val="bottom"/>
          </w:tcPr>
          <w:p>
            <w:pPr>
              <w:ind w:left="4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9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STANDARDS OF BUSINESS CONDUCT</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Securities Laws</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Fiduciary Duty</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Conflicts of Interest</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SCOPE OF THE CODE</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 Covered by the Code</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Persons Not Covered by the Code</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Accounts to Be Reported Under the Code</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INSIDER TRADING</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Background</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of Tippers and Tippees</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Monitoring List</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Sanctions Specific to Insider Trading Violations</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Fiduciary Duty to Use Inside Information</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TRADING POLICIES AND PROCEDURES</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Personal Trading Policies</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Trading Procedures</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Waivers</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REPORTING AND CERTIFICATION REQUIREMENTS</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Personal Securities Reports and Certifications</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and Annual Certifications and Questionnaires</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Exception</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SERVICE AND AVOIDING CONFLICTS OF INTEREST</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AND INVESTOR CONFIDENTIALITY</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ENFORCEMENT OF CODE</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PRIVACY AND REGULATORS</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ADMINISTRATION OF CODE</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 SUMMARY OF SELECT CODE REQUIREMENTS</w:t>
            </w:r>
          </w:p>
        </w:tc>
        <w:tc>
          <w:tcPr>
            <w:tcW w:w="2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9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 – Reportable Funds</w:t>
            </w:r>
          </w:p>
        </w:tc>
        <w:tc>
          <w:tcPr>
            <w:tcW w:w="2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This Securities Trading Policy and Investment Adviser Code of Ethics (the “</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has been adopted by TSL Advisers, LLC (the “</w:t>
      </w:r>
      <w:r>
        <w:rPr>
          <w:rFonts w:ascii="Times New Roman" w:cs="Times New Roman" w:eastAsia="Times New Roman" w:hAnsi="Times New Roman"/>
          <w:sz w:val="17"/>
          <w:szCs w:val="17"/>
          <w:b w:val="1"/>
          <w:bCs w:val="1"/>
          <w:i w:val="1"/>
          <w:iCs w:val="1"/>
          <w:color w:val="auto"/>
        </w:rPr>
        <w:t>Firm</w:t>
      </w:r>
      <w:r>
        <w:rPr>
          <w:rFonts w:ascii="Times New Roman" w:cs="Times New Roman" w:eastAsia="Times New Roman" w:hAnsi="Times New Roman"/>
          <w:sz w:val="17"/>
          <w:szCs w:val="17"/>
          <w:color w:val="auto"/>
        </w:rPr>
        <w:t>”) in compliance with Rule 204A-1 under the Investment Advisers Act of 1940 (the “</w:t>
      </w:r>
      <w:r>
        <w:rPr>
          <w:rFonts w:ascii="Times New Roman" w:cs="Times New Roman" w:eastAsia="Times New Roman" w:hAnsi="Times New Roman"/>
          <w:sz w:val="17"/>
          <w:szCs w:val="17"/>
          <w:b w:val="1"/>
          <w:bCs w:val="1"/>
          <w:i w:val="1"/>
          <w:iCs w:val="1"/>
          <w:color w:val="auto"/>
        </w:rPr>
        <w:t>Advisers Act</w:t>
      </w:r>
      <w:r>
        <w:rPr>
          <w:rFonts w:ascii="Times New Roman" w:cs="Times New Roman" w:eastAsia="Times New Roman" w:hAnsi="Times New Roman"/>
          <w:sz w:val="17"/>
          <w:szCs w:val="17"/>
          <w:color w:val="auto"/>
        </w:rPr>
        <w:t>”) and Rule 17j-1 under the Investment Company Act of 1940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Act</w:t>
      </w:r>
      <w:r>
        <w:rPr>
          <w:rFonts w:ascii="Times New Roman" w:cs="Times New Roman" w:eastAsia="Times New Roman" w:hAnsi="Times New Roman"/>
          <w:sz w:val="17"/>
          <w:szCs w:val="17"/>
          <w:color w:val="auto"/>
        </w:rPr>
        <w:t>”). In the Code, “we,” “us” and “our” refer to the Firm, and “you” refers to Covered Persons (as defined herein), in each case unless otherwise specified.</w:t>
      </w:r>
    </w:p>
    <w:p>
      <w:pPr>
        <w:spacing w:after="0" w:line="157"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 xml:space="preserve">Our reputation in the investment community, with our client and investors, and with those individuals and organizations with which we have contact, depends upon the manner in which we conduct our affairs. To this end, we have adopted the Code to guide us and to help us ensure that we comply with all applicable federal laws, rules and regulations. Our overriding goal is to comply with our fiduciary duty to our client, TSL Specialty Lending, Inc. (the </w:t>
      </w:r>
      <w:r>
        <w:rPr>
          <w:rFonts w:ascii="Times New Roman" w:cs="Times New Roman" w:eastAsia="Times New Roman" w:hAnsi="Times New Roman"/>
          <w:sz w:val="17"/>
          <w:szCs w:val="17"/>
          <w:b w:val="1"/>
          <w:bCs w:val="1"/>
          <w:i w:val="1"/>
          <w:iCs w:val="1"/>
          <w:color w:val="auto"/>
        </w:rPr>
        <w:t>“Fund”</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Adherence to the letter and spirit of the Code is a basic condition of employment with the Firm. Failure to adhere to either the letter or the spirit of the Code may result in disciplinary action, including termination of employment. </w:t>
      </w:r>
      <w:r>
        <w:rPr>
          <w:rFonts w:ascii="Times New Roman" w:cs="Times New Roman" w:eastAsia="Times New Roman" w:hAnsi="Times New Roman"/>
          <w:sz w:val="18"/>
          <w:szCs w:val="18"/>
          <w:color w:val="auto"/>
        </w:rPr>
        <w:t>See “Enforcement of the Code” for further information on the Firm’s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sanction policies.</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If you have any doubt as to the appropriateness of any activity, believe that you have violated the Code, or become aware of a violation of the Code by another individual, you should promptly report such issues to the Chief Compliance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General questions regarding the application of the Code may be directed to TPG Compliance at </w:t>
      </w:r>
      <w:r>
        <w:rPr>
          <w:rFonts w:ascii="Times New Roman" w:cs="Times New Roman" w:eastAsia="Times New Roman" w:hAnsi="Times New Roman"/>
          <w:sz w:val="18"/>
          <w:szCs w:val="18"/>
          <w:u w:val="single" w:color="auto"/>
          <w:color w:val="auto"/>
        </w:rPr>
        <w:t>compliance@tpg.com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right="120" w:firstLine="8"/>
        <w:spacing w:after="0" w:line="268" w:lineRule="auto"/>
        <w:tabs>
          <w:tab w:leader="none" w:pos="2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“Beneficial Ownership” </w:t>
      </w:r>
      <w:r>
        <w:rPr>
          <w:rFonts w:ascii="Times New Roman" w:cs="Times New Roman" w:eastAsia="Times New Roman" w:hAnsi="Times New Roman"/>
          <w:sz w:val="18"/>
          <w:szCs w:val="18"/>
          <w:color w:val="auto"/>
        </w:rPr>
        <w:t>means any opportunity, directly or indirectly, to profit or share in the profit from any transaction in securities. It also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transactions over which you exercise investment discretion, even if you do not share in the profits. (See “Personal Trading Policies and Procedures” for a list of securities for which persons are generally presumed to have Beneficial Ownership for purposes of the Code.)</w:t>
      </w:r>
    </w:p>
    <w:p>
      <w:pPr>
        <w:spacing w:after="0" w:line="170"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“Chief Compliance Officer” </w:t>
      </w:r>
      <w:r>
        <w:rPr>
          <w:rFonts w:ascii="Times New Roman" w:cs="Times New Roman" w:eastAsia="Times New Roman" w:hAnsi="Times New Roman"/>
          <w:sz w:val="18"/>
          <w:szCs w:val="18"/>
          <w:color w:val="auto"/>
        </w:rPr>
        <w:t>means the Chief Compliance Officer of the Firm. The Chief Compliance Officer is currently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David Reintjes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“TPG Compliance” </w:t>
      </w:r>
      <w:r>
        <w:rPr>
          <w:rFonts w:ascii="Times New Roman" w:cs="Times New Roman" w:eastAsia="Times New Roman" w:hAnsi="Times New Roman"/>
          <w:sz w:val="18"/>
          <w:szCs w:val="18"/>
          <w:color w:val="auto"/>
        </w:rPr>
        <w:t>means the members of the Legal Department that focus on compliance matters and report to the Chief Compliance Officer.</w:t>
      </w:r>
    </w:p>
    <w:p>
      <w:pPr>
        <w:spacing w:after="0" w:line="225" w:lineRule="exact"/>
        <w:rPr>
          <w:rFonts w:ascii="Times New Roman" w:cs="Times New Roman" w:eastAsia="Times New Roman" w:hAnsi="Times New Roman"/>
          <w:sz w:val="18"/>
          <w:szCs w:val="18"/>
          <w:color w:val="auto"/>
        </w:rPr>
      </w:pPr>
    </w:p>
    <w:p>
      <w:pPr>
        <w:ind w:right="140" w:firstLine="8"/>
        <w:spacing w:after="0" w:line="286" w:lineRule="auto"/>
        <w:tabs>
          <w:tab w:leader="none" w:pos="2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“Covered Security” </w:t>
      </w:r>
      <w:r>
        <w:rPr>
          <w:rFonts w:ascii="Times New Roman" w:cs="Times New Roman" w:eastAsia="Times New Roman" w:hAnsi="Times New Roman"/>
          <w:sz w:val="18"/>
          <w:szCs w:val="18"/>
          <w:color w:val="auto"/>
        </w:rPr>
        <w:t>means a security, as defined in Section 2(a)(36) of the Investment Fund Act of 1940, to wit: any note, stock, treasury stock,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future, bond, debenture,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66" w:right="239" w:bottom="1440" w:gutter="0" w:footer="0" w:header="0"/>
        </w:sectPr>
      </w:pPr>
    </w:p>
    <w:bookmarkStart w:id="70" w:name="page71"/>
    <w:bookmarkEnd w:id="70"/>
    <w:p>
      <w:pPr>
        <w:ind w:right="3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“Covered Security” </w:t>
      </w:r>
      <w:r>
        <w:rPr>
          <w:rFonts w:ascii="Times New Roman" w:cs="Times New Roman" w:eastAsia="Times New Roman" w:hAnsi="Times New Roman"/>
          <w:sz w:val="18"/>
          <w:szCs w:val="18"/>
          <w:color w:val="auto"/>
        </w:rPr>
        <w:t>does not include: (i) direct obligations of the Government of the United States; (ii) bankers’ acceptances, bank certificates of deposit,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paper and high quality short-term debt instruments, including repurchase agreements; and (iii) shares issued by open-end investment companies registered under the 1940 Act. However, the term “Covered Security” includes shares of mutual funds advised or sub-advised by portfolio companies of investment funds that are advised by the Firm or an advisory affiliate of the Firm (</w:t>
      </w:r>
      <w:r>
        <w:rPr>
          <w:rFonts w:ascii="Times New Roman" w:cs="Times New Roman" w:eastAsia="Times New Roman" w:hAnsi="Times New Roman"/>
          <w:sz w:val="18"/>
          <w:szCs w:val="18"/>
          <w:b w:val="1"/>
          <w:bCs w:val="1"/>
          <w:i w:val="1"/>
          <w:iCs w:val="1"/>
          <w:color w:val="auto"/>
        </w:rPr>
        <w:t>“Reportable Funds”</w:t>
      </w:r>
      <w:r>
        <w:rPr>
          <w:rFonts w:ascii="Times New Roman" w:cs="Times New Roman" w:eastAsia="Times New Roman" w:hAnsi="Times New Roman"/>
          <w:sz w:val="18"/>
          <w:szCs w:val="18"/>
          <w:color w:val="auto"/>
        </w:rPr>
        <w:t xml:space="preserve"> – See Exhibit B attached). References to a Covered Security in the Code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w:t>
      </w:r>
      <w:r>
        <w:rPr>
          <w:rFonts w:ascii="Times New Roman" w:cs="Times New Roman" w:eastAsia="Times New Roman" w:hAnsi="Times New Roman"/>
          <w:sz w:val="18"/>
          <w:szCs w:val="18"/>
          <w:b w:val="1"/>
          <w:bCs w:val="1"/>
          <w:i w:val="1"/>
          <w:iCs w:val="1"/>
          <w:color w:val="auto"/>
        </w:rPr>
        <w:t>“Derivatives”</w:t>
      </w:r>
      <w:r>
        <w:rPr>
          <w:rFonts w:ascii="Times New Roman" w:cs="Times New Roman" w:eastAsia="Times New Roman" w:hAnsi="Times New Roman"/>
          <w:sz w:val="18"/>
          <w:szCs w:val="18"/>
          <w:color w:val="auto"/>
        </w:rPr>
        <w:t>). Therefore, except as otherwise specifically provided by the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186" w:lineRule="exact"/>
        <w:rPr>
          <w:sz w:val="20"/>
          <w:szCs w:val="20"/>
          <w:color w:val="auto"/>
        </w:rPr>
      </w:pPr>
    </w:p>
    <w:p>
      <w:pPr>
        <w:ind w:right="380" w:firstLine="8"/>
        <w:spacing w:after="0" w:line="268" w:lineRule="auto"/>
        <w:tabs>
          <w:tab w:leader="none" w:pos="27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“Electronic Personal Trading System” </w:t>
      </w:r>
      <w:r>
        <w:rPr>
          <w:rFonts w:ascii="Times New Roman" w:cs="Times New Roman" w:eastAsia="Times New Roman" w:hAnsi="Times New Roman"/>
          <w:sz w:val="18"/>
          <w:szCs w:val="18"/>
          <w:color w:val="auto"/>
        </w:rPr>
        <w:t>means Compliance Science’s Personal Trading Command Center. The Electronic Personal Trading System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accessible 24 hours a day through the link </w:t>
      </w:r>
      <w:r>
        <w:rPr>
          <w:rFonts w:ascii="Times New Roman" w:cs="Times New Roman" w:eastAsia="Times New Roman" w:hAnsi="Times New Roman"/>
          <w:sz w:val="18"/>
          <w:szCs w:val="18"/>
          <w:i w:val="1"/>
          <w:iCs w:val="1"/>
          <w:color w:val="auto"/>
        </w:rPr>
        <w:t>PTCC</w:t>
      </w:r>
      <w:r>
        <w:rPr>
          <w:rFonts w:ascii="Times New Roman" w:cs="Times New Roman" w:eastAsia="Times New Roman" w:hAnsi="Times New Roman"/>
          <w:sz w:val="18"/>
          <w:szCs w:val="18"/>
          <w:color w:val="auto"/>
        </w:rPr>
        <w:t xml:space="preserve">, which appears on TPGnet within the Legal Team Space or through the secure link: </w:t>
      </w:r>
      <w:r>
        <w:rPr>
          <w:rFonts w:ascii="Times New Roman" w:cs="Times New Roman" w:eastAsia="Times New Roman" w:hAnsi="Times New Roman"/>
          <w:sz w:val="18"/>
          <w:szCs w:val="18"/>
          <w:u w:val="single" w:color="auto"/>
          <w:color w:val="auto"/>
        </w:rPr>
        <w:t>https://secure.complysci.com</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“Legal Department” </w:t>
      </w:r>
      <w:r>
        <w:rPr>
          <w:rFonts w:ascii="Times New Roman" w:cs="Times New Roman" w:eastAsia="Times New Roman" w:hAnsi="Times New Roman"/>
          <w:sz w:val="18"/>
          <w:szCs w:val="18"/>
          <w:color w:val="auto"/>
        </w:rPr>
        <w:t>means personnel within TPG Global, LLC that report to TPG Global’s General Counsel.</w:t>
      </w:r>
    </w:p>
    <w:p>
      <w:pPr>
        <w:spacing w:after="0" w:line="225" w:lineRule="exact"/>
        <w:rPr>
          <w:rFonts w:ascii="Times New Roman" w:cs="Times New Roman" w:eastAsia="Times New Roman" w:hAnsi="Times New Roman"/>
          <w:sz w:val="18"/>
          <w:szCs w:val="18"/>
          <w:color w:val="auto"/>
        </w:rPr>
      </w:pPr>
    </w:p>
    <w:p>
      <w:pPr>
        <w:ind w:right="200" w:firstLine="8"/>
        <w:spacing w:after="0" w:line="268" w:lineRule="auto"/>
        <w:tabs>
          <w:tab w:leader="none" w:pos="2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“Limited Offering” </w:t>
      </w:r>
      <w:r>
        <w:rPr>
          <w:rFonts w:ascii="Times New Roman" w:cs="Times New Roman" w:eastAsia="Times New Roman" w:hAnsi="Times New Roman"/>
          <w:sz w:val="18"/>
          <w:szCs w:val="18"/>
          <w:color w:val="auto"/>
        </w:rPr>
        <w:t>means an offering that is exempt from registration under the Securities Act of 1933 pursuant to Section 4(2) or Section 4(6) thereof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pursuant to Rule 504, Rule 505 or Rule 506 thereunder. For purposes of the Code, the term “Limited offering” includes, among other things, any private placement transaction, including investments in hedge funds.</w:t>
      </w:r>
    </w:p>
    <w:p>
      <w:pPr>
        <w:spacing w:after="0" w:line="170"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“Supplement” </w:t>
      </w:r>
      <w:r>
        <w:rPr>
          <w:rFonts w:ascii="Times New Roman" w:cs="Times New Roman" w:eastAsia="Times New Roman" w:hAnsi="Times New Roman"/>
          <w:sz w:val="18"/>
          <w:szCs w:val="18"/>
          <w:color w:val="auto"/>
        </w:rPr>
        <w:t>means the Summary of Select Code Requirements, referenced in Exhibit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Standards of Business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Firm seeks to foster and maintain a reputation for honesty, openness, trust, integrity and professionalism. The confidence and trust placed in us by the Fund and its investors is something we value greatly and endeavor to protect. That reputation is a vital business asset. Accordingly, we place a high value on ethical conduct by the Firm, and by persons working on its behalf. To further promote the importance of this value, we have adopted the Code. We expect and insist that all Covered Persons meet the letter and spirit of the Code and also live up to our ethical and professional ideals.</w:t>
      </w:r>
    </w:p>
    <w:p>
      <w:pPr>
        <w:spacing w:after="0" w:line="329" w:lineRule="exact"/>
        <w:rPr>
          <w:sz w:val="20"/>
          <w:szCs w:val="20"/>
          <w:color w:val="auto"/>
        </w:rPr>
      </w:pPr>
    </w:p>
    <w:p>
      <w:pPr>
        <w:ind w:left="460" w:hanging="452"/>
        <w:spacing w:after="0"/>
        <w:tabs>
          <w:tab w:leader="none" w:pos="4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Securities Laws</w:t>
      </w:r>
    </w:p>
    <w:p>
      <w:pPr>
        <w:spacing w:after="0" w:line="11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Our business is highly regulated, and we are committed to compliance with applicable laws and regulations. Each Covered Person must also recognize his or her personal obligations as an individual to understand and obey the laws and regulations that apply in the conduct of his or her duties. They include laws and regulations that apply specifically to investment advisers, as well as laws with broader applicability, including prohibitions on insider trading and other forms of market abuse.</w:t>
      </w:r>
    </w:p>
    <w:p>
      <w:pPr>
        <w:spacing w:after="0" w:line="329" w:lineRule="exact"/>
        <w:rPr>
          <w:sz w:val="20"/>
          <w:szCs w:val="20"/>
          <w:color w:val="auto"/>
        </w:rPr>
      </w:pPr>
    </w:p>
    <w:p>
      <w:pPr>
        <w:ind w:left="460" w:hanging="452"/>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Duty</w:t>
      </w:r>
    </w:p>
    <w:p>
      <w:pPr>
        <w:spacing w:after="0" w:line="11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Firm is a fiduciary, and as such, it has affirmative duties of care, honesty, loyalty and good faith to act in the best interests of the Fund. The Fund’s interests are paramount and come before the Firm’s own interests. This means we must render disinterested advice, protect Fund assets, offer investment opportunities to the Fund before they are offered to the Firm or its personnel, and otherwise always act in the best interest of the Fund.</w:t>
      </w:r>
    </w:p>
    <w:p>
      <w:pPr>
        <w:spacing w:after="0" w:line="325" w:lineRule="exact"/>
        <w:rPr>
          <w:sz w:val="20"/>
          <w:szCs w:val="20"/>
          <w:color w:val="auto"/>
        </w:rPr>
      </w:pPr>
    </w:p>
    <w:p>
      <w:pPr>
        <w:ind w:left="460" w:hanging="452"/>
        <w:spacing w:after="0"/>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 of Interest</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must strive to identify and avoid conflicts of interest with the Fund, regardless of how such conflicts may arise. When we identify actual or potential conflicts, we must seek to have controls in place to effectively manage such conflicts. As a matter of business policy, we want to avoid even the appearance of conflicts. We must avoid, among other things, situations in which an investment decision is made based upon Firm or personal interests, or the Firm or Covered Persons receive undisclosed benefits from their relationships with the Fund and with the investment banking or brokerage communities.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66" w:right="2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short, Covered Persons should not:</w:t>
      </w:r>
    </w:p>
    <w:p>
      <w:pPr>
        <w:spacing w:after="0" w:line="131" w:lineRule="exact"/>
        <w:rPr>
          <w:sz w:val="20"/>
          <w:szCs w:val="20"/>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any device, scheme or artifice to defraud the Fund;</w:t>
      </w:r>
    </w:p>
    <w:p>
      <w:pPr>
        <w:spacing w:after="0" w:line="130" w:lineRule="exact"/>
        <w:rPr>
          <w:rFonts w:ascii="Times New Roman" w:cs="Times New Roman" w:eastAsia="Times New Roman" w:hAnsi="Times New Roman"/>
          <w:sz w:val="18"/>
          <w:szCs w:val="18"/>
          <w:color w:val="auto"/>
        </w:rPr>
      </w:pPr>
    </w:p>
    <w:p>
      <w:pPr>
        <w:ind w:left="460" w:right="60" w:hanging="452"/>
        <w:spacing w:after="0" w:line="282"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to the Fund any untrue statement of a material fact or omit to state to the Fund a material fact necessary in order to make the statements made, in light of the circumstances under which they are made, not misleading;</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 practice or course of business that operates or would operate as a fraud or deceit upon the Fund;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manipulative practice with respect to the Fund;</w:t>
      </w:r>
    </w:p>
    <w:p>
      <w:pPr>
        <w:spacing w:after="0" w:line="130"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his or her position, or any investment opportunities presented by virtue of his or her position, to personal advantage or to the detriment of the Fund; or</w:t>
      </w:r>
    </w:p>
    <w:p>
      <w:pPr>
        <w:spacing w:after="0" w:line="67" w:lineRule="exact"/>
        <w:rPr>
          <w:rFonts w:ascii="Times New Roman" w:cs="Times New Roman" w:eastAsia="Times New Roman" w:hAnsi="Times New Roman"/>
          <w:sz w:val="18"/>
          <w:szCs w:val="18"/>
          <w:color w:val="auto"/>
        </w:rPr>
      </w:pPr>
    </w:p>
    <w:p>
      <w:pPr>
        <w:ind w:left="460" w:right="60" w:hanging="452"/>
        <w:spacing w:after="0" w:line="282"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personal trading activities or trading activities of the Firm in contravention of the Code or applicable laws or regulations or in a manner that is inconsistent with the fiduciary duties owed to the Fund.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Scope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left="460" w:hanging="452"/>
        <w:spacing w:after="0"/>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Covered by the Code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Code generally applies in its entirety to:</w:t>
      </w:r>
    </w:p>
    <w:p>
      <w:pPr>
        <w:spacing w:after="0" w:line="131" w:lineRule="exact"/>
        <w:rPr>
          <w:sz w:val="20"/>
          <w:szCs w:val="20"/>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officer, partner and employee of the Firm.</w:t>
      </w:r>
    </w:p>
    <w:p>
      <w:pPr>
        <w:spacing w:after="0" w:line="130" w:lineRule="exact"/>
        <w:rPr>
          <w:rFonts w:ascii="Times New Roman" w:cs="Times New Roman" w:eastAsia="Times New Roman" w:hAnsi="Times New Roman"/>
          <w:sz w:val="18"/>
          <w:szCs w:val="18"/>
          <w:color w:val="auto"/>
        </w:rPr>
      </w:pPr>
    </w:p>
    <w:p>
      <w:pPr>
        <w:ind w:left="460" w:right="260" w:hanging="452"/>
        <w:spacing w:after="0" w:line="266"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person acting as an independent contractor with respect to the Firm who has access to nonpublic information regarding any purchase or sale of securities by or on behalf of the Firm or who is involved in making securities recommendations to the Fund or who has access to such recommendations that are nonpublic.</w:t>
      </w:r>
    </w:p>
    <w:p>
      <w:pPr>
        <w:spacing w:after="0" w:line="81" w:lineRule="exact"/>
        <w:rPr>
          <w:rFonts w:ascii="Times New Roman" w:cs="Times New Roman" w:eastAsia="Times New Roman" w:hAnsi="Times New Roman"/>
          <w:sz w:val="18"/>
          <w:szCs w:val="18"/>
          <w:color w:val="auto"/>
        </w:rPr>
      </w:pPr>
    </w:p>
    <w:p>
      <w:pPr>
        <w:ind w:left="460" w:hanging="452"/>
        <w:spacing w:after="0" w:line="266" w:lineRule="auto"/>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natural person (including temporary personnel and interns) who is subject to the Firm’s supervision and control and who has access to nonpublic information regarding the Fund’s purchase or sale of securities or who is involved in making securities recommendations to the Fund or who has access to such recommendations that are nonpublic.</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specifically designated by TPG Compliance as subject to the Code.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Code, the foregoing persons are referred to individually as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xml:space="preserve"> and collectively as </w:t>
      </w:r>
      <w:r>
        <w:rPr>
          <w:rFonts w:ascii="Times New Roman" w:cs="Times New Roman" w:eastAsia="Times New Roman" w:hAnsi="Times New Roman"/>
          <w:sz w:val="18"/>
          <w:szCs w:val="18"/>
          <w:b w:val="1"/>
          <w:bCs w:val="1"/>
          <w:i w:val="1"/>
          <w:iCs w:val="1"/>
          <w:color w:val="auto"/>
        </w:rPr>
        <w:t>“Covered Persons.”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activities of a Covered Person’s family/household are also covered by the “Personal Trading Policies and Procedures” and “Reporting and Certification Requirements” portions of the Code. For purposes of the Code, members of a family/household include the following:</w:t>
      </w:r>
    </w:p>
    <w:p>
      <w:pPr>
        <w:spacing w:after="0" w:line="67" w:lineRule="exact"/>
        <w:rPr>
          <w:sz w:val="20"/>
          <w:szCs w:val="20"/>
          <w:color w:val="auto"/>
        </w:rPr>
      </w:pPr>
    </w:p>
    <w:p>
      <w:pPr>
        <w:ind w:left="460" w:right="260" w:hanging="452"/>
        <w:spacing w:after="0" w:line="282" w:lineRule="auto"/>
        <w:tabs>
          <w:tab w:leader="none" w:pos="4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Person’s spouse or domestic partner, live-in boyfriend or live-in girlfriend (unless they do not live in the same household as the Covered Person and the Covered Person does not contribute in any way to their support);</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270" w:right="299" w:bottom="1440" w:gutter="0" w:footer="0" w:header="0"/>
        </w:sectPr>
      </w:pPr>
    </w:p>
    <w:bookmarkStart w:id="73" w:name="page74"/>
    <w:bookmarkEnd w:id="73"/>
    <w:p>
      <w:pPr>
        <w:ind w:left="460" w:hanging="452"/>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Covered Person’s children under the age of 18;</w:t>
      </w:r>
    </w:p>
    <w:p>
      <w:pPr>
        <w:spacing w:after="0" w:line="130" w:lineRule="exact"/>
        <w:rPr>
          <w:rFonts w:ascii="Times New Roman" w:cs="Times New Roman" w:eastAsia="Times New Roman" w:hAnsi="Times New Roman"/>
          <w:sz w:val="18"/>
          <w:szCs w:val="18"/>
          <w:color w:val="auto"/>
        </w:rPr>
      </w:pPr>
    </w:p>
    <w:p>
      <w:pPr>
        <w:ind w:left="460" w:hanging="452"/>
        <w:spacing w:after="0" w:line="266" w:lineRule="auto"/>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following people who live in a Covered Person’s household: stepchildren, grandchildren, parents, stepparents, grandparents, spouses, siblings, mother-, father-, son-, daughter-, brother- or sister-in law, any person related by adoption and any individual economically dependent upon the Covered Person; and</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unrelated individual whose investments are controlled by a Covered Person.</w:t>
      </w:r>
    </w:p>
    <w:p>
      <w:pPr>
        <w:spacing w:after="0" w:line="374" w:lineRule="exact"/>
        <w:rPr>
          <w:sz w:val="20"/>
          <w:szCs w:val="20"/>
          <w:color w:val="auto"/>
        </w:rPr>
      </w:pPr>
    </w:p>
    <w:p>
      <w:pPr>
        <w:ind w:left="460" w:hanging="452"/>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Not Covered by Code</w:t>
      </w:r>
    </w:p>
    <w:p>
      <w:pPr>
        <w:spacing w:after="0" w:line="1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subject to applicable law, the Chief Compliance Officer may determine that certain individuals should not be covered by the Code or portions thereof.</w:t>
      </w:r>
    </w:p>
    <w:p>
      <w:pPr>
        <w:spacing w:after="0" w:line="310" w:lineRule="exact"/>
        <w:rPr>
          <w:sz w:val="20"/>
          <w:szCs w:val="20"/>
          <w:color w:val="auto"/>
        </w:rPr>
      </w:pPr>
    </w:p>
    <w:p>
      <w:pPr>
        <w:ind w:left="460" w:hanging="452"/>
        <w:spacing w:after="0"/>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Accounts to Be Reported Under the Code</w:t>
      </w:r>
    </w:p>
    <w:p>
      <w:pPr>
        <w:spacing w:after="0" w:line="1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Investment accounts that must be reported under the Code include those with brokers, dealers, investment managers or banks in which </w:t>
      </w:r>
      <w:r>
        <w:rPr>
          <w:rFonts w:ascii="Times New Roman" w:cs="Times New Roman" w:eastAsia="Times New Roman" w:hAnsi="Times New Roman"/>
          <w:sz w:val="18"/>
          <w:szCs w:val="18"/>
          <w:u w:val="single" w:color="auto"/>
          <w:color w:val="auto"/>
        </w:rPr>
        <w:t>any</w:t>
      </w:r>
      <w:r>
        <w:rPr>
          <w:rFonts w:ascii="Times New Roman" w:cs="Times New Roman" w:eastAsia="Times New Roman" w:hAnsi="Times New Roman"/>
          <w:sz w:val="18"/>
          <w:szCs w:val="18"/>
          <w:color w:val="auto"/>
        </w:rPr>
        <w:t xml:space="preserve"> security/securities are held for your or your family/household’s direct or indirect benefit. Please note that not all securities and transactions in securities within these investment accounts are subject to the Code’s preclearance and reporting requirements. These requirements are detailed later within the Code.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Exceptions</w:t>
      </w:r>
    </w:p>
    <w:p>
      <w:pPr>
        <w:spacing w:after="0" w:line="119"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If you have an account you feel should not be subject to the above reporting requirement, you should submit a written request for clarification or an exemption to the Chief Compliance Officer. The request should name the account, describe the nature of your interest in the account, the person or firm responsible for managing the account and the basis upon which the exemption is being claimed. Requests will be considered on a case-by-case basis.</w:t>
      </w:r>
    </w:p>
    <w:p>
      <w:pPr>
        <w:spacing w:after="0" w:line="15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all transactions involving such an account, however, you should conform to the spirit of the Code and avoid any activity which might appear to conflict with the interests of the Fund or its investors or with your duties as an employee of the Firm.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left="460" w:hanging="452"/>
        <w:spacing w:after="0"/>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Background</w:t>
      </w:r>
    </w:p>
    <w:p>
      <w:pPr>
        <w:spacing w:after="0" w:line="11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You and the members of your family/household are prohibited from engaging in, or helping others engage in, insider trading. Generally, the “insider trading” doctrine under U.S. federal securities laws prohibits any person (including investment advisers) from knowingly or recklessly breaching a duty owed by that person by:</w:t>
      </w:r>
    </w:p>
    <w:p>
      <w:pPr>
        <w:spacing w:after="0" w:line="82" w:lineRule="exact"/>
        <w:rPr>
          <w:sz w:val="20"/>
          <w:szCs w:val="20"/>
          <w:color w:val="auto"/>
        </w:rPr>
      </w:pPr>
    </w:p>
    <w:p>
      <w:pPr>
        <w:ind w:left="900" w:hanging="446"/>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while in possession of material nonpublic information;</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270" w:right="299" w:bottom="1440" w:gutter="0" w:footer="0" w:header="0"/>
        </w:sectPr>
      </w:pPr>
    </w:p>
    <w:bookmarkStart w:id="74" w:name="page75"/>
    <w:bookmarkEnd w:id="74"/>
    <w:p>
      <w:pPr>
        <w:ind w:left="900" w:hanging="446"/>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communicating (“tipping”) such information to others;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purchase or sale of securities on the basis of such information;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substantial assistance to someone who is engaged in any of the above activities.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means that, if you trade with respect to a particular security at a time when you know or should know that you are in possession of material nonpublic information about the issuer, you (and, by extension, the Firm) may be deemed to have violated the insider trading laws.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if you trade a security on behalf of the Firm at a time when a person at the Firm has material nonpublic information about the issuer – even if the person is not aware that the Firm possesses the information – the Firm may be deemed to have violated insider trading laws.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Information is considered “material” if there is a substantial likelihood that a reasonable investor would consider it important in making his or her investment decisions, or if it could reasonably be expected to affect the price of an issuer’s securities. (Note that the information need not be so important that it would have changed the investor’s decision to buy or sell.) Information that should be considered material includes, but is not limited to, changes in dividend policies, earnings estimates, changes in previously released earnings estimates, significant merger or acquisition proposals or agreements, major litigation, changes in management, the grant or denial of significant governmental or regulatory approvals, liquidity problems and significant new products, services or contracts. Material information can also relate to events or circumstances affecting the market for an issuer’s securities such as information that a brokerage house is about to issue a stock recommendation or that a forthcoming newspaper column will contain information that is expected to affect the market price of a security. Information is considered nonpublic until such time as it has been disseminated in a manner making it available to investors generally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company press releases or public filings).</w:t>
      </w:r>
    </w:p>
    <w:p>
      <w:pPr>
        <w:spacing w:after="0" w:line="338" w:lineRule="exact"/>
        <w:rPr>
          <w:sz w:val="20"/>
          <w:szCs w:val="20"/>
          <w:color w:val="auto"/>
        </w:rPr>
      </w:pPr>
    </w:p>
    <w:p>
      <w:pPr>
        <w:ind w:left="460" w:hanging="452"/>
        <w:spacing w:after="0"/>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Tippers and Tippees</w:t>
      </w:r>
    </w:p>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Given the business activities of the Firm, it is important to understand that a person can be held liable for insider trading even if that person does not personally engage in any trading activity; in the U.S., for example, federal securities laws permit liability under certain circumstances when a person communicates information to another person who then trades. In addition, the person who receives such nonpublic information may be subject to liability if he or she knows or should have known that nonpublic information was provided to him or her in violation of a duty owed to a third party.</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Note that the prohibition on trading while in possession of material nonpublic information or tipping such information applies to the securities of all public companies, including companies with which the Firm and the Fund neither have, nor are considering, an investment or other relationship.</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75" w:name="page76"/>
    <w:bookmarkEnd w:id="75"/>
    <w:p>
      <w:pPr>
        <w:ind w:left="460" w:hanging="452"/>
        <w:spacing w:after="0"/>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Monitoring List</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Firm’s Monitoring List contains the names of issuers about which the TPG Compliance has a reason to monitor Firm or personnel trading in the issuer or its related entities for potential conflicts of interest and actual or the appearance of insider trading. Issuers on the Monitoring List may include, for example, existing and former portfolio companies, companies where a Firm employee is a board member, and companies about which the Firm or its personnel have received or anticipate receiving material nonpublic information.</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Monitoring List is a </w:t>
      </w:r>
      <w:r>
        <w:rPr>
          <w:rFonts w:ascii="Times New Roman" w:cs="Times New Roman" w:eastAsia="Times New Roman" w:hAnsi="Times New Roman"/>
          <w:sz w:val="18"/>
          <w:szCs w:val="18"/>
          <w:u w:val="single" w:color="auto"/>
          <w:color w:val="auto"/>
        </w:rPr>
        <w:t>highly confidential</w:t>
      </w:r>
      <w:r>
        <w:rPr>
          <w:rFonts w:ascii="Times New Roman" w:cs="Times New Roman" w:eastAsia="Times New Roman" w:hAnsi="Times New Roman"/>
          <w:sz w:val="18"/>
          <w:szCs w:val="18"/>
          <w:color w:val="auto"/>
        </w:rPr>
        <w:t xml:space="preserve"> list that is maintained in the possession of the CCO, his designees and certain other limited personnel within the Firm. Its contents generally will not be shared by TPG Compliance within the Firm and otherwise must not be communicated directly or indirectly to anyone outside the Firm without the prior consent of the CCO.</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 assist in ensuring that the Monitoring List is current and complete, if you are presented with the opportunity to learn nonpublic information in connection with your analysis of any security or other instrument, prior to obtaining the information or signing any confidentiality letter or agreement relating to the information, you must clear with the Legal Department the receipt of such information and the signing of any such confidentiality letter or agreement. The issuer to which the information relates will be placed on the Firm’s Monitoring List, as appropriate.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you inadvertently receive or anticipate receiving information about an issuer that you believe may be material nonpublic information (including unsolicited information from an investment bank or similar source), you must immediately notify the CCO of the information. If the CCO determines that the information constitutes material nonpublic information that might expose a Firm or any of its affiliates to liability for “insider trading,” the issuer to which the information relates will be placed on the Monitoring List.</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Trading in a name on the Monitoring List by any person covered by the Code either for their own account or for the account of any of the Funds is subject to prior review by TPG Compliance and may on a case-by-case basis include a determination as to whether the Firm or any member or employee of any Firm or any person covered by the Code may be in possession of material nonpublic information.</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maintaining the Monitoring List, TPG Compliance will apply such procedures as it deems appropriate, which may include attending Firm meetings and monitoring email and other communications, both internal and external, of Firm personnel.</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TPG Compliance will determine when an issuer may be removed from the Monitoring List after consideration of the relevant facts and circumstances. TPG Compliance generally will not remove an issuer from the Monitoring List until the relevant material nonpublic information has been publicly disclosed or ceased to be material.</w:t>
      </w:r>
    </w:p>
    <w:p>
      <w:pPr>
        <w:spacing w:after="0" w:line="325" w:lineRule="exact"/>
        <w:rPr>
          <w:sz w:val="20"/>
          <w:szCs w:val="20"/>
          <w:color w:val="auto"/>
        </w:rPr>
      </w:pPr>
    </w:p>
    <w:p>
      <w:pPr>
        <w:ind w:left="460" w:hanging="452"/>
        <w:spacing w:after="0"/>
        <w:tabs>
          <w:tab w:leader="none" w:pos="4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Specific to Insider Trading Violations</w:t>
      </w:r>
    </w:p>
    <w:p>
      <w:pPr>
        <w:spacing w:after="0" w:line="11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Insider trading violations may result in severe sanctions being imposed on the individuals involved and on the Firm. These could involve administrative sanctions by various regulatory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0" w:right="259" w:bottom="1440" w:gutter="0" w:footer="0" w:header="0"/>
        </w:sectPr>
      </w:pPr>
    </w:p>
    <w:bookmarkStart w:id="76" w:name="page77"/>
    <w:bookmarkEnd w:id="7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agencies, such as being barred from employment in the securities industry, regulatory suits for disgorgement and civil penalties of, in the aggregate, up to three times the profits gained or losses avoided by the trading, private damage suits brought by persons who traded in the market at or about the same time as the person who traded on inside information, and criminal prosecution which could result in substantial fines and jail sentences. In addition, even in the absence of legal action, violation of insider trading prohibitions or failure to comply with this Code may result in termination of your employment and referral to the appropriate authorities.</w:t>
      </w:r>
    </w:p>
    <w:p>
      <w:pPr>
        <w:spacing w:after="0" w:line="333" w:lineRule="exact"/>
        <w:rPr>
          <w:sz w:val="20"/>
          <w:szCs w:val="20"/>
          <w:color w:val="auto"/>
        </w:rPr>
      </w:pPr>
    </w:p>
    <w:p>
      <w:pPr>
        <w:ind w:left="460" w:hanging="452"/>
        <w:spacing w:after="0"/>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Duty to Use Inside Information</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Although the Firm has a fiduciary relationship with the Fund, it has no legal obligation to recommend or carry out investment transactions in the securities of any issuer while in possession of information it knows to be “inside” information relating to that issuer. In fact, as noted above, such conduct often might violate the federal securities laws.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you have any doubt or uncertainty about whether any particular course of action might give rise to an insider trading issue, you should consult with the Chief Compliance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Personal Trading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ind w:left="460" w:hanging="452"/>
        <w:spacing w:after="0"/>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Personal Trading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Brokers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 are limited to opening and maintaining personal brokerage accounts with brokerage firms which provide electronic feeds of your personal trading activity into the Electronic Personal Trading System (“</w:t>
      </w:r>
      <w:r>
        <w:rPr>
          <w:rFonts w:ascii="Times New Roman" w:cs="Times New Roman" w:eastAsia="Times New Roman" w:hAnsi="Times New Roman"/>
          <w:sz w:val="18"/>
          <w:szCs w:val="18"/>
          <w:b w:val="1"/>
          <w:bCs w:val="1"/>
          <w:i w:val="1"/>
          <w:iCs w:val="1"/>
          <w:color w:val="auto"/>
        </w:rPr>
        <w:t>Approved Brokers</w:t>
      </w:r>
      <w:r>
        <w:rPr>
          <w:rFonts w:ascii="Times New Roman" w:cs="Times New Roman" w:eastAsia="Times New Roman" w:hAnsi="Times New Roman"/>
          <w:sz w:val="18"/>
          <w:szCs w:val="18"/>
          <w:color w:val="auto"/>
        </w:rPr>
        <w:t>”) absent written approval from the CCO. Such approval will be conditioned upon your agreeing to pay costs associated with compliance reviews of your accounts. Please note this requirement also applies to your family/household.</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Personal securities transactions executed with Approved Brokers are updated electronically and monitored by TPG Compliance through the Electronic Personal Trading System. The current list of Approved Brokers can be accessed on the Compliance policies and procedures page of TPGnet at </w:t>
      </w:r>
      <w:r>
        <w:rPr>
          <w:rFonts w:ascii="Times New Roman" w:cs="Times New Roman" w:eastAsia="Times New Roman" w:hAnsi="Times New Roman"/>
          <w:sz w:val="18"/>
          <w:szCs w:val="18"/>
          <w:i w:val="1"/>
          <w:iCs w:val="1"/>
          <w:u w:val="single" w:color="auto"/>
          <w:color w:val="auto"/>
        </w:rPr>
        <w:t>TPG Approved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Brokers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is available from TPG Compliance.</w:t>
      </w:r>
    </w:p>
    <w:p>
      <w:pPr>
        <w:spacing w:after="0" w:line="174"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You should consult TPG Compliance if you believe that you have reportable accounts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family trust accounts and discretionary managed accounts) that cannot readily be maintained with an Approved Broker.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Preclearance Requirement</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Subject to a number of exceptions reflected in the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you must obtain prior written approval from the Chief Compliance Officer or his/her designee before engaging in a transaction that includes purchasing, selling, transferring, receiving or giving as a gift or exercising 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0" w:right="239" w:bottom="1440" w:gutter="0" w:footer="0" w:header="0"/>
        </w:sectPr>
      </w:pPr>
    </w:p>
    <w:bookmarkStart w:id="77" w:name="page78"/>
    <w:bookmarkEnd w:id="77"/>
    <w:p>
      <w:pPr>
        <w:ind w:righ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on/in any Covered Security in any account of which you or a member of your family/household has any Beneficial Ownership. Details on the preclearance procedures are provided in the “Personal Trading Procedures” section of the Code, and details regarding the exceptions to the preclearance requirement are set forth in the Supplement.</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purposes of the preclearance requirements and reporting requirements noted below, a person is generally presumed to have Beneficial Ownership of the following securities:</w:t>
      </w:r>
    </w:p>
    <w:p>
      <w:pPr>
        <w:spacing w:after="0" w:line="67" w:lineRule="exact"/>
        <w:rPr>
          <w:sz w:val="20"/>
          <w:szCs w:val="20"/>
          <w:color w:val="auto"/>
        </w:rPr>
      </w:pPr>
    </w:p>
    <w:p>
      <w:pPr>
        <w:ind w:left="460" w:hanging="452"/>
        <w:spacing w:after="0"/>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owned in the person’s name, or that are held for the person’s benefit in nominee, custodial or “street name” accounts;</w:t>
      </w:r>
    </w:p>
    <w:p>
      <w:pPr>
        <w:spacing w:after="0" w:line="130"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owned directly or indirectly through an account or investment vehicle for the person’s benefit, such as a 401k, IRA, family trust or family partnership;</w:t>
      </w:r>
    </w:p>
    <w:p>
      <w:pPr>
        <w:spacing w:after="0" w:line="67" w:lineRule="exact"/>
        <w:rPr>
          <w:rFonts w:ascii="Times New Roman" w:cs="Times New Roman" w:eastAsia="Times New Roman" w:hAnsi="Times New Roman"/>
          <w:sz w:val="18"/>
          <w:szCs w:val="18"/>
          <w:color w:val="auto"/>
        </w:rPr>
      </w:pPr>
    </w:p>
    <w:p>
      <w:pPr>
        <w:ind w:left="460" w:right="40" w:hanging="452"/>
        <w:spacing w:after="0" w:line="282"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owned by or for a partnership in which the person is a general partner (whether the name is under the name of that partner, another partner or the partnership or through a nominee, custodial or “street name” account);</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 which the person has a joint ownership interest, such as property owned in a joint brokerage account;</w:t>
      </w:r>
    </w:p>
    <w:p>
      <w:pPr>
        <w:spacing w:after="0" w:line="130"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in which a member of a person’s family/household has a direct, indirect or joint ownership interest if the family/household member resides in his or her household;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owned by trusts, private foundations or other charitable accounts for which the person has investment discretion;</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owned by a trust of which the person is a beneficiary; and</w:t>
      </w:r>
    </w:p>
    <w:p>
      <w:pPr>
        <w:spacing w:after="0" w:line="130" w:lineRule="exact"/>
        <w:rPr>
          <w:rFonts w:ascii="Times New Roman" w:cs="Times New Roman" w:eastAsia="Times New Roman" w:hAnsi="Times New Roman"/>
          <w:sz w:val="18"/>
          <w:szCs w:val="18"/>
          <w:color w:val="auto"/>
        </w:rPr>
      </w:pPr>
    </w:p>
    <w:p>
      <w:pPr>
        <w:ind w:left="460" w:right="140" w:hanging="452"/>
        <w:spacing w:after="0" w:line="256" w:lineRule="auto"/>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that are being managed for a person’s benefit on a discretionary basis by a financial advisor, broker, bank, trust Fund or similar manager, unless the securities are held in a “blind trust” or similar arrangement under which the person is prohibited by contract from communicating with the manager of the account and the manager is prohibited from disclosing to the person what investments are held in the account. (Just putting securities into a discretionary account is not enough to remove them from a person’s Beneficial Ownership. That is because, unless the account is a “blind trust” or similar arrangement, the owner of the account can still communicate with the manager about the account and potentially influence the manager’s investment decisions.)</w:t>
      </w:r>
    </w:p>
    <w:p>
      <w:pPr>
        <w:spacing w:after="0" w:line="188"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This is not a complete list of the forms of ownership that could constitute Beneficial Ownership for purposes of the Code. You should ask the Chief Compliance Officer if you have any questions or doubts at all about whether you or a member of your family/household would be considered to have Beneficial Ownership in any particular situation.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Prohibition on Trading in Covered Securities that Are Being Considered for Purchase or Sale for the Fund</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Barring a communication from the CCO or his designee otherwise, you and members of your family/household are prohibited from trading in a Covered Security if you have actual knowledge that such security is being considered for purchase or sale by the Fund. This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0" w:right="259" w:bottom="1440" w:gutter="0" w:footer="0" w:header="0"/>
        </w:sectPr>
      </w:pPr>
    </w:p>
    <w:bookmarkStart w:id="78" w:name="page79"/>
    <w:bookmarkEnd w:id="78"/>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prohibition applies during the entire period that the Covered Security is being considered for purchase or sale and regardless of whether the Covered Security is actually purchased or sold by the Fund.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are restricted and will be denied preclearance under the circumstances noted herein.</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Please note that the above restrictions apply to the Covered Security and to instruments related to the Covered Security. A related instrument is any security or instrument issued by the same entity as the issuer of the Covered Security, including options, rights, warrants, preferred stock, bonds, and other obligations of that issuer or instruments otherwise convertible into securities of that issuer. The restrictions may also apply to issuers that own or otherwise have a substantial interest in the Covered Security, such as a parent of the Covered Security or related instrument.</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restrictions described above are designed to avoid conflicts with the Fund’s interests. However, patterns of trading that meet the letter of the restrictions but are intended to circumvent the restrictions are also prohibited. It is expected that you will comply with the restrictions below in good faith and conduct your personal securities transactions in keeping with the intended purpose of the Code.</w:t>
      </w:r>
    </w:p>
    <w:p>
      <w:pPr>
        <w:spacing w:after="0" w:line="66" w:lineRule="exact"/>
        <w:rPr>
          <w:sz w:val="20"/>
          <w:szCs w:val="20"/>
          <w:color w:val="auto"/>
        </w:rPr>
      </w:pPr>
    </w:p>
    <w:p>
      <w:pPr>
        <w:ind w:left="460" w:right="140"/>
        <w:spacing w:after="0" w:line="267" w:lineRule="auto"/>
        <w:rPr>
          <w:sz w:val="20"/>
          <w:szCs w:val="20"/>
          <w:color w:val="auto"/>
        </w:rPr>
      </w:pPr>
      <w:r>
        <w:rPr>
          <w:rFonts w:ascii="Times New Roman" w:cs="Times New Roman" w:eastAsia="Times New Roman" w:hAnsi="Times New Roman"/>
          <w:sz w:val="18"/>
          <w:szCs w:val="18"/>
          <w:i w:val="1"/>
          <w:iCs w:val="1"/>
          <w:color w:val="auto"/>
        </w:rPr>
        <w:t>Exception</w:t>
      </w:r>
      <w:r>
        <w:rPr>
          <w:rFonts w:ascii="Times New Roman" w:cs="Times New Roman" w:eastAsia="Times New Roman" w:hAnsi="Times New Roman"/>
          <w:sz w:val="18"/>
          <w:szCs w:val="18"/>
          <w:color w:val="auto"/>
        </w:rPr>
        <w:t>: The above prohibition does not apply to transactions where neither you nor a member of your family/household exercises any discretion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buy or sell or makes recommendations to a person who exercises such discretion or transactions in Covered Securities pursuant to an automatic dividend or investment plan.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Excessive Trading</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Personal trading activity must not be so excessive as to conflict with time spent in fulfilling one’s daily job responsibilities on behalf of the Firm. TPG Compliance reserves the right to require that you include your managers on requests for preclearance, to contact your managers regarding your trading levels and/or to impose certain restrictions on the frequency of such activity.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Discretionary Managed Accounts – Preclearance Exemption</w:t>
      </w:r>
    </w:p>
    <w:p>
      <w:pPr>
        <w:spacing w:after="0" w:line="11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You are permitted to invest through a discretionary managed account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account for which someone other than you has investment discretion) without being required to preclear transactions only under the following condition: Your financial advisor must provide TPG Compliance with a form of acknowledgement indicating, in relevant part, that the financial advisor will not consult you about, and you will not have any input into or knowledge of, the transactions to be placed prior to the execution of the transactions. Also, on at least an annual basis, your financial advisor must provide TPG Compliance with an acknowledgement confirming that during the prior period, he did not consult with you and you did not have any input into or knowledge of any transactions to be placed prior to the execution of the transactions.</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Although you are not required to preclear transactions in managed accounts that satisfy the aforementioned condition, you are required to report transactions and holdings in such accounts.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79" w:name="page80"/>
    <w:bookmarkEnd w:id="79"/>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effect the managed account exemption for an account, contact TPG Compliance for a managed account compliance letter which can be sent to your financial advisor.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Periodically, TPG Compliance may ask that you reaffirm the terms of any approved arrangement.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Offerings</w:t>
      </w:r>
    </w:p>
    <w:p>
      <w:pPr>
        <w:spacing w:after="0" w:line="11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Neither you nor any member of your family/household may engage in a personal transaction involving the purchase of any security (debt or equity) in an initial public offering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(including initial offerings of closed-end funds) except with the specific, advance written approval of the Chief Compliance Officer, which the Chief Compliance Officer may deny for any reason.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Offerings</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Neither you nor any member of your family/household may purchase securities in a Limited Offering except with the specific, advance written approval of the Chief Compliance Officer, which the Chief Compliance Officer may deny for any reason.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preclearance is obtained, the approval is valid until the Limited Offering transaction closes.</w:t>
      </w:r>
    </w:p>
    <w:p>
      <w:pPr>
        <w:spacing w:after="0" w:line="374" w:lineRule="exact"/>
        <w:rPr>
          <w:sz w:val="20"/>
          <w:szCs w:val="20"/>
          <w:color w:val="auto"/>
        </w:rPr>
      </w:pPr>
    </w:p>
    <w:p>
      <w:pPr>
        <w:ind w:left="460" w:hanging="452"/>
        <w:spacing w:after="0"/>
        <w:tabs>
          <w:tab w:leader="none" w:pos="4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Trading Procedures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Preclearance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 and members of your family/household are prohibited from engaging in certain transactions in a Covered Security in any account of which you or a member of your family/household has any Beneficial Ownership, unless you obtain, in advance of the transaction, preclearance for that transaction. Approval must be obtained prior to placing a trade with a broker or otherwise transacting in a Covered Security.</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Preclearance is obtained by submitting a request via the Electronic Personal Trading System. Only if the Electronic Personal Trading System is unavailable may a manual preclearance form be submitted. Contact TPG Compliance if this situation arises.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Length of Trade Authorization</w:t>
      </w:r>
    </w:p>
    <w:p>
      <w:pPr>
        <w:spacing w:after="0" w:line="133" w:lineRule="exact"/>
        <w:rPr>
          <w:sz w:val="20"/>
          <w:szCs w:val="20"/>
          <w:color w:val="auto"/>
        </w:rPr>
      </w:pPr>
    </w:p>
    <w:p>
      <w:pPr>
        <w:ind w:left="460" w:right="80" w:hanging="452"/>
        <w:spacing w:after="0" w:line="281" w:lineRule="auto"/>
        <w:tabs>
          <w:tab w:leader="none" w:pos="4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Market Order</w:t>
      </w:r>
      <w:r>
        <w:rPr>
          <w:rFonts w:ascii="Times New Roman" w:cs="Times New Roman" w:eastAsia="Times New Roman" w:hAnsi="Times New Roman"/>
          <w:sz w:val="17"/>
          <w:szCs w:val="17"/>
          <w:color w:val="auto"/>
        </w:rPr>
        <w:t>. Except as otherwise approved in writing by the CCO, any authorization of a transaction is effective until the earlier of (1) its revocation by TPG Compliance, (2) the close of business on the trading day immediately following the day on which authorization is granted (for example, if authorization is provided on a Monday, it is effective until the close of business on Tuesday) or (3) the moment you learn that the information in your preclearance request is not accurate. If the order is not placed within that period, a new authorization must be obtained before you place the trade.</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60"/>
          </w:cols>
          <w:pgMar w:left="240" w:top="270" w:right="299" w:bottom="1440" w:gutter="0" w:footer="0" w:header="0"/>
        </w:sectPr>
      </w:pPr>
    </w:p>
    <w:bookmarkStart w:id="80" w:name="page81"/>
    <w:bookmarkEnd w:id="80"/>
    <w:p>
      <w:pPr>
        <w:ind w:left="460" w:right="20" w:hanging="452"/>
        <w:spacing w:after="0" w:line="258" w:lineRule="auto"/>
        <w:tabs>
          <w:tab w:leader="none" w:pos="4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 Order</w:t>
      </w:r>
      <w:r>
        <w:rPr>
          <w:rFonts w:ascii="Times New Roman" w:cs="Times New Roman" w:eastAsia="Times New Roman" w:hAnsi="Times New Roman"/>
          <w:sz w:val="18"/>
          <w:szCs w:val="18"/>
          <w:color w:val="auto"/>
        </w:rPr>
        <w:t>. Should you request approval for a limit order, it must be placed on the day it is granted or the immediately following business day and can remain open so long as the security, price and size parameters remain unchanged. If you would like to change any parameters of the requested trade, including a cancellation, then you must request a new approval to make the change or to cancel the order. When requesting approval to place a limit order, you must affirmatively disclose to the Chief Compliance Officer its treatment as a limit order, the price at which the limit order is set to execute and the size of the intended order.</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Chief Compliance Officer may deny a preclearance request for any reason and for any length of time. The reason for the denial and the period of time the security may not be traded need not be disclosed by the Chief Compliance Officer. The Chief Compliance Officer may also revoke a preclearance at any time after it is granted and before you execute the transaction.</w:t>
      </w:r>
    </w:p>
    <w:p>
      <w:pPr>
        <w:spacing w:after="0" w:line="325" w:lineRule="exact"/>
        <w:rPr>
          <w:sz w:val="20"/>
          <w:szCs w:val="20"/>
          <w:color w:val="auto"/>
        </w:rPr>
      </w:pPr>
    </w:p>
    <w:p>
      <w:pPr>
        <w:ind w:left="460" w:hanging="452"/>
        <w:spacing w:after="0"/>
        <w:tabs>
          <w:tab w:leader="none" w:pos="4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Exemptions</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Subject to applicable law, the Chief Compliance Officer may from time to time grant waivers or exemptions, other than or in addition to those described previously, from the trading restrictions, preclearance requirements or other provisions of the Code with respect to particular individuals and/or particular types of transactions or securities, if, in the opinion of the Chief Compliance Officer, such an exemption is appropriate in light of all the circumstances. The Chief Compliance Officer will memorialize such waivers or exemptions.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and Certification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left="460" w:hanging="452"/>
        <w:spacing w:after="0"/>
        <w:tabs>
          <w:tab w:leader="none" w:pos="4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Securities Reports and Certifications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and Annual Holdings Reports</w:t>
      </w:r>
    </w:p>
    <w:p>
      <w:pPr>
        <w:spacing w:after="0" w:line="119" w:lineRule="exact"/>
        <w:rPr>
          <w:sz w:val="20"/>
          <w:szCs w:val="20"/>
          <w:color w:val="auto"/>
        </w:rPr>
      </w:pPr>
    </w:p>
    <w:p>
      <w:pPr>
        <w:ind w:right="400"/>
        <w:spacing w:after="0" w:line="313" w:lineRule="auto"/>
        <w:rPr>
          <w:sz w:val="20"/>
          <w:szCs w:val="20"/>
          <w:color w:val="auto"/>
        </w:rPr>
      </w:pPr>
      <w:r>
        <w:rPr>
          <w:rFonts w:ascii="Times New Roman" w:cs="Times New Roman" w:eastAsia="Times New Roman" w:hAnsi="Times New Roman"/>
          <w:sz w:val="17"/>
          <w:szCs w:val="17"/>
          <w:color w:val="auto"/>
        </w:rPr>
        <w:t xml:space="preserve">You are required to disclose your Covered Securities promptly upon commencement of employment and on an </w:t>
      </w:r>
      <w:r>
        <w:rPr>
          <w:rFonts w:ascii="Times New Roman" w:cs="Times New Roman" w:eastAsia="Times New Roman" w:hAnsi="Times New Roman"/>
          <w:sz w:val="17"/>
          <w:szCs w:val="17"/>
          <w:u w:val="single" w:color="auto"/>
          <w:color w:val="auto"/>
        </w:rPr>
        <w:t>annual basis</w:t>
      </w:r>
      <w:r>
        <w:rPr>
          <w:rFonts w:ascii="Times New Roman" w:cs="Times New Roman" w:eastAsia="Times New Roman" w:hAnsi="Times New Roman"/>
          <w:sz w:val="17"/>
          <w:szCs w:val="17"/>
          <w:color w:val="auto"/>
        </w:rPr>
        <w:t xml:space="preserve"> thereafter. Please see the definition of a Covered Security under “Definitions” above (and the Supplement) for detail on which securities would be considered Covered Securities.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must submit initial and annual holdings reports:</w:t>
      </w:r>
    </w:p>
    <w:p>
      <w:pPr>
        <w:spacing w:after="0" w:line="131" w:lineRule="exact"/>
        <w:rPr>
          <w:sz w:val="20"/>
          <w:szCs w:val="20"/>
          <w:color w:val="auto"/>
        </w:rPr>
      </w:pPr>
    </w:p>
    <w:p>
      <w:pPr>
        <w:ind w:left="460" w:right="300" w:hanging="452"/>
        <w:spacing w:after="0" w:line="282" w:lineRule="auto"/>
        <w:tabs>
          <w:tab w:leader="none" w:pos="4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10 calendar days after becoming covered by the Code, and the information must be current as of a date no more than 45 calendar days prior to the date you become covered by the Code; and</w:t>
      </w:r>
    </w:p>
    <w:p>
      <w:pPr>
        <w:spacing w:after="0" w:line="67" w:lineRule="exact"/>
        <w:rPr>
          <w:rFonts w:ascii="Times New Roman" w:cs="Times New Roman" w:eastAsia="Times New Roman" w:hAnsi="Times New Roman"/>
          <w:sz w:val="18"/>
          <w:szCs w:val="18"/>
          <w:color w:val="auto"/>
        </w:rPr>
      </w:pPr>
    </w:p>
    <w:p>
      <w:pPr>
        <w:ind w:left="460" w:right="400" w:hanging="452"/>
        <w:spacing w:after="0" w:line="282" w:lineRule="auto"/>
        <w:tabs>
          <w:tab w:leader="none" w:pos="4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once each 12-month period thereafter, and the information must be current as of a date no more than 45 calendar days prior to the date the report was submitted.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initial and annual holding reports must contain, with respect to any Covered Security:</w:t>
      </w:r>
    </w:p>
    <w:p>
      <w:pPr>
        <w:spacing w:after="0" w:line="131" w:lineRule="exact"/>
        <w:rPr>
          <w:sz w:val="20"/>
          <w:szCs w:val="20"/>
          <w:color w:val="auto"/>
        </w:rPr>
      </w:pPr>
    </w:p>
    <w:p>
      <w:pPr>
        <w:ind w:left="460" w:hanging="452"/>
        <w:spacing w:after="0"/>
        <w:tabs>
          <w:tab w:leader="none" w:pos="4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type of each Covered Security;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70" w:right="279" w:bottom="1440" w:gutter="0" w:footer="0" w:header="0"/>
        </w:sectPr>
      </w:pPr>
    </w:p>
    <w:bookmarkStart w:id="81" w:name="page82"/>
    <w:bookmarkEnd w:id="81"/>
    <w:p>
      <w:pPr>
        <w:ind w:left="460" w:hanging="452"/>
        <w:spacing w:after="0"/>
        <w:tabs>
          <w:tab w:leader="none" w:pos="4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applicable, the exchange ticker symbol or CUSIP number, number of shares and principal amount of each Covered Security;</w:t>
      </w:r>
    </w:p>
    <w:p>
      <w:pPr>
        <w:spacing w:after="0" w:line="130" w:lineRule="exact"/>
        <w:rPr>
          <w:rFonts w:ascii="Times New Roman" w:cs="Times New Roman" w:eastAsia="Times New Roman" w:hAnsi="Times New Roman"/>
          <w:sz w:val="18"/>
          <w:szCs w:val="18"/>
          <w:color w:val="auto"/>
        </w:rPr>
      </w:pPr>
    </w:p>
    <w:p>
      <w:pPr>
        <w:ind w:left="460" w:right="220" w:hanging="452"/>
        <w:spacing w:after="0" w:line="282" w:lineRule="auto"/>
        <w:tabs>
          <w:tab w:leader="none" w:pos="4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broker, dealer or bank with which you maintain an account in which any Covered Security is held for your direct or indirect benefit; and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you submit the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be prompted by TPG Compliance when the information is due for submission.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 Activity</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If you or any member of your family/household has an investment account with any broker, dealer or bank, you or your family/household member must arrange for (i) an electronic feed of account activity if the account is with an Approved Broker or (ii) the broker, dealer or bank to send directly to TPG Compliance </w:t>
      </w:r>
      <w:r>
        <w:rPr>
          <w:rFonts w:ascii="Times New Roman" w:cs="Times New Roman" w:eastAsia="Times New Roman" w:hAnsi="Times New Roman"/>
          <w:sz w:val="18"/>
          <w:szCs w:val="18"/>
          <w:u w:val="single" w:color="auto"/>
          <w:color w:val="auto"/>
        </w:rPr>
        <w:t>contemporaneous</w:t>
      </w:r>
      <w:r>
        <w:rPr>
          <w:rFonts w:ascii="Times New Roman" w:cs="Times New Roman" w:eastAsia="Times New Roman" w:hAnsi="Times New Roman"/>
          <w:sz w:val="18"/>
          <w:szCs w:val="18"/>
          <w:color w:val="auto"/>
        </w:rPr>
        <w:t xml:space="preserve"> duplicate copies of all brokerage statements and trade confirmations relating to that account if a waiver from the Approved Broker requirement has been granted by the Chief Compliance Officer, by email at </w:t>
      </w:r>
      <w:r>
        <w:rPr>
          <w:rFonts w:ascii="Times New Roman" w:cs="Times New Roman" w:eastAsia="Times New Roman" w:hAnsi="Times New Roman"/>
          <w:sz w:val="18"/>
          <w:szCs w:val="18"/>
          <w:u w:val="single" w:color="auto"/>
          <w:color w:val="auto"/>
        </w:rPr>
        <w:t>brokeragestatements@tpg.com</w:t>
      </w:r>
      <w:r>
        <w:rPr>
          <w:rFonts w:ascii="Times New Roman" w:cs="Times New Roman" w:eastAsia="Times New Roman" w:hAnsi="Times New Roman"/>
          <w:sz w:val="18"/>
          <w:szCs w:val="18"/>
          <w:color w:val="auto"/>
        </w:rPr>
        <w:t xml:space="preserve"> or in hard copy to Compliance Desk, 301 Commerce Street, Suite 3300, Fort Worth, Texas 76102 or to such other third party as TPG Compliance shall designate.</w:t>
      </w:r>
    </w:p>
    <w:p>
      <w:pPr>
        <w:spacing w:after="0" w:line="74" w:lineRule="exact"/>
        <w:rPr>
          <w:sz w:val="20"/>
          <w:szCs w:val="20"/>
          <w:color w:val="auto"/>
        </w:rPr>
      </w:pPr>
    </w:p>
    <w:p>
      <w:pPr>
        <w:ind w:left="460" w:right="80"/>
        <w:spacing w:after="0" w:line="267" w:lineRule="auto"/>
        <w:rPr>
          <w:sz w:val="20"/>
          <w:szCs w:val="20"/>
          <w:color w:val="auto"/>
        </w:rPr>
      </w:pPr>
      <w:r>
        <w:rPr>
          <w:rFonts w:ascii="Times New Roman" w:cs="Times New Roman" w:eastAsia="Times New Roman" w:hAnsi="Times New Roman"/>
          <w:sz w:val="18"/>
          <w:szCs w:val="18"/>
          <w:i w:val="1"/>
          <w:iCs w:val="1"/>
          <w:color w:val="auto"/>
        </w:rPr>
        <w:t>Exception</w:t>
      </w:r>
      <w:r>
        <w:rPr>
          <w:rFonts w:ascii="Times New Roman" w:cs="Times New Roman" w:eastAsia="Times New Roman" w:hAnsi="Times New Roman"/>
          <w:sz w:val="18"/>
          <w:szCs w:val="18"/>
          <w:color w:val="auto"/>
        </w:rPr>
        <w:t>: If applicable laws or regulations in the jurisdiction relevant for your or your family/household’s purposes prohibit brokers, dealers or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providing duplicate brokerage statements and trade confirmations directly to the Firm, you instead must file a quarterly transaction report as specified below.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Certification and Quarterly Transaction Reports</w:t>
      </w:r>
    </w:p>
    <w:p>
      <w:pPr>
        <w:spacing w:after="0" w:line="133" w:lineRule="exact"/>
        <w:rPr>
          <w:sz w:val="20"/>
          <w:szCs w:val="20"/>
          <w:color w:val="auto"/>
        </w:rPr>
      </w:pPr>
    </w:p>
    <w:p>
      <w:pPr>
        <w:ind w:left="460" w:right="20" w:hanging="452"/>
        <w:spacing w:after="0" w:line="256" w:lineRule="auto"/>
        <w:tabs>
          <w:tab w:leader="none" w:pos="4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Certification</w:t>
      </w:r>
      <w:r>
        <w:rPr>
          <w:rFonts w:ascii="Times New Roman" w:cs="Times New Roman" w:eastAsia="Times New Roman" w:hAnsi="Times New Roman"/>
          <w:sz w:val="18"/>
          <w:szCs w:val="18"/>
          <w:color w:val="auto"/>
        </w:rPr>
        <w:t>. You are required to make a certification regarding your personal securities transactions each quarter via the Electronic Personal Trading System. Specifically, every calendar quarter, you must certify that you and your family/household have directed all brokers, dealers and banks to furnish duplicate brokerage statements and trade confirmations directly to TPG Compliance, that no transactions that would be required to be reported were effected during the quarter except through accounts for which you and your family/household have directed the broker, dealer or bank to send brokerage statements and trade confirmations directly to TPG Compliance and that, as far as you and your family/household know, those statements and confirmations are complete and accurate representations of all transactions during the most recent calendar quarter.</w:t>
      </w:r>
    </w:p>
    <w:p>
      <w:pPr>
        <w:spacing w:after="0" w:line="79" w:lineRule="exact"/>
        <w:rPr>
          <w:rFonts w:ascii="Times New Roman" w:cs="Times New Roman" w:eastAsia="Times New Roman" w:hAnsi="Times New Roman"/>
          <w:sz w:val="18"/>
          <w:szCs w:val="18"/>
          <w:color w:val="auto"/>
        </w:rPr>
      </w:pPr>
    </w:p>
    <w:p>
      <w:pPr>
        <w:ind w:lef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Compliance will notify you of this certification requirement each quarter. This certification must be completed no later than 30 calendar days after the close of the calendar quarter. Failure to submit within 30 calendar days contravenes applicable regulatory requirements.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270" w:right="279" w:bottom="1440" w:gutter="0" w:footer="0" w:header="0"/>
        </w:sectPr>
      </w:pPr>
    </w:p>
    <w:bookmarkStart w:id="82" w:name="page83"/>
    <w:bookmarkEnd w:id="82"/>
    <w:p>
      <w:pPr>
        <w:jc w:val="both"/>
        <w:ind w:left="460" w:hanging="452"/>
        <w:spacing w:after="0" w:line="289" w:lineRule="auto"/>
        <w:tabs>
          <w:tab w:leader="none" w:pos="46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Quarterly Transaction Report</w:t>
      </w:r>
      <w:r>
        <w:rPr>
          <w:rFonts w:ascii="Times New Roman" w:cs="Times New Roman" w:eastAsia="Times New Roman" w:hAnsi="Times New Roman"/>
          <w:sz w:val="17"/>
          <w:szCs w:val="17"/>
          <w:color w:val="auto"/>
        </w:rPr>
        <w:t>. If applicable laws or regulations in the jurisdiction relevant for you or your family/household’s purposes prohibit brokers, dealers or banks from providing duplicate brokerage statements and trade confirmations directly to the Firm, no later than 30 calendar days after the end of March, June, September and December each year, you must use the Electronic Personal Trading System to submit a quarterly transaction report.</w:t>
      </w:r>
    </w:p>
    <w:p>
      <w:pPr>
        <w:spacing w:after="0" w:line="50"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Such quarterly transaction report must contain, with respect to any transaction involving a Covered Security:</w:t>
      </w:r>
    </w:p>
    <w:p>
      <w:pPr>
        <w:spacing w:after="0" w:line="130" w:lineRule="exact"/>
        <w:rPr>
          <w:rFonts w:ascii="Times New Roman" w:cs="Times New Roman" w:eastAsia="Times New Roman" w:hAnsi="Times New Roman"/>
          <w:sz w:val="17"/>
          <w:szCs w:val="17"/>
          <w:color w:val="auto"/>
        </w:rPr>
      </w:pPr>
    </w:p>
    <w:p>
      <w:pPr>
        <w:ind w:left="900" w:right="220" w:hanging="446"/>
        <w:spacing w:after="0" w:line="282" w:lineRule="auto"/>
        <w:tabs>
          <w:tab w:leader="none" w:pos="9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transaction, the title, and as applicable, the exchange ticker symbol or CUSIP number, interest rate and maturity date, number of shares and principal amount of each Covered Security;</w:t>
      </w:r>
    </w:p>
    <w:p>
      <w:pPr>
        <w:spacing w:after="0" w:line="6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transaction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purchase, sale or any other type of acquisition or disposition);</w:t>
      </w:r>
    </w:p>
    <w:p>
      <w:pPr>
        <w:spacing w:after="0" w:line="13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Covered Security at which the transaction was effected;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broker, dealer or bank with or through which the transaction was effected;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you submit the report.</w:t>
      </w:r>
    </w:p>
    <w:p>
      <w:pPr>
        <w:spacing w:after="0" w:line="117" w:lineRule="exact"/>
        <w:rPr>
          <w:sz w:val="20"/>
          <w:szCs w:val="20"/>
          <w:color w:val="auto"/>
        </w:rPr>
      </w:pPr>
    </w:p>
    <w:p>
      <w:pPr>
        <w:ind w:left="460" w:right="160"/>
        <w:spacing w:after="0" w:line="261" w:lineRule="auto"/>
        <w:rPr>
          <w:sz w:val="20"/>
          <w:szCs w:val="20"/>
          <w:color w:val="auto"/>
        </w:rPr>
      </w:pPr>
      <w:r>
        <w:rPr>
          <w:rFonts w:ascii="Times New Roman" w:cs="Times New Roman" w:eastAsia="Times New Roman" w:hAnsi="Times New Roman"/>
          <w:sz w:val="18"/>
          <w:szCs w:val="18"/>
          <w:color w:val="auto"/>
        </w:rPr>
        <w:t>Following submission of the quarterly transaction report, you must provide to TPG Compliance copies of the brokerage statements and trade confirmations sent by the broker, dealer or bank, and must certify that those statements and confirmations accurately reflect all transactions during the most recent calendar quarter in Covered Securities. You should provide these copies simultaneously with the submission of your quarterly transaction report.</w:t>
      </w:r>
    </w:p>
    <w:p>
      <w:pPr>
        <w:spacing w:after="0" w:line="72" w:lineRule="exact"/>
        <w:rPr>
          <w:sz w:val="20"/>
          <w:szCs w:val="20"/>
          <w:color w:val="auto"/>
        </w:rPr>
      </w:pPr>
    </w:p>
    <w:p>
      <w:pPr>
        <w:ind w:left="460" w:right="120"/>
        <w:spacing w:after="0" w:line="266" w:lineRule="auto"/>
        <w:rPr>
          <w:sz w:val="20"/>
          <w:szCs w:val="20"/>
          <w:color w:val="auto"/>
        </w:rPr>
      </w:pPr>
      <w:r>
        <w:rPr>
          <w:rFonts w:ascii="Times New Roman" w:cs="Times New Roman" w:eastAsia="Times New Roman" w:hAnsi="Times New Roman"/>
          <w:sz w:val="18"/>
          <w:szCs w:val="18"/>
          <w:color w:val="auto"/>
        </w:rPr>
        <w:t>In the quarterly transaction report, you do not need to report transactions effected pursuant to an automatic investment plan. An “automatic investment plan” means a program in which regular periodic purchases (or withdrawals) are made automatically in (or from) investment accounts in accordance with a predetermined schedule and allocation. An automatic investment plan includes a dividend reinvestment plan.</w:t>
      </w:r>
    </w:p>
    <w:p>
      <w:pPr>
        <w:spacing w:after="0" w:line="325" w:lineRule="exact"/>
        <w:rPr>
          <w:sz w:val="20"/>
          <w:szCs w:val="20"/>
          <w:color w:val="auto"/>
        </w:rPr>
      </w:pPr>
    </w:p>
    <w:p>
      <w:pPr>
        <w:ind w:left="460" w:hanging="452"/>
        <w:spacing w:after="0"/>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and Annual Certifications and Questionnaires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Upon hire and at least annually thereafter, you will receive and be required to review the current Code. You may also be asked to acknowledge receipt of the Code, your understanding of the Code and your compliance with the Code.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0"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Conflicts of Interest</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Annually, you will be asked to complete a Conflicts of Interest questionnaire and certification. Such questionnaire may include items related to relationships with brokers or dealers and board memberships.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Disciplinary Questionnaire</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Annually, you will be asked to complete a disciplinary questionnaire and certification. Such questionnaire may include questions related to a variety of civil, criminal, regulatory or disciplinary matters.</w:t>
      </w:r>
    </w:p>
    <w:p>
      <w:pPr>
        <w:spacing w:after="0" w:line="310" w:lineRule="exact"/>
        <w:rPr>
          <w:sz w:val="20"/>
          <w:szCs w:val="20"/>
          <w:color w:val="auto"/>
        </w:rPr>
      </w:pPr>
    </w:p>
    <w:p>
      <w:pPr>
        <w:ind w:left="460" w:hanging="452"/>
        <w:spacing w:after="0"/>
        <w:tabs>
          <w:tab w:leader="none" w:pos="4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above reporting and certification requirements do not apply to transactions in or ownership of interests in private investment funds sponsored by TPG Global, LLC and its affiliates.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Service and Avoiding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To avoid conflicts of interest and other compliance and business issues, the Firm prohibits Covered Persons from serving as officers or members of the board of any other entity, except with the advance written approval of the Chief Compliance Officer. The Firm can deny such service for any reason. This approval requirement does not apply to service as an officer or board member of: (i) any parent or subsidiary of the Firm or any not-for-profit or similar entity;</w:t>
      </w:r>
    </w:p>
    <w:p>
      <w:pPr>
        <w:spacing w:after="0" w:line="2" w:lineRule="exact"/>
        <w:rPr>
          <w:sz w:val="20"/>
          <w:szCs w:val="20"/>
          <w:color w:val="auto"/>
        </w:rPr>
      </w:pPr>
    </w:p>
    <w:p>
      <w:pPr>
        <w:ind w:right="140" w:firstLine="8"/>
        <w:spacing w:after="0" w:line="261" w:lineRule="auto"/>
        <w:tabs>
          <w:tab w:leader="none" w:pos="26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requested by the Firm, any portfolio company held by the Fund; or (iii) any other entity for which such service was undertaken prior to date of the Firm’s initial adoption of the Code.</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Additional potential conflicts of the Firm, such as those related to gifts, political contributions and brokerage activities, are covered outside of the Code, and can be accessed on he Compliance page under the Firm Policy tab of TPGnet.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 and Investor 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nonpublic information concerning the Fund or its investors that you acquire in connection with your association at the Firm is confidential. That includes information regarding actual and contemplated investments, financial circumstances and Fund and investor interests. You should not discuss Fund or investor business, including the existence of an investor relationship, with outsiders unless it is a necessary part of your job responsibilities.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268" w:right="2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Enforcement of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TPG Compliance determines that you may have breached the Code, it will review and document the issue and discuss the issue with you, as appropriate. If TPG Compliance determines that you have violated the Code, a sanction will be imposed.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Sanctions may include, but are not limited to:</w:t>
      </w:r>
    </w:p>
    <w:p>
      <w:pPr>
        <w:spacing w:after="0" w:line="131" w:lineRule="exact"/>
        <w:rPr>
          <w:sz w:val="20"/>
          <w:szCs w:val="20"/>
          <w:color w:val="auto"/>
        </w:rPr>
      </w:pPr>
    </w:p>
    <w:p>
      <w:pPr>
        <w:ind w:left="460" w:hanging="452"/>
        <w:spacing w:after="0"/>
        <w:tabs>
          <w:tab w:leader="none" w:pos="4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verbal or written warning;</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penalties or fines;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unwinding of personal securities trades;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disgorgement of trading gains or payment of losses avoided;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suspending personal trading privileges;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an employee’s compensation or demoting an employee;</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suspending employment without pay or terminating employment; and/or</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referring an employee to the SEC or other government or self-regulatory agency.</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Code of Ethics Committee, consisting of senior members of TPG Global’s management, may review certain violations in order to determine appropriate sanctions. The Code of Ethics Committee’s decisions on any such matters are within its sole discretion and will be considered final.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the Compliance policies and procedures page on TPGnet for the </w:t>
      </w:r>
      <w:r>
        <w:rPr>
          <w:rFonts w:ascii="Times New Roman" w:cs="Times New Roman" w:eastAsia="Times New Roman" w:hAnsi="Times New Roman"/>
          <w:sz w:val="18"/>
          <w:szCs w:val="18"/>
          <w:i w:val="1"/>
          <w:iCs w:val="1"/>
          <w:u w:val="single" w:color="auto"/>
          <w:color w:val="auto"/>
        </w:rPr>
        <w:t>Compliance Breaches</w:t>
      </w:r>
      <w:r>
        <w:rPr>
          <w:rFonts w:ascii="Times New Roman" w:cs="Times New Roman" w:eastAsia="Times New Roman" w:hAnsi="Times New Roman"/>
          <w:sz w:val="18"/>
          <w:szCs w:val="18"/>
          <w:color w:val="auto"/>
        </w:rPr>
        <w:t xml:space="preserve"> policy for further details regarding potential sanctions.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Regulators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from time to time, requested to provide information to FINRA, the SEC, and other regulatory bodies in the U.S. and elsewhere in connection with transactions that we enter into or consider entering into. The information provided may include the identities and other information regarding persons who are subject to this Code.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Your personal information may fall within the scope of legislation to protect personal information (including, without limitation the EU’s Data Protection Legislation</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For persons based in Europe, the personal information may be regarded as “personal data”, subject to safeguards and protections set out in the Data Protection Legislation, including safeguards on processing personal data and transferring such data to the U.S. and elsewhere.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220" w:right="80" w:hanging="212"/>
        <w:spacing w:after="0" w:line="282" w:lineRule="auto"/>
        <w:tabs>
          <w:tab w:leader="none" w:pos="22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Data Protection Legislation means European Union (EU) Directive 95/46/EC and implementing legislation in the Member States of the EU, including the UK Data Protection Act 1994 (as amended) and equivalent legislation in other EEA countries.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266" w:right="279" w:bottom="1440" w:gutter="0" w:footer="0" w:header="0"/>
        </w:sectPr>
      </w:pPr>
    </w:p>
    <w:bookmarkStart w:id="85" w:name="page86"/>
    <w:bookmarkEnd w:id="85"/>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acknowledging this Code, you consent to the inclusion of your personal information, as set out in the first paragraph of this section, in any information we provide to regulatory authorities in the U.S. and elsewhere, in accordance with the Data Protection Legislation and any other privacy protection legislation that may apply.</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If anyone wishes to have further information about the contents of the Data Protection Legislation and the implications of the consent granted in the above paragraph, or for any reason wishes to withdraw that consent, s/he should consult the Chief Compliance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of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ind w:left="460" w:hanging="452"/>
        <w:spacing w:after="0"/>
        <w:tabs>
          <w:tab w:leader="none" w:pos="4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Interpretation and Administration</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Chief Compliance Officer is responsible for establishing policies and procedures for the administration of the Code; granting exceptions or exemptions to any provision of the Code, on an individual or a group basis, provided that such exceptions or exemptions are consistent with the spirit of the principles of the Code; appointing one or more designees and defining the scope of his, her or their authority and day-to-day responsibilities (in addition to those specified in the Code); and reviewing and considering any decisions made by the designees.</w:t>
      </w:r>
    </w:p>
    <w:p>
      <w:pPr>
        <w:spacing w:after="0" w:line="329" w:lineRule="exact"/>
        <w:rPr>
          <w:sz w:val="20"/>
          <w:szCs w:val="20"/>
          <w:color w:val="auto"/>
        </w:rPr>
      </w:pPr>
    </w:p>
    <w:p>
      <w:pPr>
        <w:ind w:left="460" w:hanging="452"/>
        <w:spacing w:after="0"/>
        <w:tabs>
          <w:tab w:leader="none" w:pos="4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and Acknowledgement of the Code</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TPG Compliance is required to provide you with a copy of the Code and any amendments thereto, and you are required to provide a written (or electronic) acknowledgement of your receipt of the Code and any amendments to the Code.</w:t>
      </w:r>
    </w:p>
    <w:p>
      <w:pPr>
        <w:spacing w:after="0" w:line="310" w:lineRule="exact"/>
        <w:rPr>
          <w:sz w:val="20"/>
          <w:szCs w:val="20"/>
          <w:color w:val="auto"/>
        </w:rPr>
      </w:pPr>
    </w:p>
    <w:p>
      <w:pPr>
        <w:ind w:left="460" w:hanging="452"/>
        <w:spacing w:after="0"/>
        <w:tabs>
          <w:tab w:leader="none" w:pos="4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 of Personal Holding and Transaction Reports and Additional Requests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personal holding and transaction reports filed by you or received on your behalf pursuant to the Code will be maintained by TPG Compliance. Such reports will be reviewed by the Chief Compliance Officer or his/her designee. The reports of the Chief Compliance Officer shall be reviewed by a designated person within the Firm. All personal holding and transaction reports filed by a member of TPG Compliance shall be reviewed by a different member of TPG Compliance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TPG Compliance member shall not review his or her own reports).</w:t>
      </w:r>
    </w:p>
    <w:p>
      <w:pPr>
        <w:spacing w:after="0" w:line="329" w:lineRule="exact"/>
        <w:rPr>
          <w:sz w:val="20"/>
          <w:szCs w:val="20"/>
          <w:color w:val="auto"/>
        </w:rPr>
      </w:pPr>
    </w:p>
    <w:p>
      <w:pPr>
        <w:ind w:left="460" w:hanging="452"/>
        <w:spacing w:after="0"/>
        <w:tabs>
          <w:tab w:leader="none" w:pos="4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Review of Code of Ethics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least annually, TPG Compliance shall furnish to the Fund’s board of directors a written report that describes the following:</w:t>
      </w:r>
    </w:p>
    <w:p>
      <w:pPr>
        <w:spacing w:after="0" w:line="131" w:lineRule="exact"/>
        <w:rPr>
          <w:sz w:val="20"/>
          <w:szCs w:val="20"/>
          <w:color w:val="auto"/>
        </w:rPr>
      </w:pPr>
    </w:p>
    <w:p>
      <w:pPr>
        <w:ind w:left="460" w:hanging="452"/>
        <w:spacing w:after="0"/>
        <w:tabs>
          <w:tab w:leader="none" w:pos="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policy or procedural changes made to the Code during the past year;</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recommended changes to the Code of Ethics; and</w:t>
      </w:r>
    </w:p>
    <w:p>
      <w:pPr>
        <w:spacing w:after="0" w:line="130" w:lineRule="exact"/>
        <w:rPr>
          <w:rFonts w:ascii="Times New Roman" w:cs="Times New Roman" w:eastAsia="Times New Roman" w:hAnsi="Times New Roman"/>
          <w:sz w:val="18"/>
          <w:szCs w:val="18"/>
          <w:color w:val="auto"/>
        </w:rPr>
      </w:pPr>
    </w:p>
    <w:p>
      <w:pPr>
        <w:ind w:left="460" w:right="240" w:hanging="452"/>
        <w:spacing w:after="0" w:line="282" w:lineRule="auto"/>
        <w:tabs>
          <w:tab w:leader="none" w:pos="4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all material violations of the Code and any sanctions imposed that occurred during the past year which required corrective action to be taken. (Significant breaches of the Code are addressed on a more immediate basis.)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0" w:right="259" w:bottom="1440" w:gutter="0" w:footer="0" w:header="0"/>
        </w:sectPr>
      </w:pPr>
    </w:p>
    <w:bookmarkStart w:id="86" w:name="page87"/>
    <w:bookmarkEnd w:id="86"/>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Additionally, such report must certify to the board of directors of the Fund that the Firm has adopted procedures reasonably necessary to prevent the Firm’s access persons from violating the Code.</w:t>
      </w:r>
    </w:p>
    <w:p>
      <w:pPr>
        <w:spacing w:after="0" w:line="310" w:lineRule="exact"/>
        <w:rPr>
          <w:sz w:val="20"/>
          <w:szCs w:val="20"/>
          <w:color w:val="auto"/>
        </w:rPr>
      </w:pPr>
    </w:p>
    <w:p>
      <w:pPr>
        <w:ind w:left="460" w:hanging="452"/>
        <w:spacing w:after="0"/>
        <w:tabs>
          <w:tab w:leader="none" w:pos="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Recordkeeping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Chief Compliance Officer shall maintain in an easily accessible place at the Firm’s principal place of business the following records:</w:t>
      </w:r>
    </w:p>
    <w:p>
      <w:pPr>
        <w:spacing w:after="0" w:line="131" w:lineRule="exact"/>
        <w:rPr>
          <w:sz w:val="20"/>
          <w:szCs w:val="20"/>
          <w:color w:val="auto"/>
        </w:rPr>
      </w:pPr>
    </w:p>
    <w:p>
      <w:pPr>
        <w:ind w:left="460" w:hanging="452"/>
        <w:spacing w:after="0"/>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Code and any code of ethics previously in effect for the Firm at any time during the past five years;</w:t>
      </w:r>
    </w:p>
    <w:p>
      <w:pPr>
        <w:spacing w:after="0" w:line="130" w:lineRule="exact"/>
        <w:rPr>
          <w:rFonts w:ascii="Times New Roman" w:cs="Times New Roman" w:eastAsia="Times New Roman" w:hAnsi="Times New Roman"/>
          <w:sz w:val="18"/>
          <w:szCs w:val="18"/>
          <w:color w:val="auto"/>
        </w:rPr>
      </w:pPr>
    </w:p>
    <w:p>
      <w:pPr>
        <w:ind w:left="460" w:right="60" w:hanging="452"/>
        <w:spacing w:after="0" w:line="282" w:lineRule="auto"/>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record of any violation of the Code and of any action taken as a result of the violation for a period of five (5) years after the end of the fiscal year in which the violation occurs;</w:t>
      </w:r>
    </w:p>
    <w:p>
      <w:pPr>
        <w:spacing w:after="0" w:line="67" w:lineRule="exact"/>
        <w:rPr>
          <w:rFonts w:ascii="Times New Roman" w:cs="Times New Roman" w:eastAsia="Times New Roman" w:hAnsi="Times New Roman"/>
          <w:sz w:val="18"/>
          <w:szCs w:val="18"/>
          <w:color w:val="auto"/>
        </w:rPr>
      </w:pPr>
    </w:p>
    <w:p>
      <w:pPr>
        <w:ind w:left="460" w:right="320" w:hanging="452"/>
        <w:spacing w:after="0" w:line="282" w:lineRule="auto"/>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personal holding or transaction report (or broker trade confirmations and/or account statements provided in lieu thereof) submitted pursuant to the Code for a period of five (5) years (such copies need be preserved in an easily accessible place only for the first two (2) years);</w:t>
      </w:r>
    </w:p>
    <w:p>
      <w:pPr>
        <w:spacing w:after="0" w:line="67"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record of the names of all persons subject to the Code, currently or within the past five (5) years, and the names of all persons who are (or were within the past five (5) years) responsible for reviewing the personal holding and transaction reports submitted pursuant to the Code;</w:t>
      </w:r>
    </w:p>
    <w:p>
      <w:pPr>
        <w:spacing w:after="0" w:line="67" w:lineRule="exact"/>
        <w:rPr>
          <w:rFonts w:ascii="Times New Roman" w:cs="Times New Roman" w:eastAsia="Times New Roman" w:hAnsi="Times New Roman"/>
          <w:sz w:val="18"/>
          <w:szCs w:val="18"/>
          <w:color w:val="auto"/>
        </w:rPr>
      </w:pPr>
    </w:p>
    <w:p>
      <w:pPr>
        <w:ind w:left="460" w:right="100" w:hanging="452"/>
        <w:spacing w:after="0" w:line="313" w:lineRule="auto"/>
        <w:tabs>
          <w:tab w:leader="none" w:pos="46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copy of each report made by TPG Compliance to the board of directors of the Fund pursuant to section (D) above for five (5) years from the end of the fiscal year of the Fund in which such report is made (such copies need be preserved in an easily accessible place only for the first two (2) years);</w:t>
      </w:r>
    </w:p>
    <w:p>
      <w:pPr>
        <w:spacing w:after="0" w:line="43" w:lineRule="exact"/>
        <w:rPr>
          <w:rFonts w:ascii="Times New Roman" w:cs="Times New Roman" w:eastAsia="Times New Roman" w:hAnsi="Times New Roman"/>
          <w:sz w:val="17"/>
          <w:szCs w:val="17"/>
          <w:color w:val="auto"/>
        </w:rPr>
      </w:pPr>
    </w:p>
    <w:p>
      <w:pPr>
        <w:ind w:left="460" w:right="340" w:hanging="452"/>
        <w:spacing w:after="0" w:line="282" w:lineRule="auto"/>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record of all written acknowledgments of receipt of the Code for each person who is currently or was within the last five (5) years subject to the Code;</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record of any violation of the Code, and of any action taken as result of the violation; and</w:t>
      </w:r>
    </w:p>
    <w:p>
      <w:pPr>
        <w:spacing w:after="0" w:line="130" w:lineRule="exact"/>
        <w:rPr>
          <w:rFonts w:ascii="Times New Roman" w:cs="Times New Roman" w:eastAsia="Times New Roman" w:hAnsi="Times New Roman"/>
          <w:sz w:val="18"/>
          <w:szCs w:val="18"/>
          <w:color w:val="auto"/>
        </w:rPr>
      </w:pPr>
    </w:p>
    <w:p>
      <w:pPr>
        <w:ind w:left="460" w:hanging="452"/>
        <w:spacing w:after="0" w:line="266" w:lineRule="auto"/>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record of any decision, and the reasons supporting the decision, to approve the purchase by a Covered Person who is “investment personnel” of the Fund (within the meaning of Rule 17j-1 under the Company Act) of any security in an IPO or a Limited Offering for a period of five (5) years following the end of the fiscal year in which the approval is granted.</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20"/>
          </w:cols>
          <w:pgMar w:left="240" w:top="270" w:right="339" w:bottom="1440" w:gutter="0" w:footer="0" w:header="0"/>
        </w:sectPr>
      </w:pPr>
    </w:p>
    <w:bookmarkStart w:id="87" w:name="page88"/>
    <w:bookmarkEnd w:id="87"/>
    <w:p>
      <w:pPr>
        <w:ind w:left="460" w:hanging="452"/>
        <w:spacing w:after="0"/>
        <w:tabs>
          <w:tab w:leader="none" w:pos="4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Changes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material change may be made to the Code without the approval of the board of directors of the Fund, including a majority of the directors who are not “interested persons” of the Fund within the meaning of Section 2(a)(19) of the Company Act, as provided in Rule 17j-1 thereunder.</w:t>
      </w:r>
    </w:p>
    <w:p>
      <w:pPr>
        <w:spacing w:after="0" w:line="310" w:lineRule="exact"/>
        <w:rPr>
          <w:sz w:val="20"/>
          <w:szCs w:val="20"/>
          <w:color w:val="auto"/>
        </w:rPr>
      </w:pPr>
    </w:p>
    <w:p>
      <w:pPr>
        <w:ind w:left="460" w:hanging="452"/>
        <w:spacing w:after="0"/>
        <w:tabs>
          <w:tab w:leader="none" w:pos="4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Prohibition on Personal Securities Trading</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Notwithstanding anything contained herein to the contrary, the GC or the CCO may prohibit or limit the personal securities trading activities of persons covered by the Code for any or no reason at any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 Updated: October 2013</w:t>
      </w:r>
    </w:p>
    <w:p>
      <w:pPr>
        <w:spacing w:after="0" w:line="1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60"/>
          </w:cols>
          <w:pgMar w:left="240" w:top="270" w:right="5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Summary of Select Code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Supplement to the Code may be found on the Compliance page under the Firm Policy tab of TPGnet and provides a detailed summary of the Code’s preclearance, initial and annual holdings reports, quarterly transaction reports or duplicate brokerage statement and trade confirmation statement requirements outlined within the Code.</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list of types of investment instruments included in the Supplement is not, and is not intended to be, exhaustive. However, it serves as a helpful reference tool. If you have any doubt whether a particular investment or security may be subject to preclearance or reporting under the Code, please contact the Chief Compliance Officer.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266" w:right="2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 – Reportable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i w:val="1"/>
          <w:iCs w:val="1"/>
          <w:color w:val="auto"/>
        </w:rPr>
        <w:t>As of October 8, 2013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American Beacon Funds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Acadian Emerging Markets Managed Volatility Fund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Balanced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Large Cap Value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Mid-Cap Value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Small Cap Value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Small Cap Value II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International Equity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Earnest Partners Emerging Markets Equity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Emerging Markets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S &amp; P 500 Index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Retirement Income and Appreciation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High Yield Bond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Short-Term Bond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Intermediate Bond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Treasury Inflation Protected Securities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Small Cap Index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International Equity Index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Zebra Small Cap Equity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Bridgeway Large Cap Value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Holland Large Cap Growth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The London Company Income Equity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Stephens Mid-Cap Growth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SGA Global Growth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Stephens Small Cap Growth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Zebra Global Equity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Flexible Bond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Beacon SIM High Yield Opportunities Fund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See the Compliance policies and procedures page of TPGnet at </w:t>
      </w:r>
      <w:r>
        <w:rPr>
          <w:rFonts w:ascii="Times New Roman" w:cs="Times New Roman" w:eastAsia="Times New Roman" w:hAnsi="Times New Roman"/>
          <w:sz w:val="17"/>
          <w:szCs w:val="17"/>
          <w:i w:val="1"/>
          <w:iCs w:val="1"/>
          <w:u w:val="single" w:color="auto"/>
          <w:color w:val="auto"/>
        </w:rPr>
        <w:t>Reportable Funds under Code of Ethics</w:t>
      </w:r>
      <w:r>
        <w:rPr>
          <w:rFonts w:ascii="Times New Roman" w:cs="Times New Roman" w:eastAsia="Times New Roman" w:hAnsi="Times New Roman"/>
          <w:sz w:val="17"/>
          <w:szCs w:val="17"/>
          <w:i w:val="1"/>
          <w:iCs w:val="1"/>
          <w:color w:val="auto"/>
        </w:rPr>
        <w:t xml:space="preserve"> for the most current information.</w:t>
      </w:r>
    </w:p>
    <w:p>
      <w:pPr>
        <w:spacing w:after="0" w:line="1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21</w:t>
      </w:r>
    </w:p>
    <w:sectPr>
      <w:pgSz w:w="11900" w:h="16838" w:orient="portrait"/>
      <w:cols w:equalWidth="0" w:num="1">
        <w:col w:w="10219"/>
      </w:cols>
      <w:pgMar w:left="2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1)"/>
      <w:numFmt w:val="decimal"/>
      <w:start w:val="1"/>
    </w:lvl>
  </w:abstractNum>
  <w:abstractNum w:abstractNumId="2">
    <w:nsid w:val="100F8FCA"/>
    <w:multiLevelType w:val="hybridMultilevel"/>
    <w:lvl w:ilvl="0">
      <w:lvlJc w:val="left"/>
      <w:lvlText w:val="(%1)"/>
      <w:numFmt w:val="decimal"/>
      <w:start w:val="2"/>
    </w:lvl>
  </w:abstractNum>
  <w:abstractNum w:abstractNumId="3">
    <w:nsid w:val="6590700B"/>
    <w:multiLevelType w:val="hybridMultilevel"/>
    <w:lvl w:ilvl="0">
      <w:lvlJc w:val="left"/>
      <w:lvlText w:val="(%1)"/>
      <w:numFmt w:val="lowerLetter"/>
      <w:start w:val="2"/>
    </w:lvl>
  </w:abstractNum>
  <w:abstractNum w:abstractNumId="4">
    <w:nsid w:val="15014ACB"/>
    <w:multiLevelType w:val="hybridMultilevel"/>
    <w:lvl w:ilvl="0">
      <w:lvlJc w:val="left"/>
      <w:lvlText w:val="(%1)"/>
      <w:numFmt w:val="lowerLetter"/>
      <w:start w:val="5"/>
    </w:lvl>
  </w:abstractNum>
  <w:abstractNum w:abstractNumId="5">
    <w:nsid w:val="5F5E7FD0"/>
    <w:multiLevelType w:val="hybridMultilevel"/>
    <w:lvl w:ilvl="0">
      <w:lvlJc w:val="left"/>
      <w:lvlText w:val="(%1)"/>
      <w:numFmt w:val="lowerLetter"/>
      <w:start w:val="12"/>
    </w:lvl>
  </w:abstractNum>
  <w:abstractNum w:abstractNumId="6">
    <w:nsid w:val="98A3148"/>
    <w:multiLevelType w:val="hybridMultilevel"/>
    <w:lvl w:ilvl="0">
      <w:lvlJc w:val="left"/>
      <w:lvlText w:val="(%1)"/>
      <w:numFmt w:val="lowerLetter"/>
      <w:start w:val="15"/>
    </w:lvl>
  </w:abstractNum>
  <w:abstractNum w:abstractNumId="7">
    <w:nsid w:val="799D0247"/>
    <w:multiLevelType w:val="hybridMultilevel"/>
    <w:lvl w:ilvl="0">
      <w:lvlJc w:val="left"/>
      <w:lvlText w:val="(%1)"/>
      <w:numFmt w:val="decimal"/>
      <w:start w:val="1"/>
    </w:lvl>
  </w:abstractNum>
  <w:abstractNum w:abstractNumId="8">
    <w:nsid w:val="6B94764"/>
    <w:multiLevelType w:val="hybridMultilevel"/>
    <w:lvl w:ilvl="0">
      <w:lvlJc w:val="left"/>
      <w:lvlText w:val="(%1)"/>
      <w:numFmt w:val="decimal"/>
      <w:start w:val="1"/>
    </w:lvl>
  </w:abstractNum>
  <w:abstractNum w:abstractNumId="9">
    <w:nsid w:val="42C296BD"/>
    <w:multiLevelType w:val="hybridMultilevel"/>
    <w:lvl w:ilvl="0">
      <w:lvlJc w:val="left"/>
      <w:lvlText w:val="(%1)"/>
      <w:numFmt w:val="decimal"/>
      <w:start w:val="1"/>
    </w:lvl>
  </w:abstractNum>
  <w:abstractNum w:abstractNumId="10">
    <w:nsid w:val="168E121F"/>
    <w:multiLevelType w:val="hybridMultilevel"/>
    <w:lvl w:ilvl="0">
      <w:lvlJc w:val="left"/>
      <w:lvlText w:val="(%1)"/>
      <w:numFmt w:val="decimal"/>
      <w:start w:val="1"/>
    </w:lvl>
    <w:lvl w:ilvl="1">
      <w:lvlJc w:val="left"/>
      <w:lvlText w:val="(%2)"/>
      <w:numFmt w:val="lowerLetter"/>
      <w:start w:val="1"/>
    </w:lvl>
  </w:abstractNum>
  <w:abstractNum w:abstractNumId="11">
    <w:nsid w:val="1EBA5D23"/>
    <w:multiLevelType w:val="hybridMultilevel"/>
    <w:lvl w:ilvl="0">
      <w:lvlJc w:val="left"/>
      <w:lvlText w:val="%1."/>
      <w:numFmt w:val="decimal"/>
      <w:start w:val="1"/>
    </w:lvl>
  </w:abstractNum>
  <w:abstractNum w:abstractNumId="12">
    <w:nsid w:val="661E3F1E"/>
    <w:multiLevelType w:val="hybridMultilevel"/>
    <w:lvl w:ilvl="0">
      <w:lvlJc w:val="left"/>
      <w:lvlText w:val="%1."/>
      <w:numFmt w:val="decimal"/>
      <w:start w:val="5"/>
    </w:lvl>
  </w:abstractNum>
  <w:abstractNum w:abstractNumId="13">
    <w:nsid w:val="5DC79EA8"/>
    <w:multiLevelType w:val="hybridMultilevel"/>
    <w:lvl w:ilvl="0">
      <w:lvlJc w:val="left"/>
      <w:lvlText w:val="%1."/>
      <w:numFmt w:val="decimal"/>
      <w:start w:val="13"/>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1."/>
      <w:numFmt w:val="decimal"/>
      <w:start w:val="1"/>
    </w:lvl>
  </w:abstractNum>
  <w:abstractNum w:abstractNumId="16">
    <w:nsid w:val="51D9C564"/>
    <w:multiLevelType w:val="hybridMultilevel"/>
    <w:lvl w:ilvl="0">
      <w:lvlJc w:val="left"/>
      <w:lvlText w:val="%1."/>
      <w:numFmt w:val="decimal"/>
      <w:start w:val="2"/>
    </w:lvl>
  </w:abstractNum>
  <w:abstractNum w:abstractNumId="17">
    <w:nsid w:val="613EFDC5"/>
    <w:multiLevelType w:val="hybridMultilevel"/>
    <w:lvl w:ilvl="0">
      <w:lvlJc w:val="left"/>
      <w:lvlText w:val="(%1)"/>
      <w:numFmt w:val="lowerLetter"/>
      <w:start w:val="1"/>
    </w:lvl>
  </w:abstractNum>
  <w:abstractNum w:abstractNumId="18">
    <w:nsid w:val="BF72B14"/>
    <w:multiLevelType w:val="hybridMultilevel"/>
    <w:lvl w:ilvl="0">
      <w:lvlJc w:val="left"/>
      <w:lvlText w:val="(%1)"/>
      <w:numFmt w:val="lowerLetter"/>
      <w:start w:val="2"/>
    </w:lvl>
  </w:abstractNum>
  <w:abstractNum w:abstractNumId="19">
    <w:nsid w:val="11447B73"/>
    <w:multiLevelType w:val="hybridMultilevel"/>
    <w:lvl w:ilvl="0">
      <w:lvlJc w:val="left"/>
      <w:lvlText w:val="(%1)"/>
      <w:numFmt w:val="lowerLetter"/>
      <w:start w:val="4"/>
    </w:lvl>
  </w:abstractNum>
  <w:abstractNum w:abstractNumId="20">
    <w:nsid w:val="42963E5A"/>
    <w:multiLevelType w:val="hybridMultilevel"/>
    <w:lvl w:ilvl="0">
      <w:lvlJc w:val="left"/>
      <w:lvlText w:val="%1."/>
      <w:numFmt w:val="decimal"/>
      <w:start w:val="3"/>
    </w:lvl>
    <w:lvl w:ilvl="1">
      <w:lvlJc w:val="left"/>
      <w:lvlText w:val="(%2)"/>
      <w:numFmt w:val="lowerLetter"/>
      <w:start w:val="1"/>
    </w:lvl>
  </w:abstractNum>
  <w:abstractNum w:abstractNumId="21">
    <w:nsid w:val="A0382C5"/>
    <w:multiLevelType w:val="hybridMultilevel"/>
    <w:lvl w:ilvl="0">
      <w:lvlJc w:val="left"/>
      <w:lvlText w:val="(%1)"/>
      <w:numFmt w:val="lowerLetter"/>
      <w:start w:val="4"/>
    </w:lvl>
  </w:abstractNum>
  <w:abstractNum w:abstractNumId="22">
    <w:nsid w:val="8F2B15E"/>
    <w:multiLevelType w:val="hybridMultilevel"/>
    <w:lvl w:ilvl="0">
      <w:lvlJc w:val="left"/>
      <w:lvlText w:val="%1"/>
      <w:numFmt w:val="lowerLetter"/>
      <w:start w:val="1"/>
    </w:lvl>
    <w:lvl w:ilvl="1">
      <w:lvlJc w:val="left"/>
      <w:lvlText w:val="(%2)"/>
      <w:numFmt w:val="lowerLetter"/>
      <w:start w:val="8"/>
    </w:lvl>
  </w:abstractNum>
  <w:abstractNum w:abstractNumId="23">
    <w:nsid w:val="1A32234B"/>
    <w:multiLevelType w:val="hybridMultilevel"/>
    <w:lvl w:ilvl="0">
      <w:lvlJc w:val="left"/>
      <w:lvlText w:val="(%1)"/>
      <w:numFmt w:val="lowerLetter"/>
      <w:start w:val="9"/>
    </w:lvl>
    <w:lvl w:ilvl="1">
      <w:lvlJc w:val="left"/>
      <w:lvlText w:val="(%2)"/>
      <w:numFmt w:val="lowerLetter"/>
      <w:start w:val="9"/>
    </w:lvl>
  </w:abstractNum>
  <w:abstractNum w:abstractNumId="24">
    <w:nsid w:val="3B0FD379"/>
    <w:multiLevelType w:val="hybridMultilevel"/>
    <w:lvl w:ilvl="0">
      <w:lvlJc w:val="left"/>
      <w:lvlText w:val="(%1)"/>
      <w:numFmt w:val="lowerLetter"/>
      <w:start w:val="11"/>
    </w:lvl>
  </w:abstractNum>
  <w:abstractNum w:abstractNumId="25">
    <w:nsid w:val="68EB2F63"/>
    <w:multiLevelType w:val="hybridMultilevel"/>
    <w:lvl w:ilvl="0">
      <w:lvlJc w:val="left"/>
      <w:lvlText w:val="%1"/>
      <w:numFmt w:val="lowerRoman"/>
      <w:start w:val="1"/>
    </w:lvl>
    <w:lvl w:ilvl="1">
      <w:lvlJc w:val="left"/>
      <w:lvlText w:val="(%2)"/>
      <w:numFmt w:val="lowerLetter"/>
      <w:start w:val="17"/>
    </w:lvl>
  </w:abstractNum>
  <w:abstractNum w:abstractNumId="26">
    <w:nsid w:val="4962813B"/>
    <w:multiLevelType w:val="hybridMultilevel"/>
    <w:lvl w:ilvl="0">
      <w:lvlJc w:val="left"/>
      <w:lvlText w:val="(%1)"/>
      <w:numFmt w:val="lowerRoman"/>
      <w:start w:val="4"/>
    </w:lvl>
    <w:lvl w:ilvl="1">
      <w:lvlJc w:val="left"/>
      <w:lvlText w:val="(%2)"/>
      <w:numFmt w:val="lowerLetter"/>
      <w:start w:val="20"/>
    </w:lvl>
  </w:abstractNum>
  <w:abstractNum w:abstractNumId="27">
    <w:nsid w:val="60B6DF70"/>
    <w:multiLevelType w:val="hybridMultilevel"/>
    <w:lvl w:ilvl="0">
      <w:lvlJc w:val="left"/>
      <w:lvlText w:val="(%1)"/>
      <w:numFmt w:val="lowerLetter"/>
      <w:start w:val="21"/>
    </w:lvl>
  </w:abstractNum>
  <w:abstractNum w:abstractNumId="28">
    <w:nsid w:val="6A5EE64"/>
    <w:multiLevelType w:val="hybridMultilevel"/>
    <w:lvl w:ilvl="0">
      <w:lvlJc w:val="left"/>
      <w:lvlText w:val="%1"/>
      <w:numFmt w:val="lowerLetter"/>
      <w:start w:val="1"/>
    </w:lvl>
    <w:lvl w:ilvl="1">
      <w:lvlJc w:val="left"/>
      <w:lvlText w:val="(%2)"/>
      <w:numFmt w:val="lowerLetter"/>
      <w:start w:val="25"/>
    </w:lvl>
  </w:abstractNum>
  <w:abstractNum w:abstractNumId="29">
    <w:nsid w:val="14330624"/>
    <w:multiLevelType w:val="hybridMultilevel"/>
    <w:lvl w:ilvl="0">
      <w:lvlJc w:val="left"/>
      <w:lvlText w:val="(%1)"/>
      <w:numFmt w:val="lowerLetter"/>
      <w:start w:val="9"/>
    </w:lvl>
    <w:lvl w:ilvl="1">
      <w:lvlJc w:val="left"/>
      <w:lvlText w:val="(%2)"/>
      <w:numFmt w:val="lowerLetter"/>
      <w:start w:val="26"/>
    </w:lvl>
  </w:abstractNum>
  <w:abstractNum w:abstractNumId="30">
    <w:nsid w:val="7FFFCA11"/>
    <w:multiLevelType w:val="hybridMultilevel"/>
    <w:lvl w:ilvl="0">
      <w:lvlJc w:val="left"/>
      <w:lvlText w:val="(%1)"/>
      <w:numFmt w:val="lowerLetter"/>
      <w:start w:val="27"/>
    </w:lvl>
  </w:abstractNum>
  <w:abstractNum w:abstractNumId="31">
    <w:nsid w:val="1A27709E"/>
    <w:multiLevelType w:val="hybridMultilevel"/>
    <w:lvl w:ilvl="0">
      <w:lvlJc w:val="left"/>
      <w:lvlText w:val="%1"/>
      <w:numFmt w:val="lowerLetter"/>
      <w:start w:val="1"/>
    </w:lvl>
    <w:lvl w:ilvl="1">
      <w:lvlJc w:val="left"/>
      <w:lvlText w:val="(%2)"/>
      <w:numFmt w:val="lowerLetter"/>
      <w:start w:val="30"/>
    </w:lvl>
  </w:abstractNum>
  <w:abstractNum w:abstractNumId="32">
    <w:nsid w:val="71EA1109"/>
    <w:multiLevelType w:val="hybridMultilevel"/>
    <w:lvl w:ilvl="0">
      <w:lvlJc w:val="left"/>
      <w:lvlText w:val="(%1)"/>
      <w:numFmt w:val="lowerLetter"/>
      <w:start w:val="61"/>
    </w:lvl>
    <w:lvl w:ilvl="1">
      <w:lvlJc w:val="left"/>
      <w:lvlText w:val="(%2)"/>
      <w:numFmt w:val="lowerLetter"/>
      <w:start w:val="32"/>
    </w:lvl>
  </w:abstractNum>
  <w:abstractNum w:abstractNumId="33">
    <w:nsid w:val="100F59DC"/>
    <w:multiLevelType w:val="hybridMultilevel"/>
    <w:lvl w:ilvl="0">
      <w:lvlJc w:val="left"/>
      <w:lvlText w:val="(%1)"/>
      <w:numFmt w:val="lowerLetter"/>
      <w:start w:val="9"/>
    </w:lvl>
    <w:lvl w:ilvl="1">
      <w:lvlJc w:val="left"/>
      <w:lvlText w:val="%2"/>
      <w:numFmt w:val="lowerLetter"/>
      <w:start w:val="1"/>
    </w:lvl>
  </w:abstractNum>
  <w:abstractNum w:abstractNumId="34">
    <w:nsid w:val="7FB7E0AA"/>
    <w:multiLevelType w:val="hybridMultilevel"/>
    <w:lvl w:ilvl="0">
      <w:lvlJc w:val="left"/>
      <w:lvlText w:val="%1"/>
      <w:numFmt w:val="lowerLetter"/>
      <w:start w:val="1"/>
    </w:lvl>
    <w:lvl w:ilvl="1">
      <w:lvlJc w:val="left"/>
      <w:lvlText w:val="(%2)"/>
      <w:numFmt w:val="lowerLetter"/>
      <w:start w:val="33"/>
    </w:lvl>
  </w:abstractNum>
  <w:abstractNum w:abstractNumId="35">
    <w:nsid w:val="6EB5BD4"/>
    <w:multiLevelType w:val="hybridMultilevel"/>
    <w:lvl w:ilvl="0">
      <w:lvlJc w:val="left"/>
      <w:lvlText w:val="(%1)"/>
      <w:numFmt w:val="lowerLetter"/>
      <w:start w:val="61"/>
    </w:lvl>
    <w:lvl w:ilvl="1">
      <w:lvlJc w:val="left"/>
      <w:lvlText w:val="(%2)"/>
      <w:numFmt w:val="lowerLetter"/>
      <w:start w:val="34"/>
    </w:lvl>
  </w:abstractNum>
  <w:abstractNum w:abstractNumId="36">
    <w:nsid w:val="6F6DD9AC"/>
    <w:multiLevelType w:val="hybridMultilevel"/>
    <w:lvl w:ilvl="0">
      <w:lvlJc w:val="left"/>
      <w:lvlText w:val="(%1)"/>
      <w:numFmt w:val="lowerLetter"/>
      <w:start w:val="36"/>
    </w:lvl>
  </w:abstractNum>
  <w:abstractNum w:abstractNumId="37">
    <w:nsid w:val="94211F2"/>
    <w:multiLevelType w:val="hybridMultilevel"/>
    <w:lvl w:ilvl="0">
      <w:lvlJc w:val="left"/>
      <w:lvlText w:val="%1"/>
      <w:numFmt w:val="decimal"/>
      <w:start w:val="1"/>
    </w:lvl>
    <w:lvl w:ilvl="1">
      <w:lvlJc w:val="left"/>
      <w:lvlText w:val="(%2)"/>
      <w:numFmt w:val="lowerLetter"/>
      <w:start w:val="43"/>
    </w:lvl>
  </w:abstractNum>
  <w:abstractNum w:abstractNumId="38">
    <w:nsid w:val="885E1B"/>
    <w:multiLevelType w:val="hybridMultilevel"/>
    <w:lvl w:ilvl="0">
      <w:lvlJc w:val="left"/>
      <w:lvlText w:val="%1."/>
      <w:numFmt w:val="decimal"/>
      <w:start w:val="4"/>
    </w:lvl>
    <w:lvl w:ilvl="1">
      <w:lvlJc w:val="left"/>
      <w:lvlText w:val="(%2)"/>
      <w:numFmt w:val="lowerLetter"/>
      <w:start w:val="1"/>
    </w:lvl>
  </w:abstractNum>
  <w:abstractNum w:abstractNumId="39">
    <w:nsid w:val="76272110"/>
    <w:multiLevelType w:val="hybridMultilevel"/>
    <w:lvl w:ilvl="0">
      <w:lvlJc w:val="left"/>
      <w:lvlText w:val="(%1)"/>
      <w:numFmt w:val="lowerLetter"/>
      <w:start w:val="4"/>
    </w:lvl>
  </w:abstractNum>
  <w:abstractNum w:abstractNumId="40">
    <w:nsid w:val="4C04A8AF"/>
    <w:multiLevelType w:val="hybridMultilevel"/>
    <w:lvl w:ilvl="0">
      <w:lvlJc w:val="left"/>
      <w:lvlText w:val="%1"/>
      <w:numFmt w:val="lowerLetter"/>
      <w:start w:val="1"/>
    </w:lvl>
    <w:lvl w:ilvl="1">
      <w:lvlJc w:val="left"/>
      <w:lvlText w:val="(%2)"/>
      <w:numFmt w:val="lowerLetter"/>
      <w:start w:val="9"/>
    </w:lvl>
  </w:abstractNum>
  <w:abstractNum w:abstractNumId="41">
    <w:nsid w:val="1716703B"/>
    <w:multiLevelType w:val="hybridMultilevel"/>
    <w:lvl w:ilvl="0">
      <w:lvlJc w:val="left"/>
      <w:lvlText w:val="(%1)"/>
      <w:numFmt w:val="lowerLetter"/>
      <w:start w:val="9"/>
    </w:lvl>
    <w:lvl w:ilvl="1">
      <w:lvlJc w:val="left"/>
      <w:lvlText w:val="%2"/>
      <w:numFmt w:val="lowerLetter"/>
      <w:start w:val="1"/>
    </w:lvl>
  </w:abstractNum>
  <w:abstractNum w:abstractNumId="42">
    <w:nsid w:val="14E17E33"/>
    <w:multiLevelType w:val="hybridMultilevel"/>
    <w:lvl w:ilvl="0">
      <w:lvlJc w:val="left"/>
      <w:lvlText w:val="%1"/>
      <w:numFmt w:val="lowerLetter"/>
      <w:start w:val="1"/>
    </w:lvl>
    <w:lvl w:ilvl="1">
      <w:lvlJc w:val="left"/>
      <w:lvlText w:val="(%2)"/>
      <w:numFmt w:val="lowerLetter"/>
      <w:start w:val="14"/>
    </w:lvl>
  </w:abstractNum>
  <w:abstractNum w:abstractNumId="43">
    <w:nsid w:val="3222E7CD"/>
    <w:multiLevelType w:val="hybridMultilevel"/>
    <w:lvl w:ilvl="0">
      <w:lvlJc w:val="left"/>
      <w:lvlText w:val="(%1)"/>
      <w:numFmt w:val="lowerLetter"/>
      <w:start w:val="61"/>
    </w:lvl>
    <w:lvl w:ilvl="1">
      <w:lvlJc w:val="left"/>
      <w:lvlText w:val="(%2)"/>
      <w:numFmt w:val="lowerLetter"/>
      <w:start w:val="15"/>
    </w:lvl>
  </w:abstractNum>
  <w:abstractNum w:abstractNumId="44">
    <w:nsid w:val="74DE0EE3"/>
    <w:multiLevelType w:val="hybridMultilevel"/>
    <w:lvl w:ilvl="0">
      <w:lvlJc w:val="left"/>
      <w:lvlText w:val="%1."/>
      <w:numFmt w:val="decimal"/>
      <w:start w:val="5"/>
    </w:lvl>
    <w:lvl w:ilvl="1">
      <w:lvlJc w:val="left"/>
      <w:lvlText w:val="(%2)"/>
      <w:numFmt w:val="lowerLetter"/>
      <w:start w:val="1"/>
    </w:lvl>
  </w:abstractNum>
  <w:abstractNum w:abstractNumId="45">
    <w:nsid w:val="68EBC550"/>
    <w:multiLevelType w:val="hybridMultilevel"/>
    <w:lvl w:ilvl="0">
      <w:lvlJc w:val="left"/>
      <w:lvlText w:val="(%1)"/>
      <w:numFmt w:val="lowerLetter"/>
      <w:start w:val="5"/>
    </w:lvl>
  </w:abstractNum>
  <w:abstractNum w:abstractNumId="46">
    <w:nsid w:val="2DF6D648"/>
    <w:multiLevelType w:val="hybridMultilevel"/>
    <w:lvl w:ilvl="0">
      <w:lvlJc w:val="left"/>
      <w:lvlText w:val="%1"/>
      <w:numFmt w:val="lowerLetter"/>
      <w:start w:val="1"/>
    </w:lvl>
    <w:lvl w:ilvl="1">
      <w:lvlJc w:val="left"/>
      <w:lvlText w:val="(%2)"/>
      <w:numFmt w:val="lowerLetter"/>
      <w:start w:val="7"/>
    </w:lvl>
  </w:abstractNum>
  <w:abstractNum w:abstractNumId="47">
    <w:nsid w:val="46B7D447"/>
    <w:multiLevelType w:val="hybridMultilevel"/>
    <w:lvl w:ilvl="0">
      <w:lvlJc w:val="left"/>
      <w:lvlText w:val="(%1)"/>
      <w:numFmt w:val="lowerLetter"/>
      <w:start w:val="35"/>
    </w:lvl>
    <w:lvl w:ilvl="1">
      <w:lvlJc w:val="left"/>
      <w:lvlText w:val="(%2)"/>
      <w:numFmt w:val="lowerLetter"/>
      <w:start w:val="9"/>
    </w:lvl>
  </w:abstractNum>
  <w:abstractNum w:abstractNumId="48">
    <w:nsid w:val="4A2AC315"/>
    <w:multiLevelType w:val="hybridMultilevel"/>
    <w:lvl w:ilvl="0">
      <w:lvlJc w:val="left"/>
      <w:lvlText w:val="%1"/>
      <w:numFmt w:val="decimal"/>
      <w:start w:val="1"/>
    </w:lvl>
    <w:lvl w:ilvl="1">
      <w:lvlJc w:val="left"/>
      <w:lvlText w:val="(%2)"/>
      <w:numFmt w:val="lowerLetter"/>
      <w:start w:val="13"/>
    </w:lvl>
  </w:abstractNum>
  <w:abstractNum w:abstractNumId="49">
    <w:nsid w:val="39EE015C"/>
    <w:multiLevelType w:val="hybridMultilevel"/>
    <w:lvl w:ilvl="0">
      <w:lvlJc w:val="left"/>
      <w:lvlText w:val="%1."/>
      <w:numFmt w:val="decimal"/>
      <w:start w:val="6"/>
    </w:lvl>
    <w:lvl w:ilvl="1">
      <w:lvlJc w:val="left"/>
      <w:lvlText w:val="(%2)"/>
      <w:numFmt w:val="lowerLetter"/>
      <w:start w:val="1"/>
    </w:lvl>
  </w:abstractNum>
  <w:abstractNum w:abstractNumId="50">
    <w:nsid w:val="57FC4FBB"/>
    <w:multiLevelType w:val="hybridMultilevel"/>
    <w:lvl w:ilvl="0">
      <w:lvlJc w:val="left"/>
      <w:lvlText w:val="%1."/>
      <w:numFmt w:val="decimal"/>
      <w:start w:val="7"/>
    </w:lvl>
    <w:lvl w:ilvl="1">
      <w:lvlJc w:val="left"/>
      <w:lvlText w:val="(%2)"/>
      <w:numFmt w:val="lowerLetter"/>
      <w:start w:val="1"/>
    </w:lvl>
  </w:abstractNum>
  <w:abstractNum w:abstractNumId="51">
    <w:nsid w:val="CC1016F"/>
    <w:multiLevelType w:val="hybridMultilevel"/>
    <w:lvl w:ilvl="0">
      <w:lvlJc w:val="left"/>
      <w:lvlText w:val="(%1)"/>
      <w:numFmt w:val="lowerLetter"/>
      <w:start w:val="6"/>
    </w:lvl>
  </w:abstractNum>
  <w:abstractNum w:abstractNumId="52">
    <w:nsid w:val="43F18422"/>
    <w:multiLevelType w:val="hybridMultilevel"/>
    <w:lvl w:ilvl="0">
      <w:lvlJc w:val="left"/>
      <w:lvlText w:val="(%1)"/>
      <w:numFmt w:val="lowerLetter"/>
      <w:start w:val="11"/>
    </w:lvl>
  </w:abstractNum>
  <w:abstractNum w:abstractNumId="53">
    <w:nsid w:val="60EF0119"/>
    <w:multiLevelType w:val="hybridMultilevel"/>
    <w:lvl w:ilvl="0">
      <w:lvlJc w:val="left"/>
      <w:lvlText w:val="%1."/>
      <w:numFmt w:val="decimal"/>
      <w:start w:val="8"/>
    </w:lvl>
  </w:abstractNum>
  <w:abstractNum w:abstractNumId="54">
    <w:nsid w:val="26F324BA"/>
    <w:multiLevelType w:val="hybridMultilevel"/>
    <w:lvl w:ilvl="0">
      <w:lvlJc w:val="left"/>
      <w:lvlText w:val="(%1)"/>
      <w:numFmt w:val="lowerLetter"/>
      <w:start w:val="1"/>
    </w:lvl>
  </w:abstractNum>
  <w:abstractNum w:abstractNumId="55">
    <w:nsid w:val="7F01579B"/>
    <w:multiLevelType w:val="hybridMultilevel"/>
    <w:lvl w:ilvl="0">
      <w:lvlJc w:val="left"/>
      <w:lvlText w:val="(%1)"/>
      <w:numFmt w:val="lowerLetter"/>
      <w:start w:val="2"/>
    </w:lvl>
  </w:abstractNum>
  <w:abstractNum w:abstractNumId="56">
    <w:nsid w:val="49DA307D"/>
    <w:multiLevelType w:val="hybridMultilevel"/>
    <w:lvl w:ilvl="0">
      <w:lvlJc w:val="left"/>
      <w:lvlText w:val="%1"/>
      <w:numFmt w:val="lowerLetter"/>
      <w:start w:val="1"/>
    </w:lvl>
    <w:lvl w:ilvl="1">
      <w:lvlJc w:val="left"/>
      <w:lvlText w:val="(%2)"/>
      <w:numFmt w:val="lowerLetter"/>
      <w:start w:val="4"/>
    </w:lvl>
  </w:abstractNum>
  <w:abstractNum w:abstractNumId="57">
    <w:nsid w:val="7055A5F5"/>
    <w:multiLevelType w:val="hybridMultilevel"/>
    <w:lvl w:ilvl="0">
      <w:lvlJc w:val="left"/>
      <w:lvlText w:val="(%1)"/>
      <w:numFmt w:val="lowerLetter"/>
      <w:start w:val="4"/>
    </w:lvl>
    <w:lvl w:ilvl="1">
      <w:lvlJc w:val="left"/>
      <w:lvlText w:val="%2"/>
      <w:numFmt w:val="lowerLetter"/>
      <w:start w:val="1"/>
    </w:lvl>
  </w:abstractNum>
  <w:abstractNum w:abstractNumId="58">
    <w:nsid w:val="5FB8370B"/>
    <w:multiLevelType w:val="hybridMultilevel"/>
    <w:lvl w:ilvl="0">
      <w:lvlJc w:val="left"/>
      <w:lvlText w:val="(%1)"/>
      <w:numFmt w:val="lowerLetter"/>
      <w:start w:val="6"/>
    </w:lvl>
  </w:abstractNum>
  <w:abstractNum w:abstractNumId="59">
    <w:nsid w:val="50801EE1"/>
    <w:multiLevelType w:val="hybridMultilevel"/>
    <w:lvl w:ilvl="0">
      <w:lvlJc w:val="left"/>
      <w:lvlText w:val="%1."/>
      <w:numFmt w:val="decimal"/>
      <w:start w:val="9"/>
    </w:lvl>
  </w:abstractNum>
  <w:abstractNum w:abstractNumId="60">
    <w:nsid w:val="488AC1A"/>
    <w:multiLevelType w:val="hybridMultilevel"/>
    <w:lvl w:ilvl="0">
      <w:lvlJc w:val="left"/>
      <w:lvlText w:val="(%1)"/>
      <w:numFmt w:val="lowerLetter"/>
      <w:start w:val="1"/>
    </w:lvl>
  </w:abstractNum>
  <w:abstractNum w:abstractNumId="61">
    <w:nsid w:val="5FB8011C"/>
    <w:multiLevelType w:val="hybridMultilevel"/>
    <w:lvl w:ilvl="0">
      <w:lvlJc w:val="left"/>
      <w:lvlText w:val="(%1)"/>
      <w:numFmt w:val="lowerLetter"/>
      <w:start w:val="2"/>
    </w:lvl>
  </w:abstractNum>
  <w:abstractNum w:abstractNumId="62">
    <w:nsid w:val="6AA78F7F"/>
    <w:multiLevelType w:val="hybridMultilevel"/>
    <w:lvl w:ilvl="0">
      <w:lvlJc w:val="left"/>
      <w:lvlText w:val="%1."/>
      <w:numFmt w:val="decimal"/>
      <w:start w:val="12"/>
    </w:lvl>
  </w:abstractNum>
  <w:abstractNum w:abstractNumId="63">
    <w:nsid w:val="7672BD23"/>
    <w:multiLevelType w:val="hybridMultilevel"/>
    <w:lvl w:ilvl="0">
      <w:lvlJc w:val="left"/>
      <w:lvlText w:val="(%1)"/>
      <w:numFmt w:val="lowerLetter"/>
      <w:start w:val="1"/>
    </w:lvl>
  </w:abstractNum>
  <w:abstractNum w:abstractNumId="64">
    <w:nsid w:val="6FC75AF8"/>
    <w:multiLevelType w:val="hybridMultilevel"/>
    <w:lvl w:ilvl="0">
      <w:lvlJc w:val="left"/>
      <w:lvlText w:val="%1"/>
      <w:numFmt w:val="lowerLetter"/>
      <w:start w:val="1"/>
    </w:lvl>
    <w:lvl w:ilvl="1">
      <w:lvlJc w:val="left"/>
      <w:lvlText w:val="(%2)"/>
      <w:numFmt w:val="lowerLetter"/>
      <w:start w:val="2"/>
    </w:lvl>
  </w:abstractNum>
  <w:abstractNum w:abstractNumId="65">
    <w:nsid w:val="6A5F7029"/>
    <w:multiLevelType w:val="hybridMultilevel"/>
    <w:lvl w:ilvl="0">
      <w:lvlJc w:val="left"/>
      <w:lvlText w:val="(%1)"/>
      <w:numFmt w:val="lowerLetter"/>
      <w:start w:val="35"/>
    </w:lvl>
    <w:lvl w:ilvl="1">
      <w:lvlJc w:val="left"/>
      <w:lvlText w:val="%2"/>
      <w:numFmt w:val="lowerLetter"/>
      <w:start w:val="1"/>
    </w:lvl>
  </w:abstractNum>
  <w:abstractNum w:abstractNumId="66">
    <w:nsid w:val="7D5E18F8"/>
    <w:multiLevelType w:val="hybridMultilevel"/>
    <w:lvl w:ilvl="0">
      <w:lvlJc w:val="left"/>
      <w:lvlText w:val="%1."/>
      <w:numFmt w:val="decimal"/>
      <w:start w:val="13"/>
    </w:lvl>
  </w:abstractNum>
  <w:abstractNum w:abstractNumId="67">
    <w:nsid w:val="5F3534A4"/>
    <w:multiLevelType w:val="hybridMultilevel"/>
    <w:lvl w:ilvl="0">
      <w:lvlJc w:val="left"/>
      <w:lvlText w:val="(%1)"/>
      <w:numFmt w:val="lowerLetter"/>
      <w:start w:val="1"/>
    </w:lvl>
  </w:abstractNum>
  <w:abstractNum w:abstractNumId="68">
    <w:nsid w:val="73A1821B"/>
    <w:multiLevelType w:val="hybridMultilevel"/>
    <w:lvl w:ilvl="0">
      <w:lvlJc w:val="left"/>
      <w:lvlText w:val="(%1)"/>
      <w:numFmt w:val="lowerLetter"/>
      <w:start w:val="2"/>
    </w:lvl>
  </w:abstractNum>
  <w:abstractNum w:abstractNumId="69">
    <w:nsid w:val="7DE67713"/>
    <w:multiLevelType w:val="hybridMultilevel"/>
    <w:lvl w:ilvl="0">
      <w:lvlJc w:val="left"/>
      <w:lvlText w:val="%1."/>
      <w:numFmt w:val="decimal"/>
      <w:start w:val="1"/>
    </w:lvl>
  </w:abstractNum>
  <w:abstractNum w:abstractNumId="70">
    <w:nsid w:val="555C55B5"/>
    <w:multiLevelType w:val="hybridMultilevel"/>
    <w:lvl w:ilvl="0">
      <w:lvlJc w:val="left"/>
      <w:lvlText w:val="(%1)"/>
      <w:numFmt w:val="decimal"/>
      <w:start w:val="2"/>
    </w:lvl>
    <w:lvl w:ilvl="1">
      <w:lvlJc w:val="left"/>
      <w:lvlText w:val="%2."/>
      <w:numFmt w:val="lowerRoman"/>
      <w:start w:val="1"/>
    </w:lvl>
  </w:abstractNum>
  <w:abstractNum w:abstractNumId="71">
    <w:nsid w:val="3FA62ACA"/>
    <w:multiLevelType w:val="hybridMultilevel"/>
    <w:lvl w:ilvl="0">
      <w:lvlJc w:val="left"/>
      <w:lvlText w:val="(%1)"/>
      <w:numFmt w:val="lowerRoman"/>
      <w:start w:val="1"/>
    </w:lvl>
  </w:abstractNum>
  <w:abstractNum w:abstractNumId="72">
    <w:nsid w:val="14FCE74E"/>
    <w:multiLevelType w:val="hybridMultilevel"/>
    <w:lvl w:ilvl="0">
      <w:lvlJc w:val="left"/>
      <w:lvlText w:val="%1."/>
      <w:numFmt w:val="lowerRoman"/>
      <w:start w:val="1"/>
    </w:lvl>
  </w:abstractNum>
  <w:abstractNum w:abstractNumId="73">
    <w:nsid w:val="6A3DD3E8"/>
    <w:multiLevelType w:val="hybridMultilevel"/>
    <w:lvl w:ilvl="0">
      <w:lvlJc w:val="left"/>
      <w:lvlText w:val="(%1)"/>
      <w:numFmt w:val="lowerRoman"/>
      <w:start w:val="1"/>
    </w:lvl>
  </w:abstractNum>
  <w:abstractNum w:abstractNumId="74">
    <w:nsid w:val="71C91298"/>
    <w:multiLevelType w:val="hybridMultilevel"/>
    <w:lvl w:ilvl="0">
      <w:lvlJc w:val="left"/>
      <w:lvlText w:val="(%1)"/>
      <w:numFmt w:val="lowerRoman"/>
      <w:start w:val="2"/>
    </w:lvl>
  </w:abstractNum>
  <w:abstractNum w:abstractNumId="75">
    <w:nsid w:val="9DAF632"/>
    <w:multiLevelType w:val="hybridMultilevel"/>
    <w:lvl w:ilvl="0">
      <w:lvlJc w:val="left"/>
      <w:lvlText w:val="(%1)"/>
      <w:numFmt w:val="lowerLetter"/>
      <w:start w:val="1"/>
    </w:lvl>
  </w:abstractNum>
  <w:abstractNum w:abstractNumId="76">
    <w:nsid w:val="53299938"/>
    <w:multiLevelType w:val="hybridMultilevel"/>
    <w:lvl w:ilvl="0">
      <w:lvlJc w:val="left"/>
      <w:lvlText w:val="(%1)"/>
      <w:numFmt w:val="upperLetter"/>
      <w:start w:val="1"/>
    </w:lvl>
  </w:abstractNum>
  <w:abstractNum w:abstractNumId="77">
    <w:nsid w:val="1FBFE8E0"/>
    <w:multiLevelType w:val="hybridMultilevel"/>
    <w:lvl w:ilvl="0">
      <w:lvlJc w:val="left"/>
      <w:lvlText w:val="%1."/>
      <w:numFmt w:val="upperLetter"/>
      <w:start w:val="1"/>
    </w:lvl>
  </w:abstractNum>
  <w:abstractNum w:abstractNumId="78">
    <w:nsid w:val="5092CA79"/>
    <w:multiLevelType w:val="hybridMultilevel"/>
    <w:lvl w:ilvl="0">
      <w:lvlJc w:val="left"/>
      <w:lvlText w:val="%1."/>
      <w:numFmt w:val="upperLetter"/>
      <w:start w:val="2"/>
    </w:lvl>
  </w:abstractNum>
  <w:abstractNum w:abstractNumId="79">
    <w:nsid w:val="1D545C4D"/>
    <w:multiLevelType w:val="hybridMultilevel"/>
    <w:lvl w:ilvl="0">
      <w:lvlJc w:val="left"/>
      <w:lvlText w:val="%1."/>
      <w:numFmt w:val="upperLetter"/>
      <w:start w:val="3"/>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1."/>
      <w:numFmt w:val="upperLetter"/>
      <w:start w:val="1"/>
    </w:lvl>
  </w:abstractNum>
  <w:abstractNum w:abstractNumId="82">
    <w:nsid w:val="2A155DBC"/>
    <w:multiLevelType w:val="hybridMultilevel"/>
    <w:lvl w:ilvl="0">
      <w:lvlJc w:val="left"/>
      <w:lvlText w:val="%1."/>
      <w:numFmt w:val="upperLetter"/>
      <w:start w:val="2"/>
    </w:lvl>
  </w:abstractNum>
  <w:abstractNum w:abstractNumId="83">
    <w:nsid w:val="1D9F6E5F"/>
    <w:multiLevelType w:val="hybridMultilevel"/>
    <w:lvl w:ilvl="0">
      <w:lvlJc w:val="left"/>
      <w:lvlText w:val="•"/>
      <w:numFmt w:val="bullet"/>
      <w:start w:val="1"/>
    </w:lvl>
  </w:abstractNum>
  <w:abstractNum w:abstractNumId="84">
    <w:nsid w:val="97E1B4E"/>
    <w:multiLevelType w:val="hybridMultilevel"/>
    <w:lvl w:ilvl="0">
      <w:lvlJc w:val="left"/>
      <w:lvlText w:val="%1."/>
      <w:numFmt w:val="upperLetter"/>
      <w:start w:val="1"/>
    </w:lvl>
  </w:abstractNum>
  <w:abstractNum w:abstractNumId="85">
    <w:nsid w:val="51088277"/>
    <w:multiLevelType w:val="hybridMultilevel"/>
    <w:lvl w:ilvl="0">
      <w:lvlJc w:val="left"/>
      <w:lvlText w:val="%1."/>
      <w:numFmt w:val="upperLetter"/>
      <w:start w:val="2"/>
    </w:lvl>
  </w:abstractNum>
  <w:abstractNum w:abstractNumId="86">
    <w:nsid w:val="1CA0C5FA"/>
    <w:multiLevelType w:val="hybridMultilevel"/>
    <w:lvl w:ilvl="0">
      <w:lvlJc w:val="left"/>
      <w:lvlText w:val="%1."/>
      <w:numFmt w:val="upperLetter"/>
      <w:start w:val="1"/>
    </w:lvl>
  </w:abstractNum>
  <w:abstractNum w:abstractNumId="87">
    <w:nsid w:val="53584BCB"/>
    <w:multiLevelType w:val="hybridMultilevel"/>
    <w:lvl w:ilvl="0">
      <w:lvlJc w:val="left"/>
      <w:lvlText w:val="•"/>
      <w:numFmt w:val="bullet"/>
      <w:start w:val="1"/>
    </w:lvl>
  </w:abstractNum>
  <w:abstractNum w:abstractNumId="88">
    <w:nsid w:val="415E286C"/>
    <w:multiLevelType w:val="hybridMultilevel"/>
    <w:lvl w:ilvl="0">
      <w:lvlJc w:val="left"/>
      <w:lvlText w:val="%1."/>
      <w:numFmt w:val="upperLetter"/>
      <w:start w:val="2"/>
    </w:lvl>
  </w:abstractNum>
  <w:abstractNum w:abstractNumId="89">
    <w:nsid w:val="7C58FD05"/>
    <w:multiLevelType w:val="hybridMultilevel"/>
    <w:lvl w:ilvl="0">
      <w:lvlJc w:val="left"/>
      <w:lvlText w:val="(%1)"/>
      <w:numFmt w:val="upperLetter"/>
      <w:start w:val="1"/>
    </w:lvl>
  </w:abstractNum>
  <w:abstractNum w:abstractNumId="90">
    <w:nsid w:val="23D86AAC"/>
    <w:multiLevelType w:val="hybridMultilevel"/>
    <w:lvl w:ilvl="0">
      <w:lvlJc w:val="left"/>
      <w:lvlText w:val="(%1)"/>
      <w:numFmt w:val="upperLetter"/>
      <w:start w:val="5"/>
    </w:lvl>
  </w:abstractNum>
  <w:abstractNum w:abstractNumId="91">
    <w:nsid w:val="45E6D486"/>
    <w:multiLevelType w:val="hybridMultilevel"/>
    <w:lvl w:ilvl="0">
      <w:lvlJc w:val="left"/>
      <w:lvlText w:val="(%1)"/>
      <w:numFmt w:val="lowerLetter"/>
      <w:start w:val="1"/>
    </w:lvl>
  </w:abstractNum>
  <w:abstractNum w:abstractNumId="92">
    <w:nsid w:val="5C10FE21"/>
    <w:multiLevelType w:val="hybridMultilevel"/>
    <w:lvl w:ilvl="0">
      <w:lvlJc w:val="left"/>
      <w:lvlText w:val="(%1)"/>
      <w:numFmt w:val="lowerLetter"/>
      <w:start w:val="2"/>
    </w:lvl>
  </w:abstractNum>
  <w:abstractNum w:abstractNumId="93">
    <w:nsid w:val="E7FFA2B"/>
    <w:multiLevelType w:val="hybridMultilevel"/>
    <w:lvl w:ilvl="0">
      <w:lvlJc w:val="left"/>
      <w:lvlText w:val="(%1)"/>
      <w:numFmt w:val="lowerLetter"/>
      <w:start w:val="3"/>
    </w:lvl>
  </w:abstractNum>
  <w:abstractNum w:abstractNumId="94">
    <w:nsid w:val="3C5991AA"/>
    <w:multiLevelType w:val="hybridMultilevel"/>
    <w:lvl w:ilvl="0">
      <w:lvlJc w:val="left"/>
      <w:lvlText w:val="•"/>
      <w:numFmt w:val="bullet"/>
      <w:start w:val="1"/>
    </w:lvl>
  </w:abstractNum>
  <w:abstractNum w:abstractNumId="95">
    <w:nsid w:val="4BD8591A"/>
    <w:multiLevelType w:val="hybridMultilevel"/>
    <w:lvl w:ilvl="0">
      <w:lvlJc w:val="left"/>
      <w:lvlText w:val="(%1)"/>
      <w:numFmt w:val="lowerLetter"/>
      <w:start w:val="1"/>
    </w:lvl>
  </w:abstractNum>
  <w:abstractNum w:abstractNumId="96">
    <w:nsid w:val="78DF6A55"/>
    <w:multiLevelType w:val="hybridMultilevel"/>
    <w:lvl w:ilvl="0">
      <w:lvlJc w:val="left"/>
      <w:lvlText w:val="•"/>
      <w:numFmt w:val="bullet"/>
      <w:start w:val="1"/>
    </w:lvl>
  </w:abstractNum>
  <w:abstractNum w:abstractNumId="97">
    <w:nsid w:val="39B7AAA2"/>
    <w:multiLevelType w:val="hybridMultilevel"/>
    <w:lvl w:ilvl="0">
      <w:lvlJc w:val="left"/>
      <w:lvlText w:val="•"/>
      <w:numFmt w:val="bullet"/>
      <w:start w:val="1"/>
    </w:lvl>
  </w:abstractNum>
  <w:abstractNum w:abstractNumId="98">
    <w:nsid w:val="2B0D8DBE"/>
    <w:multiLevelType w:val="hybridMultilevel"/>
    <w:lvl w:ilvl="0">
      <w:lvlJc w:val="left"/>
      <w:lvlText w:val="•"/>
      <w:numFmt w:val="bullet"/>
      <w:start w:val="1"/>
    </w:lvl>
  </w:abstractNum>
  <w:abstractNum w:abstractNumId="99">
    <w:nsid w:val="6C80EC70"/>
    <w:multiLevelType w:val="hybridMultilevel"/>
    <w:lvl w:ilvl="0">
      <w:lvlJc w:val="left"/>
      <w:lvlText w:val="(%1)"/>
      <w:numFmt w:val="lowerLetter"/>
      <w:start w:val="2"/>
    </w:lvl>
  </w:abstractNum>
  <w:abstractNum w:abstractNumId="100">
    <w:nsid w:val="379E21B5"/>
    <w:multiLevelType w:val="hybridMultilevel"/>
    <w:lvl w:ilvl="0">
      <w:lvlJc w:val="left"/>
      <w:lvlText w:val="(%1)"/>
      <w:numFmt w:val="lowerLetter"/>
      <w:start w:val="3"/>
    </w:lvl>
  </w:abstractNum>
  <w:abstractNum w:abstractNumId="101">
    <w:nsid w:val="69E373"/>
    <w:multiLevelType w:val="hybridMultilevel"/>
    <w:lvl w:ilvl="0">
      <w:lvlJc w:val="left"/>
      <w:lvlText w:val="(%1)"/>
      <w:numFmt w:val="lowerLetter"/>
      <w:start w:val="1"/>
    </w:lvl>
  </w:abstractNum>
  <w:abstractNum w:abstractNumId="102">
    <w:nsid w:val="2C27173B"/>
    <w:multiLevelType w:val="hybridMultilevel"/>
    <w:lvl w:ilvl="0">
      <w:lvlJc w:val="left"/>
      <w:lvlText w:val="•"/>
      <w:numFmt w:val="bullet"/>
      <w:start w:val="1"/>
    </w:lvl>
  </w:abstractNum>
  <w:abstractNum w:abstractNumId="103">
    <w:nsid w:val="4C9B0904"/>
    <w:multiLevelType w:val="hybridMultilevel"/>
    <w:lvl w:ilvl="0">
      <w:lvlJc w:val="left"/>
      <w:lvlText w:val="•"/>
      <w:numFmt w:val="bullet"/>
      <w:start w:val="1"/>
    </w:lvl>
  </w:abstractNum>
  <w:abstractNum w:abstractNumId="104">
    <w:nsid w:val="6AA7B75C"/>
    <w:multiLevelType w:val="hybridMultilevel"/>
    <w:lvl w:ilvl="0">
      <w:lvlJc w:val="left"/>
      <w:lvlText w:val="(%1)"/>
      <w:numFmt w:val="lowerLetter"/>
      <w:start w:val="2"/>
    </w:lvl>
  </w:abstractNum>
  <w:abstractNum w:abstractNumId="105">
    <w:nsid w:val="1DF029D3"/>
    <w:multiLevelType w:val="hybridMultilevel"/>
    <w:lvl w:ilvl="0">
      <w:lvlJc w:val="left"/>
      <w:lvlText w:val="(%1)"/>
      <w:numFmt w:val="lowerLetter"/>
      <w:start w:val="3"/>
    </w:lvl>
  </w:abstractNum>
  <w:abstractNum w:abstractNumId="106">
    <w:nsid w:val="5675FF36"/>
    <w:multiLevelType w:val="hybridMultilevel"/>
    <w:lvl w:ilvl="0">
      <w:lvlJc w:val="left"/>
      <w:lvlText w:val="(%1)"/>
      <w:numFmt w:val="lowerLetter"/>
      <w:start w:val="4"/>
    </w:lvl>
  </w:abstractNum>
  <w:abstractNum w:abstractNumId="107">
    <w:nsid w:val="3DD15094"/>
    <w:multiLevelType w:val="hybridMultilevel"/>
    <w:lvl w:ilvl="0">
      <w:lvlJc w:val="left"/>
      <w:lvlText w:val="(%1)"/>
      <w:numFmt w:val="lowerLetter"/>
      <w:start w:val="5"/>
    </w:lvl>
  </w:abstractNum>
  <w:abstractNum w:abstractNumId="108">
    <w:nsid w:val="3DB012B3"/>
    <w:multiLevelType w:val="hybridMultilevel"/>
    <w:lvl w:ilvl="0">
      <w:lvlJc w:val="left"/>
      <w:lvlText w:val="(%1)"/>
      <w:numFmt w:val="lowerLetter"/>
      <w:start w:val="1"/>
    </w:lvl>
  </w:abstractNum>
  <w:abstractNum w:abstractNumId="109">
    <w:nsid w:val="2708C9AF"/>
    <w:multiLevelType w:val="hybridMultilevel"/>
    <w:lvl w:ilvl="0">
      <w:lvlJc w:val="left"/>
      <w:lvlText w:val="•"/>
      <w:numFmt w:val="bullet"/>
      <w:start w:val="1"/>
    </w:lvl>
  </w:abstractNum>
  <w:abstractNum w:abstractNumId="110">
    <w:nsid w:val="5B25ACE2"/>
    <w:multiLevelType w:val="hybridMultilevel"/>
    <w:lvl w:ilvl="0">
      <w:lvlJc w:val="left"/>
      <w:lvlText w:val="(%1)"/>
      <w:numFmt w:val="lowerLetter"/>
      <w:start w:val="2"/>
    </w:lvl>
  </w:abstractNum>
  <w:abstractNum w:abstractNumId="111">
    <w:nsid w:val="175DFCF0"/>
    <w:multiLevelType w:val="hybridMultilevel"/>
    <w:lvl w:ilvl="0">
      <w:lvlJc w:val="left"/>
      <w:lvlText w:val="%1."/>
      <w:numFmt w:val="lowerLetter"/>
      <w:start w:val="1"/>
    </w:lvl>
  </w:abstractNum>
  <w:abstractNum w:abstractNumId="112">
    <w:nsid w:val="4F97E3E4"/>
    <w:multiLevelType w:val="hybridMultilevel"/>
    <w:lvl w:ilvl="0">
      <w:lvlJc w:val="left"/>
      <w:lvlText w:val="%1."/>
      <w:numFmt w:val="lowerLetter"/>
      <w:start w:val="2"/>
    </w:lvl>
  </w:abstractNum>
  <w:abstractNum w:abstractNumId="113">
    <w:nsid w:val="53B0A9E"/>
    <w:multiLevelType w:val="hybridMultilevel"/>
    <w:lvl w:ilvl="0">
      <w:lvlJc w:val="left"/>
      <w:lvlText w:val="(%1)"/>
      <w:numFmt w:val="lowerLetter"/>
      <w:start w:val="3"/>
    </w:lvl>
  </w:abstractNum>
  <w:abstractNum w:abstractNumId="114">
    <w:nsid w:val="34FD6B4F"/>
    <w:multiLevelType w:val="hybridMultilevel"/>
    <w:lvl w:ilvl="0">
      <w:lvlJc w:val="left"/>
      <w:lvlText w:val="(%1)"/>
      <w:numFmt w:val="lowerLetter"/>
      <w:start w:val="1"/>
    </w:lvl>
  </w:abstractNum>
  <w:abstractNum w:abstractNumId="115">
    <w:nsid w:val="5915FF32"/>
    <w:multiLevelType w:val="hybridMultilevel"/>
    <w:lvl w:ilvl="0">
      <w:lvlJc w:val="left"/>
      <w:lvlText w:val="•"/>
      <w:numFmt w:val="bullet"/>
      <w:start w:val="1"/>
    </w:lvl>
  </w:abstractNum>
  <w:abstractNum w:abstractNumId="116">
    <w:nsid w:val="56438D15"/>
    <w:multiLevelType w:val="hybridMultilevel"/>
    <w:lvl w:ilvl="0">
      <w:lvlJc w:val="left"/>
      <w:lvlText w:val="•"/>
      <w:numFmt w:val="bullet"/>
      <w:start w:val="1"/>
    </w:lvl>
  </w:abstractNum>
  <w:abstractNum w:abstractNumId="117">
    <w:nsid w:val="519E3149"/>
    <w:multiLevelType w:val="hybridMultilevel"/>
    <w:lvl w:ilvl="0">
      <w:lvlJc w:val="left"/>
      <w:lvlText w:val="•"/>
      <w:numFmt w:val="bullet"/>
      <w:start w:val="1"/>
    </w:lvl>
  </w:abstractNum>
  <w:abstractNum w:abstractNumId="118">
    <w:nsid w:val="2C6E4AFD"/>
    <w:multiLevelType w:val="hybridMultilevel"/>
    <w:lvl w:ilvl="0">
      <w:lvlJc w:val="left"/>
      <w:lvlText w:val="%1."/>
      <w:numFmt w:val="lowerLetter"/>
      <w:start w:val="1"/>
    </w:lvl>
  </w:abstractNum>
  <w:abstractNum w:abstractNumId="119">
    <w:nsid w:val="17A1B582"/>
    <w:multiLevelType w:val="hybridMultilevel"/>
    <w:lvl w:ilvl="0">
      <w:lvlJc w:val="left"/>
      <w:lvlText w:val="%1."/>
      <w:numFmt w:val="lowerLetter"/>
      <w:start w:val="2"/>
    </w:lvl>
    <w:lvl w:ilvl="1">
      <w:lvlJc w:val="left"/>
      <w:lvlText w:val="•"/>
      <w:numFmt w:val="bullet"/>
      <w:start w:val="1"/>
    </w:lvl>
  </w:abstractNum>
  <w:abstractNum w:abstractNumId="120">
    <w:nsid w:val="4DF72E4E"/>
    <w:multiLevelType w:val="hybridMultilevel"/>
    <w:lvl w:ilvl="0">
      <w:lvlJc w:val="left"/>
      <w:lvlText w:val="(%1)"/>
      <w:numFmt w:val="lowerLetter"/>
      <w:start w:val="2"/>
    </w:lvl>
  </w:abstractNum>
  <w:abstractNum w:abstractNumId="121">
    <w:nsid w:val="5046B5A9"/>
    <w:multiLevelType w:val="hybridMultilevel"/>
    <w:lvl w:ilvl="0">
      <w:lvlJc w:val="left"/>
      <w:lvlText w:val="(%1)"/>
      <w:numFmt w:val="lowerLetter"/>
      <w:start w:val="3"/>
    </w:lvl>
  </w:abstractNum>
  <w:abstractNum w:abstractNumId="122">
    <w:nsid w:val="5D888A08"/>
    <w:multiLevelType w:val="hybridMultilevel"/>
    <w:lvl w:ilvl="0">
      <w:lvlJc w:val="left"/>
      <w:lvlText w:val="(%1)"/>
      <w:numFmt w:val="lowerRoman"/>
      <w:start w:val="2"/>
    </w:lvl>
  </w:abstractNum>
  <w:abstractNum w:abstractNumId="123">
    <w:nsid w:val="2A082C70"/>
    <w:multiLevelType w:val="hybridMultilevel"/>
    <w:lvl w:ilvl="0">
      <w:lvlJc w:val="left"/>
      <w:lvlText w:val="•"/>
      <w:numFmt w:val="bullet"/>
      <w:start w:val="1"/>
    </w:lvl>
  </w:abstractNum>
  <w:abstractNum w:abstractNumId="124">
    <w:nsid w:val="5EC6AFD4"/>
    <w:multiLevelType w:val="hybridMultilevel"/>
    <w:lvl w:ilvl="0">
      <w:lvlJc w:val="left"/>
      <w:lvlText w:val="1"/>
      <w:numFmt w:val="bullet"/>
      <w:start w:val="1"/>
    </w:lvl>
  </w:abstractNum>
  <w:abstractNum w:abstractNumId="125">
    <w:nsid w:val="19E21BB2"/>
    <w:multiLevelType w:val="hybridMultilevel"/>
    <w:lvl w:ilvl="0">
      <w:lvlJc w:val="left"/>
      <w:lvlText w:val="(%1)"/>
      <w:numFmt w:val="lowerLetter"/>
      <w:start w:val="1"/>
    </w:lvl>
  </w:abstractNum>
  <w:abstractNum w:abstractNumId="126">
    <w:nsid w:val="75E0858A"/>
    <w:multiLevelType w:val="hybridMultilevel"/>
    <w:lvl w:ilvl="0">
      <w:lvlJc w:val="left"/>
      <w:lvlText w:val="(%1)"/>
      <w:numFmt w:val="lowerLetter"/>
      <w:start w:val="2"/>
    </w:lvl>
  </w:abstractNum>
  <w:abstractNum w:abstractNumId="127">
    <w:nsid w:val="57A61A29"/>
    <w:multiLevelType w:val="hybridMultilevel"/>
    <w:lvl w:ilvl="0">
      <w:lvlJc w:val="left"/>
      <w:lvlText w:val="(%1)"/>
      <w:numFmt w:val="lowerLetter"/>
      <w:start w:val="3"/>
    </w:lvl>
  </w:abstractNum>
  <w:abstractNum w:abstractNumId="128">
    <w:nsid w:val="5399C654"/>
    <w:multiLevelType w:val="hybridMultilevel"/>
    <w:lvl w:ilvl="0">
      <w:lvlJc w:val="left"/>
      <w:lvlText w:val="(%1)"/>
      <w:numFmt w:val="lowerLetter"/>
      <w:start w:val="4"/>
    </w:lvl>
  </w:abstractNum>
  <w:abstractNum w:abstractNumId="129">
    <w:nsid w:val="20EE1348"/>
    <w:multiLevelType w:val="hybridMultilevel"/>
    <w:lvl w:ilvl="0">
      <w:lvlJc w:val="left"/>
      <w:lvlText w:val="•"/>
      <w:numFmt w:val="bullet"/>
      <w:start w:val="1"/>
    </w:lvl>
  </w:abstractNum>
  <w:abstractNum w:abstractNumId="130">
    <w:nsid w:val="4427069A"/>
    <w:multiLevelType w:val="hybridMultilevel"/>
    <w:lvl w:ilvl="0">
      <w:lvlJc w:val="left"/>
      <w:lvlText w:val="(%1)"/>
      <w:numFmt w:val="lowerLetter"/>
      <w:start w:val="5"/>
    </w:lvl>
  </w:abstractNum>
  <w:abstractNum w:abstractNumId="131">
    <w:nsid w:val="B37E80A"/>
    <w:multiLevelType w:val="hybridMultilevel"/>
    <w:lvl w:ilvl="0">
      <w:lvlJc w:val="left"/>
      <w:lvlText w:val="•"/>
      <w:numFmt w:val="bullet"/>
      <w:start w:val="1"/>
    </w:lvl>
  </w:abstractNum>
  <w:abstractNum w:abstractNumId="132">
    <w:nsid w:val="2157F6BC"/>
    <w:multiLevelType w:val="hybridMultilevel"/>
    <w:lvl w:ilvl="0">
      <w:lvlJc w:val="left"/>
      <w:lvlText w:val="(%1)"/>
      <w:numFmt w:val="lowerLetter"/>
      <w:start w:val="6"/>
    </w:lvl>
  </w:abstractNum>
  <w:abstractNum w:abstractNumId="133">
    <w:nsid w:val="704E1DD5"/>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2019-12-08T00:08:42Z</dcterms:created>
  <dcterms:modified xsi:type="dcterms:W3CDTF">2019-12-08T00:08:42Z</dcterms:modified>
</cp:coreProperties>
</file>