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8" w:lineRule="exact"/>
        <w:rPr>
          <w:sz w:val="24"/>
          <w:szCs w:val="24"/>
          <w:color w:val="auto"/>
        </w:rPr>
      </w:pPr>
    </w:p>
    <w:p>
      <w:pPr>
        <w:ind w:left="354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5"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5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301 Commerce Street, Suite 3300,</w:t>
            </w:r>
          </w:p>
        </w:tc>
        <w:tc>
          <w:tcPr>
            <w:tcW w:w="3060" w:type="dxa"/>
            <w:vAlign w:val="bottom"/>
          </w:tcPr>
          <w:p>
            <w:pPr>
              <w:spacing w:after="0"/>
              <w:rPr>
                <w:sz w:val="23"/>
                <w:szCs w:val="23"/>
                <w:color w:val="auto"/>
              </w:rPr>
            </w:pPr>
          </w:p>
        </w:tc>
      </w:tr>
      <w:tr>
        <w:trPr>
          <w:trHeight w:val="214"/>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Fort Worth, TX</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2"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65" w:right="239" w:bottom="1440" w:gutter="0" w:footer="0" w:header="0"/>
        </w:sectPr>
      </w:pP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4">
            <w:col w:w="1800" w:space="720"/>
            <w:col w:w="4880" w:space="720"/>
            <w:col w:w="2320" w:space="720"/>
            <w:col w:w="260"/>
          </w:cols>
          <w:pgMar w:left="240" w:top="565"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0" w:lineRule="exact"/>
        <w:rPr>
          <w:sz w:val="24"/>
          <w:szCs w:val="24"/>
          <w:color w:val="auto"/>
        </w:rPr>
      </w:pPr>
    </w:p>
    <w:p>
      <w:pPr>
        <w:sectPr>
          <w:pgSz w:w="11900" w:h="16838" w:orient="portrait"/>
          <w:cols w:equalWidth="0" w:num="5">
            <w:col w:w="1800" w:space="720"/>
            <w:col w:w="160" w:space="100"/>
            <w:col w:w="4620" w:space="720"/>
            <w:col w:w="2320" w:space="720"/>
            <w:col w:w="260"/>
          </w:cols>
          <w:pgMar w:left="240" w:top="565" w:right="239" w:bottom="1440" w:gutter="0" w:footer="0" w:header="0"/>
          <w:type w:val="continuous"/>
        </w:sectPr>
      </w:pPr>
    </w:p>
    <w:p>
      <w:pPr>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Securities Exchange Act of 1934).</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19" w:lineRule="exact"/>
        <w:rPr>
          <w:sz w:val="24"/>
          <w:szCs w:val="24"/>
          <w:color w:val="auto"/>
        </w:rPr>
      </w:pPr>
    </w:p>
    <w:p>
      <w:pPr>
        <w:sectPr>
          <w:pgSz w:w="11900" w:h="16838" w:orient="portrait"/>
          <w:cols w:equalWidth="0" w:num="2">
            <w:col w:w="10280" w:space="180"/>
            <w:col w:w="960"/>
          </w:cols>
          <w:pgMar w:left="240" w:top="56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$.01 par value per share, outstanding at November 3, 2015 was 54,163,960.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904875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 w:type="dxa"/>
            <w:vAlign w:val="bottom"/>
            <w:vMerge w:val="restart"/>
          </w:tcPr>
          <w:p>
            <w:pPr>
              <w:spacing w:after="0"/>
              <w:rPr>
                <w:sz w:val="13"/>
                <w:szCs w:val="13"/>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gridSpan w:val="7"/>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4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6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Consolidated Balance Sheets as of September 30, 2015 and December 31, 2014 (Unaudited)</w:t>
              </w:r>
            </w:hyperlink>
          </w:p>
        </w:tc>
        <w:tc>
          <w:tcPr>
            <w:tcW w:w="28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85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Operations for the three and nine months ended September 30, 2015 and 2014 (Unaudited)</w:t>
              </w:r>
            </w:hyperlink>
          </w:p>
        </w:tc>
        <w:tc>
          <w:tcPr>
            <w:tcW w:w="9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Schedules of Investments as of September 30, 2015 and December 31, 2014 (Unaudited)</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8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Consolidated Statements of Changes in Net Assets for the nine months ended September 30, 2015 and 2014 (Unaudited)</w:t>
              </w:r>
            </w:hyperlink>
          </w:p>
        </w:tc>
        <w:tc>
          <w:tcPr>
            <w:tcW w:w="7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8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Consolidated Statements of Cash Flows for the nine months ended September 30, 2015 and 2014 (Unaudited)</w:t>
              </w:r>
            </w:hyperlink>
          </w:p>
        </w:tc>
        <w:tc>
          <w:tcPr>
            <w:tcW w:w="15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16">
              <w:r>
                <w:rPr>
                  <w:rFonts w:ascii="Times New Roman" w:cs="Times New Roman" w:eastAsia="Times New Roman" w:hAnsi="Times New Roman"/>
                  <w:sz w:val="18"/>
                  <w:szCs w:val="18"/>
                  <w:color w:val="0000EE"/>
                  <w:w w:val="98"/>
                </w:rPr>
                <w:t>Notes to Consolidated Financial Statements (Unaudited)</w:t>
              </w:r>
            </w:hyperlink>
          </w:p>
        </w:tc>
        <w:tc>
          <w:tcPr>
            <w:tcW w:w="54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02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5"/>
              </w:rPr>
            </w:pPr>
            <w:hyperlink w:anchor="page62">
              <w:r>
                <w:rPr>
                  <w:rFonts w:ascii="Times New Roman" w:cs="Times New Roman" w:eastAsia="Times New Roman" w:hAnsi="Times New Roman"/>
                  <w:sz w:val="18"/>
                  <w:szCs w:val="18"/>
                  <w:color w:val="0000EE"/>
                  <w:w w:val="95"/>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Legal Proceedings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2"/>
              </w:rPr>
            </w:pPr>
            <w:hyperlink w:anchor="page62">
              <w:r>
                <w:rPr>
                  <w:rFonts w:ascii="Times New Roman" w:cs="Times New Roman" w:eastAsia="Times New Roman" w:hAnsi="Times New Roman"/>
                  <w:sz w:val="18"/>
                  <w:szCs w:val="18"/>
                  <w:color w:val="0000EE"/>
                  <w:w w:val="92"/>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63">
              <w:r>
                <w:rPr>
                  <w:rFonts w:ascii="Times New Roman" w:cs="Times New Roman" w:eastAsia="Times New Roman" w:hAnsi="Times New Roman"/>
                  <w:sz w:val="18"/>
                  <w:szCs w:val="18"/>
                  <w:color w:val="0000EE"/>
                  <w:w w:val="96"/>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26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SIGNATURES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88" w:lineRule="exact"/>
        <w:rPr>
          <w:sz w:val="20"/>
          <w:szCs w:val="20"/>
          <w:color w:val="auto"/>
        </w:rPr>
      </w:pPr>
    </w:p>
    <w:p>
      <w:pPr>
        <w:ind w:right="340" w:firstLine="259"/>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620" w:hanging="255"/>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420" w:hanging="255"/>
        <w:spacing w:after="0" w:line="313"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0" w:lineRule="exact"/>
        <w:rPr>
          <w:rFonts w:ascii="Times New Roman" w:cs="Times New Roman" w:eastAsia="Times New Roman" w:hAnsi="Times New Roman"/>
          <w:sz w:val="17"/>
          <w:szCs w:val="17"/>
          <w:color w:val="auto"/>
        </w:rPr>
      </w:pPr>
    </w:p>
    <w:p>
      <w:pPr>
        <w:ind w:left="520" w:hanging="25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17" w:lineRule="exact"/>
        <w:rPr>
          <w:rFonts w:ascii="Times New Roman" w:cs="Times New Roman" w:eastAsia="Times New Roman" w:hAnsi="Times New Roman"/>
          <w:sz w:val="18"/>
          <w:szCs w:val="18"/>
          <w:color w:val="auto"/>
        </w:rPr>
      </w:pPr>
    </w:p>
    <w:p>
      <w:pPr>
        <w:ind w:left="520" w:right="20" w:hanging="255"/>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and in our Annual Report on Form 10-K for the year ended December 31, 2014, filed with the SEC on February 24, 2015, and elsewhere in our filings with the SEC.</w:t>
      </w:r>
    </w:p>
    <w:p>
      <w:pPr>
        <w:spacing w:after="0" w:line="162"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2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5"/>
                <w:szCs w:val="15"/>
                <w:color w:val="auto"/>
              </w:rPr>
            </w:pPr>
          </w:p>
        </w:tc>
      </w:tr>
      <w:tr>
        <w:trPr>
          <w:trHeight w:val="22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$1,332,433</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$1,225,672, respectively)</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1,326,937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1,221,875</w:t>
            </w:r>
          </w:p>
        </w:tc>
        <w:tc>
          <w:tcPr>
            <w:tcW w:w="120" w:type="dxa"/>
            <w:vAlign w:val="bottom"/>
            <w:shd w:val="clear" w:color="auto" w:fill="CFF0FC"/>
          </w:tcPr>
          <w:p>
            <w:pPr>
              <w:spacing w:after="0"/>
              <w:rPr>
                <w:sz w:val="20"/>
                <w:szCs w:val="20"/>
                <w:color w:val="auto"/>
              </w:rPr>
            </w:pPr>
          </w:p>
        </w:tc>
      </w:tr>
      <w:tr>
        <w:trPr>
          <w:trHeight w:val="211"/>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 (amortized cost of $79,358 and $47,580,</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10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69,489</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120" w:type="dxa"/>
            <w:vAlign w:val="bottom"/>
            <w:tcBorders>
              <w:bottom w:val="single" w:sz="8" w:color="CFF0FC"/>
            </w:tcBorders>
          </w:tcPr>
          <w:p>
            <w:pPr>
              <w:spacing w:after="0"/>
              <w:rPr>
                <w:sz w:val="20"/>
                <w:szCs w:val="20"/>
                <w:color w:val="auto"/>
              </w:rPr>
            </w:pPr>
          </w:p>
        </w:tc>
      </w:tr>
      <w:tr>
        <w:trPr>
          <w:trHeight w:val="205"/>
        </w:trPr>
        <w:tc>
          <w:tcPr>
            <w:tcW w:w="69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investments at fair value (amortized cost of $1,411,791 and $1,273,252,</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1,396,426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1,263,511</w:t>
            </w:r>
          </w:p>
        </w:tc>
        <w:tc>
          <w:tcPr>
            <w:tcW w:w="120" w:type="dxa"/>
            <w:vAlign w:val="bottom"/>
            <w:shd w:val="clear" w:color="auto" w:fill="CFF0FC"/>
          </w:tcPr>
          <w:p>
            <w:pPr>
              <w:spacing w:after="0"/>
              <w:rPr>
                <w:sz w:val="20"/>
                <w:szCs w:val="20"/>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interest rate swaps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30,650</w:t>
            </w:r>
          </w:p>
        </w:tc>
        <w:tc>
          <w:tcPr>
            <w:tcW w:w="120" w:type="dxa"/>
            <w:vAlign w:val="bottom"/>
            <w:shd w:val="clear" w:color="auto" w:fill="CFF0FC"/>
          </w:tcPr>
          <w:p>
            <w:pPr>
              <w:spacing w:after="0"/>
              <w:rPr>
                <w:sz w:val="19"/>
                <w:szCs w:val="19"/>
                <w:color w:val="auto"/>
              </w:rPr>
            </w:pPr>
          </w:p>
        </w:tc>
      </w:tr>
      <w:tr>
        <w:trPr>
          <w:trHeight w:val="263"/>
        </w:trPr>
        <w:tc>
          <w:tcPr>
            <w:tcW w:w="69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1,429,009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1,303,731</w:t>
            </w:r>
          </w:p>
        </w:tc>
        <w:tc>
          <w:tcPr>
            <w:tcW w:w="120" w:type="dxa"/>
            <w:vAlign w:val="bottom"/>
            <w:tcBorders>
              <w:bottom w:val="single" w:sz="8" w:color="CFF0FC"/>
            </w:tcBorders>
          </w:tcPr>
          <w:p>
            <w:pPr>
              <w:spacing w:after="0"/>
              <w:rPr>
                <w:sz w:val="22"/>
                <w:szCs w:val="22"/>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538,619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29,017</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Payables to affiliate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585,037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468,326</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$0.01 par value; 400,000,000 shares authorized, 54,028,546 and</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53,798,357 shares issued, respectively; and 54,025,547 and 53,797,358 shares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FF0FC"/>
          </w:tcPr>
          <w:p>
            <w:pPr>
              <w:spacing w:after="0"/>
              <w:rPr>
                <w:sz w:val="20"/>
                <w:szCs w:val="20"/>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808,053</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at cost; 2,999 and 999 shares held, respectively</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Undistributed net realized gains</w:t>
            </w:r>
          </w:p>
        </w:tc>
        <w:tc>
          <w:tcPr>
            <w:tcW w:w="10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843,972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835,405</w:t>
            </w:r>
          </w:p>
        </w:tc>
        <w:tc>
          <w:tcPr>
            <w:tcW w:w="120" w:type="dxa"/>
            <w:vAlign w:val="bottom"/>
            <w:shd w:val="clear" w:color="auto" w:fill="CFF0FC"/>
          </w:tcPr>
          <w:p>
            <w:pPr>
              <w:spacing w:after="0"/>
              <w:rPr>
                <w:sz w:val="19"/>
                <w:szCs w:val="19"/>
                <w:color w:val="auto"/>
              </w:rPr>
            </w:pPr>
          </w:p>
        </w:tc>
      </w:tr>
      <w:tr>
        <w:trPr>
          <w:trHeight w:val="263"/>
        </w:trPr>
        <w:tc>
          <w:tcPr>
            <w:tcW w:w="69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0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1,429,009</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1,303,731</w:t>
            </w:r>
          </w:p>
        </w:tc>
        <w:tc>
          <w:tcPr>
            <w:tcW w:w="120" w:type="dxa"/>
            <w:vAlign w:val="bottom"/>
            <w:tcBorders>
              <w:bottom w:val="single" w:sz="8" w:color="CFF0FC"/>
            </w:tcBorders>
          </w:tcPr>
          <w:p>
            <w:pPr>
              <w:spacing w:after="0"/>
              <w:rPr>
                <w:sz w:val="22"/>
                <w:szCs w:val="22"/>
                <w:color w:val="auto"/>
              </w:rPr>
            </w:pPr>
          </w:p>
        </w:tc>
      </w:tr>
      <w:tr>
        <w:trPr>
          <w:trHeight w:val="210"/>
        </w:trPr>
        <w:tc>
          <w:tcPr>
            <w:tcW w:w="69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10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8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from non-controlled, non-affiliated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120,040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investment income from non-controlled,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non-affiliated investments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 from controlled, affiliated investments: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investment income from controlled, affiliated investments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Management and incentive fees waived (Note 3)</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Before Income Taxes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Unrealized and Realized Gains (Losses)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(10,191)</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(6,251)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(6,168)</w:t>
            </w: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(4,454)</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Translation of assets and liabilities in foreign currencies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net change in unrealized losses</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(4,975)</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transactions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realized losses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Total Unrealized and Realized Losses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00" w:type="dxa"/>
            <w:vAlign w:val="bottom"/>
            <w:shd w:val="clear" w:color="auto" w:fill="CFF0FC"/>
          </w:tcPr>
          <w:p>
            <w:pPr>
              <w:ind w:left="880"/>
              <w:spacing w:after="0" w:line="201" w:lineRule="exact"/>
              <w:rPr>
                <w:sz w:val="20"/>
                <w:szCs w:val="20"/>
                <w:color w:val="auto"/>
              </w:rPr>
            </w:pPr>
            <w:r>
              <w:rPr>
                <w:rFonts w:ascii="Times New Roman" w:cs="Times New Roman" w:eastAsia="Times New Roman" w:hAnsi="Times New Roman"/>
                <w:sz w:val="18"/>
                <w:szCs w:val="18"/>
                <w:b w:val="1"/>
                <w:bCs w:val="1"/>
                <w:color w:val="auto"/>
              </w:rPr>
              <w:t>Increase in Net Assets Resulting from</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67,910</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tcBorders>
              <w:bottom w:val="single" w:sz="8" w:color="CFF0FC"/>
            </w:tcBorders>
            <w:vMerge w:val="continue"/>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54,017,302</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53,493,026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53,969,423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49,427,943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September 30, 2015</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6"/>
                <w:szCs w:val="16"/>
                <w:color w:val="auto"/>
              </w:rPr>
            </w:pPr>
          </w:p>
        </w:tc>
      </w:tr>
      <w:tr>
        <w:trPr>
          <w:trHeight w:val="226"/>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24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20" w:type="dxa"/>
            <w:vAlign w:val="bottom"/>
          </w:tcPr>
          <w:p>
            <w:pPr>
              <w:spacing w:after="0"/>
              <w:rPr>
                <w:sz w:val="19"/>
                <w:szCs w:val="19"/>
                <w:color w:val="auto"/>
              </w:rPr>
            </w:pP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Heartland Automotive Holdings,</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($31,271 par,</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6/2017)</w:t>
            </w: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30,932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30,176</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r>
      <w:tr>
        <w:trPr>
          <w:trHeight w:val="211"/>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revolving loan</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($2,528 par, due 6/2017)</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32,509</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AFS Technologies, Inc. </w:t>
            </w:r>
            <w:r>
              <w:rPr>
                <w:rFonts w:ascii="Times New Roman" w:cs="Times New Roman" w:eastAsia="Times New Roman" w:hAnsi="Times New Roman"/>
                <w:sz w:val="15"/>
                <w:szCs w:val="15"/>
                <w:color w:val="auto"/>
              </w:rPr>
              <w:t>(3)(5)</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($63,821 par,</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3/2020)</w:t>
            </w: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62,685</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63,502</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Atlantic &amp; Pacific Tea Co.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($23,144 par,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due 9/2019)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11.85%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22,835</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23,144</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86,646</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Actian Corporation </w:t>
            </w:r>
            <w:r>
              <w:rPr>
                <w:rFonts w:ascii="Times New Roman" w:cs="Times New Roman" w:eastAsia="Times New Roman" w:hAnsi="Times New Roman"/>
                <w:sz w:val="15"/>
                <w:szCs w:val="15"/>
                <w:color w:val="auto"/>
              </w:rPr>
              <w:t>(3)(5)</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($60,915 par,</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4/2018)</w:t>
            </w: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63,656</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Clarabridge, Inc. </w:t>
            </w:r>
            <w:r>
              <w:rPr>
                <w:rFonts w:ascii="Times New Roman" w:cs="Times New Roman" w:eastAsia="Times New Roman" w:hAnsi="Times New Roman"/>
                <w:sz w:val="15"/>
                <w:szCs w:val="15"/>
                <w:color w:val="auto"/>
              </w:rPr>
              <w:t>(3)</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($22,444 par,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due 4/2019)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5/20/2015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21,990</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Leaf US Holdings, Inc. </w:t>
            </w:r>
            <w:r>
              <w:rPr>
                <w:rFonts w:ascii="Times New Roman" w:cs="Times New Roman" w:eastAsia="Times New Roman" w:hAnsi="Times New Roman"/>
                <w:sz w:val="15"/>
                <w:szCs w:val="15"/>
                <w:color w:val="auto"/>
              </w:rPr>
              <w:t>(3)(4)</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($28,934 par, due</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6/2019)</w:t>
            </w: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Network Merchants, Inc. </w:t>
            </w:r>
            <w:r>
              <w:rPr>
                <w:rFonts w:ascii="Times New Roman" w:cs="Times New Roman" w:eastAsia="Times New Roman" w:hAnsi="Times New Roman"/>
                <w:sz w:val="15"/>
                <w:szCs w:val="15"/>
                <w:color w:val="auto"/>
              </w:rPr>
              <w:t>(3)</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($29,119 par,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due 9/2018)</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9/12/2013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29,642</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ScentAir Technologies, Inc. </w:t>
            </w:r>
            <w:r>
              <w:rPr>
                <w:rFonts w:ascii="Times New Roman" w:cs="Times New Roman" w:eastAsia="Times New Roman" w:hAnsi="Times New Roman"/>
                <w:sz w:val="15"/>
                <w:szCs w:val="15"/>
                <w:color w:val="auto"/>
              </w:rPr>
              <w:t>(3)</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($18,429 par,</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12/2019)</w:t>
            </w: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18,091</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156,867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161,679</w:t>
            </w: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r>
      <w:tr>
        <w:trPr>
          <w:trHeight w:val="223"/>
        </w:trPr>
        <w:tc>
          <w:tcPr>
            <w:tcW w:w="31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2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Vertellus Specialties, Inc. </w:t>
            </w:r>
            <w:r>
              <w:rPr>
                <w:rFonts w:ascii="Times New Roman" w:cs="Times New Roman" w:eastAsia="Times New Roman" w:hAnsi="Times New Roman"/>
                <w:sz w:val="15"/>
                <w:szCs w:val="15"/>
                <w:color w:val="auto"/>
              </w:rPr>
              <w:t>(3)</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($9,366 par,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due 10/2019)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r>
      <w:tr>
        <w:trPr>
          <w:trHeight w:val="230"/>
        </w:trPr>
        <w:tc>
          <w:tcPr>
            <w:tcW w:w="3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Campus Management, Inc. </w:t>
            </w:r>
            <w:r>
              <w:rPr>
                <w:rFonts w:ascii="Times New Roman" w:cs="Times New Roman" w:eastAsia="Times New Roman" w:hAnsi="Times New Roman"/>
                <w:sz w:val="15"/>
                <w:szCs w:val="15"/>
                <w:color w:val="auto"/>
              </w:rPr>
              <w:t>(3)(5)</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($26,840 par,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due 9/2018)</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9/30/2013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26,402</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26,706</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r>
      <w:tr>
        <w:trPr>
          <w:trHeight w:val="230"/>
        </w:trPr>
        <w:tc>
          <w:tcPr>
            <w:tcW w:w="3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MyAlarm Center, LLC </w:t>
            </w:r>
            <w:r>
              <w:rPr>
                <w:rFonts w:ascii="Times New Roman" w:cs="Times New Roman" w:eastAsia="Times New Roman" w:hAnsi="Times New Roman"/>
                <w:sz w:val="15"/>
                <w:szCs w:val="15"/>
                <w:color w:val="auto"/>
              </w:rPr>
              <w:t>(3)</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($63,926 par,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due 1/2018)</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63,603</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APX Group Inc.</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notes 8.75% ($23,619 par,</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12/2020)</w:t>
            </w:r>
          </w:p>
        </w:tc>
        <w:tc>
          <w:tcPr>
            <w:tcW w:w="15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83,561</w:t>
            </w: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r>
      <w:tr>
        <w:trPr>
          <w:trHeight w:val="223"/>
        </w:trPr>
        <w:tc>
          <w:tcPr>
            <w:tcW w:w="31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AppStar Financial, LLC </w:t>
            </w:r>
            <w:r>
              <w:rPr>
                <w:rFonts w:ascii="Times New Roman" w:cs="Times New Roman" w:eastAsia="Times New Roman" w:hAnsi="Times New Roman"/>
                <w:sz w:val="15"/>
                <w:szCs w:val="15"/>
                <w:color w:val="auto"/>
              </w:rPr>
              <w:t>(3)</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($23,700 par, due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8/2020)</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8/18/2015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AvidXchange, Inc. </w:t>
            </w:r>
            <w:r>
              <w:rPr>
                <w:rFonts w:ascii="Times New Roman" w:cs="Times New Roman" w:eastAsia="Times New Roman" w:hAnsi="Times New Roman"/>
                <w:sz w:val="15"/>
                <w:szCs w:val="15"/>
                <w:color w:val="auto"/>
              </w:rPr>
              <w:t>(3)</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Second-lien loan ($31,056 par,</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8/2020)</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10.50% PIK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8/7/2015</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30,499</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30,321</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Embarcadero Technologies,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($38,566 par,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(3)(5)</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due 12/2017)</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38,075</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38,855</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PayLease, LLC </w:t>
            </w:r>
            <w:r>
              <w:rPr>
                <w:rFonts w:ascii="Times New Roman" w:cs="Times New Roman" w:eastAsia="Times New Roman" w:hAnsi="Times New Roman"/>
                <w:sz w:val="15"/>
                <w:szCs w:val="15"/>
                <w:color w:val="auto"/>
              </w:rPr>
              <w:t>(3)</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($33,428 par,</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10.00% (incl.</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3/2020)</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2.50% PIK)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3/6/2015</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32,659</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124,892</w:t>
            </w: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r>
      <w:tr>
        <w:trPr>
          <w:trHeight w:val="426"/>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7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 and</w:t>
            </w:r>
          </w:p>
        </w:tc>
        <w:tc>
          <w:tcPr>
            <w:tcW w:w="288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8"/>
        </w:trPr>
        <w:tc>
          <w:tcPr>
            <w:tcW w:w="2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28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Aesynt Incorporated </w:t>
            </w:r>
            <w:r>
              <w:rPr>
                <w:rFonts w:ascii="Times New Roman" w:cs="Times New Roman" w:eastAsia="Times New Roman" w:hAnsi="Times New Roman"/>
                <w:sz w:val="15"/>
                <w:szCs w:val="15"/>
                <w:color w:val="auto"/>
              </w:rPr>
              <w:t>(3)(5)</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($33,688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5/2019)</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32,984</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33,772</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1"/>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(3)(4)</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(EUR 28,484 par,</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11.50% (incl.</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31,080</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spacing w:after="0"/>
              <w:rPr>
                <w:sz w:val="20"/>
                <w:szCs w:val="20"/>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9/2019)</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3.00% PIK)</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(EUR 27,843)</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11"/>
        </w:trPr>
        <w:tc>
          <w:tcPr>
            <w:tcW w:w="2760" w:type="dxa"/>
            <w:vAlign w:val="bottom"/>
          </w:tcPr>
          <w:p>
            <w:pPr>
              <w:spacing w:after="0"/>
              <w:rPr>
                <w:sz w:val="18"/>
                <w:szCs w:val="18"/>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(EUR 300 par, due 9/2019)</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(EUR 244)</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1"/>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MedeAnalytics, Inc. </w:t>
            </w:r>
            <w:r>
              <w:rPr>
                <w:rFonts w:ascii="Times New Roman" w:cs="Times New Roman" w:eastAsia="Times New Roman" w:hAnsi="Times New Roman"/>
                <w:sz w:val="15"/>
                <w:szCs w:val="15"/>
                <w:color w:val="auto"/>
              </w:rPr>
              <w:t>(3)(5)</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($45,000 par, due</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9.00% (incl.</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spacing w:after="0"/>
              <w:rPr>
                <w:sz w:val="20"/>
                <w:szCs w:val="20"/>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9/2020)</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2.50% PIK)</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43,554</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43,537</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Mediware Information Systems,</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($68,032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(3)(5)</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5/2018)</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11/9/2012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67,097</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1"/>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SRS Software, LLC </w:t>
            </w:r>
            <w:r>
              <w:rPr>
                <w:rFonts w:ascii="Times New Roman" w:cs="Times New Roman" w:eastAsia="Times New Roman" w:hAnsi="Times New Roman"/>
                <w:sz w:val="15"/>
                <w:szCs w:val="15"/>
                <w:color w:val="auto"/>
              </w:rPr>
              <w:t>(3)</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($32,344 par,</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spacing w:after="0"/>
              <w:rPr>
                <w:sz w:val="20"/>
                <w:szCs w:val="20"/>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12/2017)</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1"/>
        </w:trPr>
        <w:tc>
          <w:tcPr>
            <w:tcW w:w="2760" w:type="dxa"/>
            <w:vAlign w:val="bottom"/>
          </w:tcPr>
          <w:p>
            <w:pPr>
              <w:spacing w:after="0"/>
              <w:rPr>
                <w:sz w:val="18"/>
                <w:szCs w:val="18"/>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($2,000 par, due 12/2017)</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276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76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212,205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211,514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27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CrunchTime Information</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($25,291 par, due</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9.00% (incl.</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Systems, Inc. </w:t>
            </w:r>
            <w:r>
              <w:rPr>
                <w:rFonts w:ascii="Times New Roman" w:cs="Times New Roman" w:eastAsia="Times New Roman" w:hAnsi="Times New Roman"/>
                <w:sz w:val="15"/>
                <w:szCs w:val="15"/>
                <w:color w:val="auto"/>
              </w:rPr>
              <w:t>(3)</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4/2020)</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2.50% PIK)</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4/16/2015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24,682</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24,497</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IRGSE Holding Corp. </w:t>
            </w:r>
            <w:r>
              <w:rPr>
                <w:rFonts w:ascii="Times New Roman" w:cs="Times New Roman" w:eastAsia="Times New Roman" w:hAnsi="Times New Roman"/>
                <w:sz w:val="15"/>
                <w:szCs w:val="15"/>
                <w:color w:val="auto"/>
              </w:rPr>
              <w:t>(3)(7)</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($20,000 par, due</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10.00% (incl.</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9/2019)</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 PIK)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9/29/2015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1"/>
        </w:trPr>
        <w:tc>
          <w:tcPr>
            <w:tcW w:w="2760" w:type="dxa"/>
            <w:vAlign w:val="bottom"/>
            <w:shd w:val="clear" w:color="auto" w:fill="CFF0FC"/>
          </w:tcPr>
          <w:p>
            <w:pPr>
              <w:spacing w:after="0"/>
              <w:rPr>
                <w:sz w:val="18"/>
                <w:szCs w:val="18"/>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revolver loan ($2,414</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10.00% (incl.</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spacing w:after="0"/>
              <w:rPr>
                <w:sz w:val="20"/>
                <w:szCs w:val="20"/>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par, due 9/2019)</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5.00% PIK)</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9/29/2015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Soho House </w:t>
            </w:r>
            <w:r>
              <w:rPr>
                <w:rFonts w:ascii="Times New Roman" w:cs="Times New Roman" w:eastAsia="Times New Roman" w:hAnsi="Times New Roman"/>
                <w:sz w:val="15"/>
                <w:szCs w:val="15"/>
                <w:color w:val="auto"/>
              </w:rPr>
              <w:t>(4)</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Second-lien bond (GBP 20,375</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 due 10/2018)</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9/20/2013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(GBP 21,190)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76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76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01"/>
        </w:trPr>
        <w:tc>
          <w:tcPr>
            <w:tcW w:w="276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Human Resource Support</w:t>
            </w:r>
          </w:p>
        </w:tc>
        <w:tc>
          <w:tcPr>
            <w:tcW w:w="2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38"/>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1"/>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Saba Software, Inc. </w:t>
            </w:r>
            <w:r>
              <w:rPr>
                <w:rFonts w:ascii="Times New Roman" w:cs="Times New Roman" w:eastAsia="Times New Roman" w:hAnsi="Times New Roman"/>
                <w:sz w:val="15"/>
                <w:szCs w:val="15"/>
                <w:color w:val="auto"/>
              </w:rPr>
              <w:t>(3)(5)</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($54,863 par,</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spacing w:after="0"/>
              <w:rPr>
                <w:sz w:val="20"/>
                <w:szCs w:val="20"/>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3/2021)</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9.75%</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3/30/2015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54,258</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54,040</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459"/>
        </w:trPr>
        <w:tc>
          <w:tcPr>
            <w:tcW w:w="27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1"/>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Infogix, Inc. </w:t>
            </w:r>
            <w:r>
              <w:rPr>
                <w:rFonts w:ascii="Times New Roman" w:cs="Times New Roman" w:eastAsia="Times New Roman" w:hAnsi="Times New Roman"/>
                <w:sz w:val="15"/>
                <w:szCs w:val="15"/>
                <w:color w:val="auto"/>
              </w:rPr>
              <w:t>(3)</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($33,975 par,</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spacing w:after="0"/>
              <w:rPr>
                <w:sz w:val="20"/>
                <w:szCs w:val="20"/>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6/2017)</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6/1/2012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33,697</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33,805</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1"/>
        </w:trPr>
        <w:tc>
          <w:tcPr>
            <w:tcW w:w="2760" w:type="dxa"/>
            <w:vAlign w:val="bottom"/>
          </w:tcPr>
          <w:p>
            <w:pPr>
              <w:spacing w:after="0"/>
              <w:rPr>
                <w:sz w:val="18"/>
                <w:szCs w:val="18"/>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revolving loan ($3,802</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 due 6/2017)</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6/1/2012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11"/>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Insurity, Inc. </w:t>
            </w:r>
            <w:r>
              <w:rPr>
                <w:rFonts w:ascii="Times New Roman" w:cs="Times New Roman" w:eastAsia="Times New Roman" w:hAnsi="Times New Roman"/>
                <w:sz w:val="15"/>
                <w:szCs w:val="15"/>
                <w:color w:val="auto"/>
              </w:rPr>
              <w:t>(3)(5)</w:t>
            </w: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($65,452 par,</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spacing w:after="0"/>
              <w:rPr>
                <w:sz w:val="20"/>
                <w:szCs w:val="20"/>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10/2020)</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10/31/2014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64,756</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64,471</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27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28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Highwinds Capital, Inc. </w:t>
            </w:r>
            <w:r>
              <w:rPr>
                <w:rFonts w:ascii="Times New Roman" w:cs="Times New Roman" w:eastAsia="Times New Roman" w:hAnsi="Times New Roman"/>
                <w:sz w:val="15"/>
                <w:szCs w:val="15"/>
                <w:color w:val="auto"/>
              </w:rPr>
              <w:t>(3)</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($51,471 par, due</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7/2018)</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50,909</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51,857</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11"/>
        </w:trPr>
        <w:tc>
          <w:tcPr>
            <w:tcW w:w="2760" w:type="dxa"/>
            <w:vAlign w:val="bottom"/>
            <w:shd w:val="clear" w:color="auto" w:fill="CFF0FC"/>
          </w:tcPr>
          <w:p>
            <w:pPr>
              <w:spacing w:after="0"/>
              <w:rPr>
                <w:sz w:val="18"/>
                <w:szCs w:val="18"/>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revolving loan ($3,000</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2760" w:type="dxa"/>
            <w:vAlign w:val="bottom"/>
            <w:shd w:val="clear" w:color="auto" w:fill="CFF0FC"/>
          </w:tcPr>
          <w:p>
            <w:pPr>
              <w:spacing w:after="0"/>
              <w:rPr>
                <w:sz w:val="20"/>
                <w:szCs w:val="20"/>
                <w:color w:val="auto"/>
              </w:rPr>
            </w:pPr>
          </w:p>
        </w:tc>
        <w:tc>
          <w:tcPr>
            <w:tcW w:w="2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par, due 7/2018)</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3/7/2014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2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7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8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Jeeves Information Systems</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(SEK 195,215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15"/>
                <w:szCs w:val="15"/>
                <w:color w:val="auto"/>
              </w:rPr>
              <w:t>(3)(4)(5)</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3/2019)</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6/5/2013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(SEK 202,536)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2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Office products</w:t>
            </w:r>
          </w:p>
        </w:tc>
        <w:tc>
          <w:tcPr>
            <w:tcW w:w="28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Ecommerce Industries, Inc. </w:t>
            </w:r>
            <w:r>
              <w:rPr>
                <w:rFonts w:ascii="Times New Roman" w:cs="Times New Roman" w:eastAsia="Times New Roman" w:hAnsi="Times New Roman"/>
                <w:sz w:val="15"/>
                <w:szCs w:val="15"/>
                <w:color w:val="auto"/>
              </w:rPr>
              <w:t>(3)(5)</w:t>
            </w: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($36,811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3/2019)</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36,563</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bl>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Key Energy Services </w:t>
            </w:r>
            <w:r>
              <w:rPr>
                <w:rFonts w:ascii="Times New Roman" w:cs="Times New Roman" w:eastAsia="Times New Roman" w:hAnsi="Times New Roman"/>
                <w:sz w:val="15"/>
                <w:szCs w:val="15"/>
                <w:color w:val="auto"/>
              </w:rPr>
              <w:t>(3)</w:t>
            </w: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($13,546 par,</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6/2020)</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Milagro Exploration, LLC </w:t>
            </w:r>
            <w:r>
              <w:rPr>
                <w:rFonts w:ascii="Times New Roman" w:cs="Times New Roman" w:eastAsia="Times New Roman" w:hAnsi="Times New Roman"/>
                <w:sz w:val="15"/>
                <w:szCs w:val="15"/>
                <w:color w:val="auto"/>
              </w:rPr>
              <w:t>(3)</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($58,429 par,</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9/2017)</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58,192</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(3)(7)</w:t>
            </w: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($44,654 par,</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13.00% (incl.</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6/2018)</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1.50% PIK)</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115,338</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113,498</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JL Secured Promissory Note </w:t>
            </w:r>
            <w:r>
              <w:rPr>
                <w:rFonts w:ascii="Times New Roman" w:cs="Times New Roman" w:eastAsia="Times New Roman" w:hAnsi="Times New Roman"/>
                <w:sz w:val="15"/>
                <w:szCs w:val="15"/>
                <w:color w:val="auto"/>
              </w:rPr>
              <w:t>(4)</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Secured Note ($10,100 par, due</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9/2017)</w:t>
            </w:r>
          </w:p>
        </w:tc>
        <w:tc>
          <w:tcPr>
            <w:tcW w:w="15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13.00% PIK</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Retail and consumer</w:t>
            </w:r>
          </w:p>
        </w:tc>
        <w:tc>
          <w:tcPr>
            <w:tcW w:w="2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American Achievement</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($25,000 par, due</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15"/>
                <w:szCs w:val="15"/>
                <w:color w:val="auto"/>
              </w:rPr>
              <w:t>(3)(5)</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9/2020)</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24,626</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Quiksilver - Boardriders SA</w:t>
            </w: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Bond (EUR 7,599 par,</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12/2017)</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(EUR 6,682)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Sears </w:t>
            </w:r>
            <w:r>
              <w:rPr>
                <w:rFonts w:ascii="Times New Roman" w:cs="Times New Roman" w:eastAsia="Times New Roman" w:hAnsi="Times New Roman"/>
                <w:sz w:val="15"/>
                <w:szCs w:val="15"/>
                <w:color w:val="auto"/>
              </w:rPr>
              <w:t>(4)(6)</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ABL revolving loan</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($0 par, due 4/2016)</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4/15/2015</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(478)</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Toys 'R' Us-Delaware, Inc. </w:t>
            </w:r>
            <w:r>
              <w:rPr>
                <w:rFonts w:ascii="Times New Roman" w:cs="Times New Roman" w:eastAsia="Times New Roman" w:hAnsi="Times New Roman"/>
                <w:sz w:val="15"/>
                <w:szCs w:val="15"/>
                <w:color w:val="auto"/>
              </w:rPr>
              <w:t>(3)</w:t>
            </w: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First-lien loan ($51,000 par,</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10/2019)</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50,276</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49,725</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82,609</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Carrix, Inc. </w:t>
            </w:r>
            <w:r>
              <w:rPr>
                <w:rFonts w:ascii="Times New Roman" w:cs="Times New Roman" w:eastAsia="Times New Roman" w:hAnsi="Times New Roman"/>
                <w:sz w:val="15"/>
                <w:szCs w:val="15"/>
                <w:color w:val="auto"/>
              </w:rPr>
              <w:t>(3)</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First-lien loan ($13,692 par,</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due 1/2019)</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Kewill, Ltd. </w:t>
            </w:r>
            <w:r>
              <w:rPr>
                <w:rFonts w:ascii="Times New Roman" w:cs="Times New Roman" w:eastAsia="Times New Roman" w:hAnsi="Times New Roman"/>
                <w:sz w:val="15"/>
                <w:szCs w:val="15"/>
                <w:color w:val="auto"/>
              </w:rPr>
              <w:t>(3)(4)</w:t>
            </w: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Second-lien loan ($62,500 par,</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10/2019)</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61,566</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60,312</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73,251</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780" w:type="dxa"/>
            <w:vAlign w:val="bottom"/>
            <w:vMerge w:val="continue"/>
          </w:tcPr>
          <w:p>
            <w:pPr>
              <w:spacing w:after="0"/>
              <w:rPr>
                <w:sz w:val="24"/>
                <w:szCs w:val="24"/>
                <w:color w:val="auto"/>
              </w:rPr>
            </w:pPr>
          </w:p>
        </w:tc>
        <w:tc>
          <w:tcPr>
            <w:tcW w:w="2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1,371,020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1,364,533</w:t>
            </w:r>
          </w:p>
        </w:tc>
        <w:tc>
          <w:tcPr>
            <w:tcW w:w="2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Investments</w:t>
            </w:r>
          </w:p>
        </w:tc>
        <w:tc>
          <w:tcPr>
            <w:tcW w:w="27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Merchants, Inc.</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Non-Voting Preferred Units</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(774,099 units)</w:t>
            </w:r>
          </w:p>
        </w:tc>
        <w:tc>
          <w:tcPr>
            <w:tcW w:w="15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9/12/2013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AvidXchange, Inc.</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Series E Preferred Equity</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(214,132 shares)</w:t>
            </w:r>
          </w:p>
        </w:tc>
        <w:tc>
          <w:tcPr>
            <w:tcW w:w="15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TICC Capital Corp. </w:t>
            </w:r>
            <w:r>
              <w:rPr>
                <w:rFonts w:ascii="Times New Roman" w:cs="Times New Roman" w:eastAsia="Times New Roman" w:hAnsi="Times New Roman"/>
                <w:sz w:val="15"/>
                <w:szCs w:val="15"/>
                <w:color w:val="auto"/>
              </w:rPr>
              <w:t>(4)</w:t>
            </w: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Shares (1,633,660</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 and</w:t>
            </w:r>
          </w:p>
        </w:tc>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2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Healthcare Exchange,</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Shares Class A (598</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18"/>
                <w:szCs w:val="18"/>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Shares Class B (196</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(4)</w:t>
            </w: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(EUR 694)</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SRS Parent Corp.</w:t>
            </w: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Shares Class A</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(1,980 shares)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FF0FC"/>
          </w:tcPr>
          <w:p>
            <w:pPr>
              <w:spacing w:after="0"/>
              <w:rPr>
                <w:sz w:val="18"/>
                <w:szCs w:val="18"/>
                <w:color w:val="auto"/>
              </w:rPr>
            </w:pP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Shares Class B</w:t>
            </w:r>
          </w:p>
        </w:tc>
        <w:tc>
          <w:tcPr>
            <w:tcW w:w="1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FF0FC"/>
          </w:tcPr>
          <w:p>
            <w:pPr>
              <w:spacing w:after="0"/>
              <w:rPr>
                <w:sz w:val="20"/>
                <w:szCs w:val="20"/>
                <w:color w:val="auto"/>
              </w:rPr>
            </w:pPr>
          </w:p>
        </w:tc>
        <w:tc>
          <w:tcPr>
            <w:tcW w:w="2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(2,953,020 shares)</w:t>
            </w:r>
          </w:p>
        </w:tc>
        <w:tc>
          <w:tcPr>
            <w:tcW w:w="15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7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IRGSE Holding Corp. </w:t>
            </w:r>
            <w:r>
              <w:rPr>
                <w:rFonts w:ascii="Times New Roman" w:cs="Times New Roman" w:eastAsia="Times New Roman" w:hAnsi="Times New Roman"/>
                <w:sz w:val="15"/>
                <w:szCs w:val="15"/>
                <w:color w:val="auto"/>
              </w:rPr>
              <w:t>(7)</w:t>
            </w:r>
          </w:p>
        </w:tc>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Units (5,000,000 units)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720" w:type="dxa"/>
            <w:vAlign w:val="bottom"/>
            <w:shd w:val="clear" w:color="auto" w:fill="CFF0FC"/>
          </w:tcPr>
          <w:p>
            <w:pPr>
              <w:spacing w:after="0"/>
              <w:rPr>
                <w:sz w:val="19"/>
                <w:szCs w:val="19"/>
                <w:color w:val="auto"/>
              </w:rPr>
            </w:pPr>
          </w:p>
        </w:tc>
        <w:tc>
          <w:tcPr>
            <w:tcW w:w="33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Class C-1 Units (8,800,000 units)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7"/>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w:t>
            </w:r>
          </w:p>
        </w:tc>
        <w:tc>
          <w:tcPr>
            <w:tcW w:w="3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3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(7)</w:t>
            </w:r>
          </w:p>
        </w:tc>
        <w:tc>
          <w:tcPr>
            <w:tcW w:w="33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Class A Member Units (933</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FF0FC"/>
          </w:tcPr>
          <w:p>
            <w:pPr>
              <w:spacing w:after="0"/>
              <w:rPr>
                <w:sz w:val="20"/>
                <w:szCs w:val="20"/>
                <w:color w:val="auto"/>
              </w:rPr>
            </w:pPr>
          </w:p>
        </w:tc>
        <w:tc>
          <w:tcPr>
            <w:tcW w:w="33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units)</w:t>
            </w:r>
          </w:p>
        </w:tc>
        <w:tc>
          <w:tcPr>
            <w:tcW w:w="1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Oak Hill Credit Partners </w:t>
            </w:r>
            <w:r>
              <w:rPr>
                <w:rFonts w:ascii="Times New Roman" w:cs="Times New Roman" w:eastAsia="Times New Roman" w:hAnsi="Times New Roman"/>
                <w:sz w:val="15"/>
                <w:szCs w:val="15"/>
                <w:color w:val="auto"/>
              </w:rPr>
              <w:t>(4)(6)</w:t>
            </w:r>
          </w:p>
        </w:tc>
        <w:tc>
          <w:tcPr>
            <w:tcW w:w="33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Structured Product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Symphony </w:t>
            </w:r>
            <w:r>
              <w:rPr>
                <w:rFonts w:ascii="Times New Roman" w:cs="Times New Roman" w:eastAsia="Times New Roman" w:hAnsi="Times New Roman"/>
                <w:sz w:val="15"/>
                <w:szCs w:val="15"/>
                <w:color w:val="auto"/>
              </w:rPr>
              <w:t>(4)(6)</w:t>
            </w:r>
          </w:p>
        </w:tc>
        <w:tc>
          <w:tcPr>
            <w:tcW w:w="3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Structured Product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11/17/2014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shd w:val="clear" w:color="auto" w:fill="CFF0FC"/>
          </w:tcPr>
          <w:p>
            <w:pPr>
              <w:spacing w:after="0"/>
              <w:rPr>
                <w:sz w:val="19"/>
                <w:szCs w:val="19"/>
                <w:color w:val="auto"/>
              </w:rPr>
            </w:pPr>
          </w:p>
        </w:tc>
        <w:tc>
          <w:tcPr>
            <w:tcW w:w="3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1"/>
        </w:trPr>
        <w:tc>
          <w:tcPr>
            <w:tcW w:w="272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Equity and Other</w:t>
            </w:r>
          </w:p>
        </w:tc>
        <w:tc>
          <w:tcPr>
            <w:tcW w:w="3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40,771</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3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vMerge w:val="continue"/>
            <w:shd w:val="clear" w:color="auto" w:fill="CFF0FC"/>
          </w:tcPr>
          <w:p>
            <w:pPr>
              <w:spacing w:after="0"/>
              <w:rPr>
                <w:sz w:val="19"/>
                <w:szCs w:val="19"/>
                <w:color w:val="auto"/>
              </w:rPr>
            </w:pPr>
          </w:p>
        </w:tc>
        <w:tc>
          <w:tcPr>
            <w:tcW w:w="3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$ 1,411,791</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$ 1,396,426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165.3%</w:t>
            </w:r>
          </w:p>
        </w:tc>
        <w:tc>
          <w:tcPr>
            <w:tcW w:w="0" w:type="dxa"/>
            <w:vAlign w:val="bottom"/>
          </w:tcPr>
          <w:p>
            <w:pPr>
              <w:spacing w:after="0"/>
              <w:rPr>
                <w:sz w:val="1"/>
                <w:szCs w:val="1"/>
                <w:color w:val="auto"/>
              </w:rPr>
            </w:pPr>
          </w:p>
        </w:tc>
      </w:tr>
      <w:tr>
        <w:trPr>
          <w:trHeight w:val="20"/>
        </w:trPr>
        <w:tc>
          <w:tcPr>
            <w:tcW w:w="272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line="25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Times New Roman" w:cs="Times New Roman" w:eastAsia="Times New Roman" w:hAnsi="Times New Roman"/>
          <w:sz w:val="18"/>
          <w:szCs w:val="18"/>
          <w:color w:val="auto"/>
        </w:rPr>
      </w:pPr>
    </w:p>
    <w:p>
      <w:pPr>
        <w:jc w:val="both"/>
        <w:ind w:left="520" w:right="40" w:hanging="512"/>
        <w:spacing w:after="0" w:line="25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spacing w:after="0" w:line="1" w:lineRule="exact"/>
        <w:rPr>
          <w:rFonts w:ascii="Times New Roman" w:cs="Times New Roman" w:eastAsia="Times New Roman" w:hAnsi="Times New Roman"/>
          <w:sz w:val="18"/>
          <w:szCs w:val="18"/>
          <w:color w:val="auto"/>
        </w:rPr>
      </w:pPr>
    </w:p>
    <w:p>
      <w:pPr>
        <w:ind w:left="520" w:right="400" w:hanging="512"/>
        <w:spacing w:after="0" w:line="250"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9" w:lineRule="exact"/>
        <w:rPr>
          <w:rFonts w:ascii="Times New Roman" w:cs="Times New Roman" w:eastAsia="Times New Roman" w:hAnsi="Times New Roman"/>
          <w:sz w:val="18"/>
          <w:szCs w:val="18"/>
          <w:color w:val="auto"/>
        </w:rPr>
      </w:pPr>
    </w:p>
    <w:p>
      <w:pPr>
        <w:ind w:left="520" w:right="60" w:hanging="512"/>
        <w:spacing w:after="0" w:line="254"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2015 in which the issuer was an Affiliated Person of and was deemed to Control a portfolio company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3"/>
                <w:szCs w:val="13"/>
                <w:color w:val="auto"/>
              </w:rPr>
            </w:pP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22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5"/>
        </w:trPr>
        <w:tc>
          <w:tcPr>
            <w:tcW w:w="17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Mississippi</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Resources, LLC</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(3,925)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IRGSE Holding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69,489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780" w:hanging="512"/>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520" w:right="14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2015, the tax cost of the Company’s investments approximates their amortized cost.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6"/>
                <w:szCs w:val="16"/>
                <w:color w:val="auto"/>
              </w:rPr>
            </w:pPr>
          </w:p>
        </w:tc>
      </w:tr>
      <w:tr>
        <w:trPr>
          <w:trHeight w:val="226"/>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24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(2)(9)</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20" w:type="dxa"/>
            <w:vAlign w:val="bottom"/>
          </w:tcPr>
          <w:p>
            <w:pPr>
              <w:spacing w:after="0"/>
              <w:rPr>
                <w:sz w:val="19"/>
                <w:szCs w:val="19"/>
                <w:color w:val="auto"/>
              </w:rPr>
            </w:pP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Heartland Automotive Holdings,</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($32,826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6/2017)</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32,340</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30,447</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r>
      <w:tr>
        <w:trPr>
          <w:trHeight w:val="211"/>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revolving loan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($4,500 par, due 6/2017)</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AFS Technologies, Inc. </w:t>
            </w:r>
            <w:r>
              <w:rPr>
                <w:rFonts w:ascii="Times New Roman" w:cs="Times New Roman" w:eastAsia="Times New Roman" w:hAnsi="Times New Roman"/>
                <w:sz w:val="15"/>
                <w:szCs w:val="15"/>
                <w:color w:val="auto"/>
              </w:rPr>
              <w:t>(3)(4)(6)</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($64,399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3/2020)</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63,111</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Atlantic &amp; Pacific Tea Co.</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($22,787 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due 9/2019)</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85,385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Actian Corporation </w:t>
            </w:r>
            <w:r>
              <w:rPr>
                <w:rFonts w:ascii="Times New Roman" w:cs="Times New Roman" w:eastAsia="Times New Roman" w:hAnsi="Times New Roman"/>
                <w:sz w:val="15"/>
                <w:szCs w:val="15"/>
                <w:color w:val="auto"/>
              </w:rPr>
              <w:t>(3)(4)(6)</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($63,933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4/2018)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Leaf US Holdings, Inc. </w:t>
            </w:r>
            <w:r>
              <w:rPr>
                <w:rFonts w:ascii="Times New Roman" w:cs="Times New Roman" w:eastAsia="Times New Roman" w:hAnsi="Times New Roman"/>
                <w:sz w:val="15"/>
                <w:szCs w:val="15"/>
                <w:color w:val="auto"/>
              </w:rPr>
              <w:t>(3)(4)(5)</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($16,418 par, due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6/2019)</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Network Merchants, Inc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($29,659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9/2018)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29,506</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ScentAir Technologies, Inc </w:t>
            </w:r>
            <w:r>
              <w:rPr>
                <w:rFonts w:ascii="Times New Roman" w:cs="Times New Roman" w:eastAsia="Times New Roman" w:hAnsi="Times New Roman"/>
                <w:sz w:val="15"/>
                <w:szCs w:val="15"/>
                <w:color w:val="auto"/>
              </w:rPr>
              <w:t>(3)(4)</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($16,071 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due 12/2019)</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125,063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Vertellus Specialties, Inc.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($19,950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10/2019)</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IPC Systems, Inc.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Second-lien loan ($17,000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5/2021)</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Containers and packaging</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The Newark Group, Inc.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($39,240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2/2018)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40,025</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Campus Management, Inc. </w:t>
            </w:r>
            <w:r>
              <w:rPr>
                <w:rFonts w:ascii="Times New Roman" w:cs="Times New Roman" w:eastAsia="Times New Roman" w:hAnsi="Times New Roman"/>
                <w:sz w:val="15"/>
                <w:szCs w:val="15"/>
                <w:color w:val="auto"/>
              </w:rPr>
              <w:t>(3)(4)(6)</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($28,125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9/2018)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MyAlarm Center, LLC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($61,861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MyAlarm Center, LLC</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Mezzanine loan ($4,887 par, due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16.25% (incl.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7/2018)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4.25% PIK)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APX Group Inc.</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bond 6.375% ($5,000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 due 12/2019)</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0"/>
                <w:szCs w:val="20"/>
                <w:color w:val="auto"/>
              </w:rPr>
            </w:pPr>
          </w:p>
        </w:tc>
      </w:tr>
      <w:tr>
        <w:trPr>
          <w:trHeight w:val="211"/>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bond 8.75% ($10,000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par, due 12/2020)</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Embarcadero Technologies,</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($40,243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(3)(4)(6)</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12/2017)</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39,585</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40,544</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60" w:type="dxa"/>
            <w:vAlign w:val="bottom"/>
            <w:gridSpan w:val="3"/>
          </w:tcPr>
          <w:p>
            <w:pPr>
              <w:jc w:val="right"/>
              <w:ind w:right="1056"/>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Rogue Wave Holdings, Inc. </w:t>
            </w:r>
            <w:r>
              <w:rPr>
                <w:rFonts w:ascii="Times New Roman" w:cs="Times New Roman" w:eastAsia="Times New Roman" w:hAnsi="Times New Roman"/>
                <w:sz w:val="15"/>
                <w:szCs w:val="15"/>
                <w:color w:val="auto"/>
              </w:rPr>
              <w:t>(3)(4)(6)</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loan ($66,470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12/2018)</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65,344</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65,971</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0"/>
                <w:szCs w:val="20"/>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104,929</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r>
      <w:tr>
        <w:trPr>
          <w:trHeight w:val="201"/>
        </w:trPr>
        <w:tc>
          <w:tcPr>
            <w:tcW w:w="290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Healthcare and</w:t>
            </w:r>
          </w:p>
        </w:tc>
        <w:tc>
          <w:tcPr>
            <w:tcW w:w="2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2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2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Aesynt Incorporated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($34,563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5/2019)</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33,526</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Global Healthcare Exchange,</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loan ($46,250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3/2020)</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(3)(5)</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(EUR 28,014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shd w:val="clear" w:color="auto" w:fill="CFF0FC"/>
          </w:tcPr>
          <w:p>
            <w:pPr>
              <w:spacing w:after="0"/>
              <w:rPr>
                <w:sz w:val="18"/>
                <w:szCs w:val="18"/>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9/2019)</w:t>
            </w:r>
          </w:p>
        </w:tc>
        <w:tc>
          <w:tcPr>
            <w:tcW w:w="16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11.50% (incl.</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(EUR</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3.00% PIK)</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18"/>
                <w:szCs w:val="18"/>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(EUR 300 par, due 9/2019)</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(EUR 188)</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Mediware Information Systems,</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($69,405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5/2018)</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11/9/2012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68,221</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SRS Software, LLC </w:t>
            </w:r>
            <w:r>
              <w:rPr>
                <w:rFonts w:ascii="Times New Roman" w:cs="Times New Roman" w:eastAsia="Times New Roman" w:hAnsi="Times New Roman"/>
                <w:sz w:val="15"/>
                <w:szCs w:val="15"/>
                <w:color w:val="auto"/>
              </w:rPr>
              <w:t>(3)(4)</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loan ($33,750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12/2017)</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33,834</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18"/>
                <w:szCs w:val="18"/>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($2,000 par, due 12/2017)</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216,205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215,989</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9"/>
                <w:szCs w:val="19"/>
                <w:color w:val="auto"/>
              </w:rPr>
            </w:pPr>
          </w:p>
        </w:tc>
      </w:tr>
      <w:tr>
        <w:trPr>
          <w:trHeight w:val="223"/>
        </w:trPr>
        <w:tc>
          <w:tcPr>
            <w:tcW w:w="29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7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Centaur, LLC </w:t>
            </w:r>
            <w:r>
              <w:rPr>
                <w:rFonts w:ascii="Times New Roman" w:cs="Times New Roman" w:eastAsia="Times New Roman" w:hAnsi="Times New Roman"/>
                <w:sz w:val="15"/>
                <w:szCs w:val="15"/>
                <w:color w:val="auto"/>
              </w:rPr>
              <w:t>(3)(4)</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Second-lien loan ($10,000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2/2020)</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2/15/2013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 Sports &amp; Entertainment,</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($43,653 par, due</w:t>
            </w:r>
          </w:p>
        </w:tc>
        <w:tc>
          <w:tcPr>
            <w:tcW w:w="1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12.00% (incl.</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(3)(4)</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9/2019)</w:t>
            </w:r>
          </w:p>
        </w:tc>
        <w:tc>
          <w:tcPr>
            <w:tcW w:w="1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5.00% PIK)</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Soho House </w:t>
            </w:r>
            <w:r>
              <w:rPr>
                <w:rFonts w:ascii="Times New Roman" w:cs="Times New Roman" w:eastAsia="Times New Roman" w:hAnsi="Times New Roman"/>
                <w:sz w:val="15"/>
                <w:szCs w:val="15"/>
                <w:color w:val="auto"/>
              </w:rPr>
              <w:t>(5)</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Second-lien bond (GBP 13,750</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 due 10/2018)</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(GBP</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9/20/2013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23"/>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Infogix, Inc. </w:t>
            </w:r>
            <w:r>
              <w:rPr>
                <w:rFonts w:ascii="Times New Roman" w:cs="Times New Roman" w:eastAsia="Times New Roman" w:hAnsi="Times New Roman"/>
                <w:sz w:val="15"/>
                <w:szCs w:val="15"/>
                <w:color w:val="auto"/>
              </w:rPr>
              <w:t>(3)(4)</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($35,438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6/2017)</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6/1/2012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18"/>
                <w:szCs w:val="18"/>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revolving loan ($2,010</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 due 6/2017)</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Insurity, Inc.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($65,000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10/2020)</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10/31/2014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101,270</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r>
      <w:tr>
        <w:trPr>
          <w:trHeight w:val="223"/>
        </w:trPr>
        <w:tc>
          <w:tcPr>
            <w:tcW w:w="29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27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Highwinds Capital, Inc. </w:t>
            </w:r>
            <w:r>
              <w:rPr>
                <w:rFonts w:ascii="Times New Roman" w:cs="Times New Roman" w:eastAsia="Times New Roman" w:hAnsi="Times New Roman"/>
                <w:sz w:val="15"/>
                <w:szCs w:val="15"/>
                <w:color w:val="auto"/>
              </w:rPr>
              <w:t>(3)(4)</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loan ($41,401 par, due</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7/2018)</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r>
      <w:tr>
        <w:trPr>
          <w:trHeight w:val="230"/>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Jeeves Information Systems</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First-lien loan (SEK 203,140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15"/>
                <w:szCs w:val="15"/>
                <w:color w:val="auto"/>
              </w:rPr>
              <w:t>(3)(5)(6)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3/2019)</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(SEK</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6/5/2013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30,897</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201,109)</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Metalico, Inc.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($19,973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11/2019)</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11/21/2013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Office products</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Ecommerce Industries, Inc.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($35,390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3/2019)</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35,090</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34,868</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r>
      <w:tr>
        <w:trPr>
          <w:trHeight w:val="207"/>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w:t>
            </w: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2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Milagro Exploration, LLC </w:t>
            </w:r>
            <w:r>
              <w:rPr>
                <w:rFonts w:ascii="Times New Roman" w:cs="Times New Roman" w:eastAsia="Times New Roman" w:hAnsi="Times New Roman"/>
                <w:sz w:val="15"/>
                <w:szCs w:val="15"/>
                <w:color w:val="auto"/>
              </w:rPr>
              <w:t>(3)(4)</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($62,857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9/2017)</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62,130</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11</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Mississippi Resources,</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First-lien loan ($39,505 par,</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13.00% (incl.</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(3)(4)(8)</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due 6/2018)</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1.50% PIK)</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38,706</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1"/>
        </w:trPr>
        <w:tc>
          <w:tcPr>
            <w:tcW w:w="274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Retail and consumer</w:t>
            </w:r>
          </w:p>
        </w:tc>
        <w:tc>
          <w:tcPr>
            <w:tcW w:w="2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Toys 'R' Us-Delaware,</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First-lien loan ($42,000 par,</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due 10/2019)</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10/10/2014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Kewill, Ltd. </w:t>
            </w:r>
            <w:r>
              <w:rPr>
                <w:rFonts w:ascii="Times New Roman" w:cs="Times New Roman" w:eastAsia="Times New Roman" w:hAnsi="Times New Roman"/>
                <w:sz w:val="15"/>
                <w:szCs w:val="15"/>
                <w:color w:val="auto"/>
              </w:rPr>
              <w:t>(3)(5)</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Second-lien loan ($62,500 par,</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due 10/2019)</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10/2/2013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1,251,749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1,248,618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Other Investments</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Network Merchants, Inc</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Non-Voting Preferred Units</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(774,099 units)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 and</w:t>
            </w:r>
          </w:p>
        </w:tc>
        <w:tc>
          <w:tcPr>
            <w:tcW w:w="28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28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Global Healthcare Exchange,</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 Shares Class A (598</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18"/>
                <w:szCs w:val="18"/>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Common Shares Class B (196</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(5)</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 694)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SRS Parent Corp.</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Common Shares Class A</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(1,980 shares)</w:t>
            </w: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1"/>
        </w:trPr>
        <w:tc>
          <w:tcPr>
            <w:tcW w:w="274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 Shares Class B</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(2,953,020 shares)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 Sports &amp; Entertainment,</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28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Metalico, Inc.</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11/21/2013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7"/>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w:t>
            </w:r>
          </w:p>
        </w:tc>
        <w:tc>
          <w:tcPr>
            <w:tcW w:w="2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(8)</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Class A Member Units</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(933 units)</w:t>
            </w: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Symphony </w:t>
            </w:r>
            <w:r>
              <w:rPr>
                <w:rFonts w:ascii="Times New Roman" w:cs="Times New Roman" w:eastAsia="Times New Roman" w:hAnsi="Times New Roman"/>
                <w:sz w:val="15"/>
                <w:szCs w:val="15"/>
                <w:color w:val="auto"/>
              </w:rPr>
              <w:t>(5)(7)</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Structured Product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11/17/2014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1"/>
        </w:trPr>
        <w:tc>
          <w:tcPr>
            <w:tcW w:w="274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Equity and Other</w:t>
            </w:r>
          </w:p>
        </w:tc>
        <w:tc>
          <w:tcPr>
            <w:tcW w:w="2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$ 1,273,252</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$ 1,263,511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151.4%</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520" w:right="54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SPV Asset Facility (see Note 7).</w:t>
      </w:r>
    </w:p>
    <w:p>
      <w:pPr>
        <w:ind w:left="520" w:right="360" w:hanging="512"/>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2" w:name="page13"/>
    <w:bookmarkEnd w:id="12"/>
    <w:p>
      <w:pPr>
        <w:ind w:left="520" w:right="40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9" w:lineRule="exact"/>
        <w:rPr>
          <w:rFonts w:ascii="Times New Roman" w:cs="Times New Roman" w:eastAsia="Times New Roman" w:hAnsi="Times New Roman"/>
          <w:sz w:val="18"/>
          <w:szCs w:val="18"/>
          <w:color w:val="auto"/>
        </w:rPr>
      </w:pPr>
    </w:p>
    <w:p>
      <w:pPr>
        <w:ind w:left="520" w:right="60" w:hanging="512"/>
        <w:spacing w:after="0" w:line="254"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1020" w:type="dxa"/>
            <w:vAlign w:val="bottom"/>
          </w:tcPr>
          <w:p>
            <w:pPr>
              <w:jc w:val="center"/>
              <w:ind w:left="10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11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5"/>
        </w:trPr>
        <w:tc>
          <w:tcPr>
            <w:tcW w:w="172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Mississippi</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Resources, LLC</w:t>
            </w:r>
          </w:p>
        </w:tc>
        <w:tc>
          <w:tcPr>
            <w:tcW w:w="1140" w:type="dxa"/>
            <w:vAlign w:val="bottom"/>
            <w:gridSpan w:val="2"/>
            <w:shd w:val="clear" w:color="auto" w:fill="CFF0FC"/>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6"/>
              </w:rPr>
              <w:t>47,580</w:t>
            </w:r>
          </w:p>
        </w:tc>
        <w:tc>
          <w:tcPr>
            <w:tcW w:w="4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(5,944)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47,580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87"/>
              </w:rPr>
              <w:t>(5,944)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41,636</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780" w:hanging="512"/>
        <w:spacing w:after="0" w:line="26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520" w:right="140" w:hanging="512"/>
        <w:spacing w:after="0" w:line="25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2014, the tax cost of the Company’s investments approximates their amortized cost.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losses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(3,330)</w:t>
            </w: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(1,638)</w:t>
            </w:r>
          </w:p>
        </w:tc>
      </w:tr>
      <w:tr>
        <w:trPr>
          <w:trHeight w:val="223"/>
        </w:trPr>
        <w:tc>
          <w:tcPr>
            <w:tcW w:w="70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Net Assets Resulting from Capital Share Transactions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shares, net of offering and underwriting costs</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234,400</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net investment income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(63,174)</w:t>
            </w: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(60,345)</w:t>
            </w:r>
          </w:p>
        </w:tc>
      </w:tr>
      <w:tr>
        <w:trPr>
          <w:trHeight w:val="223"/>
        </w:trPr>
        <w:tc>
          <w:tcPr>
            <w:tcW w:w="70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(Decrease) in Net Assets Resulting from Capital Share Transactions</w:t>
            </w: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264,193</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9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835,405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574,696</w:t>
            </w:r>
          </w:p>
        </w:tc>
        <w:tc>
          <w:tcPr>
            <w:tcW w:w="120" w:type="dxa"/>
            <w:vAlign w:val="bottom"/>
            <w:shd w:val="clear" w:color="auto" w:fill="CFF0FC"/>
          </w:tcPr>
          <w:p>
            <w:pPr>
              <w:spacing w:after="0"/>
              <w:rPr>
                <w:sz w:val="19"/>
                <w:szCs w:val="19"/>
                <w:color w:val="auto"/>
              </w:rPr>
            </w:pPr>
          </w:p>
        </w:tc>
      </w:tr>
      <w:tr>
        <w:trPr>
          <w:trHeight w:val="263"/>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9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843,972</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838,889</w:t>
            </w:r>
          </w:p>
        </w:tc>
        <w:tc>
          <w:tcPr>
            <w:tcW w:w="120" w:type="dxa"/>
            <w:vAlign w:val="bottom"/>
            <w:tcBorders>
              <w:bottom w:val="single" w:sz="8" w:color="CFF0FC"/>
            </w:tcBorders>
          </w:tcPr>
          <w:p>
            <w:pPr>
              <w:spacing w:after="0"/>
              <w:rPr>
                <w:sz w:val="22"/>
                <w:szCs w:val="22"/>
                <w:color w:val="auto"/>
              </w:rPr>
            </w:pPr>
          </w:p>
        </w:tc>
      </w:tr>
      <w:tr>
        <w:trPr>
          <w:trHeight w:val="188"/>
        </w:trPr>
        <w:tc>
          <w:tcPr>
            <w:tcW w:w="70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Undistributed Net Investment Income Included in Net Assets at the End of the</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8"/>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20" w:type="dxa"/>
            <w:vAlign w:val="bottom"/>
            <w:shd w:val="clear" w:color="auto" w:fill="CFF0FC"/>
          </w:tcPr>
          <w:p>
            <w:pPr>
              <w:spacing w:after="0"/>
              <w:rPr>
                <w:sz w:val="20"/>
                <w:szCs w:val="20"/>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4"/>
                <w:szCs w:val="14"/>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 to net cash</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change in unrealized losses on foreign currency transactions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(5,507)</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losses on interest rate swaps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realized gains on interest rate swaps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(13,537)</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Accretion of discount on Convertible Senior Notes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(441,004)</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(701,521)</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Paid-in-kind interest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receivable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receivable paid-in-kind</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(7,823)</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Payable to affiliate</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(24,533)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(86,454)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559,359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(412,163)</w:t>
            </w: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(954,860)</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(9,726)</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offering and underwriting costs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(59,228)</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(35,907)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87,829</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Excise taxes paid during the period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March 21, 2014, the Company’s shares began trading on the New York Stock Exchange (“NYSE”) under the symbol “TSLX.”</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4"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2014, which was filed with the Securities and Exchange Commission (“SEC”), on February 24, 2015.</w:t>
      </w:r>
    </w:p>
    <w:p>
      <w:pPr>
        <w:spacing w:after="0" w:line="180" w:lineRule="exact"/>
        <w:rPr>
          <w:sz w:val="20"/>
          <w:szCs w:val="20"/>
          <w:color w:val="auto"/>
        </w:rPr>
      </w:pPr>
    </w:p>
    <w:p>
      <w:pPr>
        <w:ind w:right="740" w:firstLine="259"/>
        <w:spacing w:after="0" w:line="282" w:lineRule="auto"/>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62"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220" w:firstLine="259"/>
        <w:spacing w:after="0" w:line="258" w:lineRule="auto"/>
        <w:rPr>
          <w:sz w:val="20"/>
          <w:szCs w:val="20"/>
          <w:color w:val="auto"/>
        </w:rPr>
      </w:pPr>
      <w:r>
        <w:rPr>
          <w:rFonts w:ascii="Times New Roman" w:cs="Times New Roman" w:eastAsia="Times New Roman" w:hAnsi="Times New Roman"/>
          <w:sz w:val="18"/>
          <w:szCs w:val="18"/>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jc w:val="both"/>
        <w:ind w:firstLine="259"/>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4"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580" w:hanging="255"/>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80" w:hanging="255"/>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currently conducts this valuation process on a quarterly basis.</w:t>
      </w:r>
    </w:p>
    <w:p>
      <w:pPr>
        <w:spacing w:after="0" w:line="225"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September 30, 2015,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2"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7" w:lineRule="exact"/>
        <w:rPr>
          <w:sz w:val="20"/>
          <w:szCs w:val="20"/>
          <w:color w:val="auto"/>
        </w:rPr>
      </w:pPr>
    </w:p>
    <w:p>
      <w:pPr>
        <w:ind w:left="520" w:hanging="255"/>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760" w:hanging="255"/>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7" w:name="page18"/>
    <w:bookmarkEnd w:id="17"/>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85" w:lineRule="exact"/>
        <w:rPr>
          <w:sz w:val="20"/>
          <w:szCs w:val="20"/>
          <w:color w:val="auto"/>
        </w:rPr>
      </w:pPr>
    </w:p>
    <w:p>
      <w:pPr>
        <w:ind w:right="280" w:firstLine="259"/>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8"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ind w:right="20" w:firstLine="259"/>
        <w:spacing w:after="0" w:line="313" w:lineRule="auto"/>
        <w:rPr>
          <w:sz w:val="20"/>
          <w:szCs w:val="20"/>
          <w:color w:val="auto"/>
        </w:rPr>
      </w:pPr>
      <w:r>
        <w:rPr>
          <w:rFonts w:ascii="Times New Roman" w:cs="Times New Roman" w:eastAsia="Times New Roman" w:hAnsi="Times New Roman"/>
          <w:sz w:val="17"/>
          <w:szCs w:val="17"/>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38"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380" w:firstLine="259"/>
        <w:spacing w:after="0" w:line="282" w:lineRule="auto"/>
        <w:rPr>
          <w:sz w:val="20"/>
          <w:szCs w:val="20"/>
          <w:color w:val="auto"/>
        </w:rPr>
      </w:pPr>
      <w:r>
        <w:rPr>
          <w:rFonts w:ascii="Times New Roman" w:cs="Times New Roman" w:eastAsia="Times New Roman" w:hAnsi="Times New Roman"/>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62"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60" w:hanging="255"/>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right="180" w:hanging="255"/>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4"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2" w:lineRule="exact"/>
        <w:rPr>
          <w:sz w:val="20"/>
          <w:szCs w:val="20"/>
          <w:color w:val="auto"/>
        </w:rPr>
      </w:pPr>
    </w:p>
    <w:p>
      <w:pPr>
        <w:ind w:right="400" w:firstLine="259"/>
        <w:spacing w:after="0" w:line="282" w:lineRule="auto"/>
        <w:rPr>
          <w:sz w:val="20"/>
          <w:szCs w:val="20"/>
          <w:color w:val="auto"/>
        </w:rPr>
      </w:pPr>
      <w:r>
        <w:rPr>
          <w:rFonts w:ascii="Times New Roman" w:cs="Times New Roman" w:eastAsia="Times New Roman" w:hAnsi="Times New Roman"/>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19" w:lineRule="exact"/>
        <w:rPr>
          <w:sz w:val="20"/>
          <w:szCs w:val="20"/>
          <w:color w:val="auto"/>
        </w:rPr>
      </w:pPr>
    </w:p>
    <w:p>
      <w:pPr>
        <w:ind w:right="540" w:firstLine="259"/>
        <w:spacing w:after="0" w:line="282" w:lineRule="auto"/>
        <w:rPr>
          <w:sz w:val="20"/>
          <w:szCs w:val="20"/>
          <w:color w:val="auto"/>
        </w:rPr>
      </w:pPr>
      <w:r>
        <w:rPr>
          <w:rFonts w:ascii="Times New Roman" w:cs="Times New Roman" w:eastAsia="Times New Roman" w:hAnsi="Times New Roman"/>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76" w:lineRule="exact"/>
        <w:rPr>
          <w:sz w:val="20"/>
          <w:szCs w:val="20"/>
          <w:color w:val="auto"/>
        </w:rPr>
      </w:pPr>
    </w:p>
    <w:p>
      <w:pPr>
        <w:ind w:right="220" w:firstLine="259"/>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8"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80"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80"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60" w:firstLine="259"/>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4"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jc w:val="both"/>
        <w:ind w:right="120" w:firstLine="259"/>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7"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issued Accounting Standards Update No. 2015-03 (“ASU 2015-03”), </w:t>
      </w:r>
      <w:r>
        <w:rPr>
          <w:rFonts w:ascii="Times New Roman" w:cs="Times New Roman" w:eastAsia="Times New Roman" w:hAnsi="Times New Roman"/>
          <w:sz w:val="18"/>
          <w:szCs w:val="18"/>
          <w:i w:val="1"/>
          <w:iCs w:val="1"/>
          <w:color w:val="auto"/>
        </w:rPr>
        <w:t>"Interest – Imputation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(Subtopic 835-30): Simplifying the Presentation of Debt Issuance Costs." </w:t>
      </w:r>
      <w:r>
        <w:rPr>
          <w:rFonts w:ascii="Times New Roman" w:cs="Times New Roman" w:eastAsia="Times New Roman" w:hAnsi="Times New Roman"/>
          <w:sz w:val="18"/>
          <w:szCs w:val="18"/>
          <w:color w:val="auto"/>
        </w:rPr>
        <w:t>ASU 2015-03 requires that debt issuance costs be presented as a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from the carrying amount of the related debt liability, consistent with the presentation of debt discounts. Prior to the issuance of ASU 2015-03, debt issuance costs were required to be presented as deferred charge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is currently evaluating the impact of adopting this ASU on its consolidated financial statements.</w:t>
      </w:r>
    </w:p>
    <w:p>
      <w:pPr>
        <w:spacing w:after="0" w:line="183"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In August 2014, the Financial Accounting Standards Board issued Accounting Standards Update 2014–15 (“ASU 2014-15”),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Going Concern (Subtopic 205 – 40): Disclosure of Uncertainties About an Entity’s Ability to Continue as a Going Concern</w:t>
      </w:r>
      <w:r>
        <w:rPr>
          <w:rFonts w:ascii="Times New Roman" w:cs="Times New Roman" w:eastAsia="Times New Roman" w:hAnsi="Times New Roman"/>
          <w:sz w:val="18"/>
          <w:szCs w:val="18"/>
          <w:color w:val="auto"/>
        </w:rPr>
        <w:t>.” ASU 2014-15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9" w:right="279" w:bottom="1440" w:gutter="0" w:footer="0" w:header="0"/>
        </w:sectPr>
      </w:pPr>
    </w:p>
    <w:bookmarkStart w:id="20" w:name="page21"/>
    <w:bookmarkEnd w:id="20"/>
    <w:p>
      <w:pPr>
        <w:ind w:right="100" w:firstLine="259"/>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issued Accounting Standards Update 2014-09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w:t>
      </w:r>
      <w:r>
        <w:rPr>
          <w:rFonts w:ascii="Times New Roman" w:cs="Times New Roman" w:eastAsia="Times New Roman" w:hAnsi="Times New Roman"/>
          <w:sz w:val="18"/>
          <w:szCs w:val="18"/>
          <w:color w:val="auto"/>
        </w:rPr>
        <w:t>The guidance in this ASU supersedes the revenue recognition requirements in Topic 605, Revenue Recognition. Under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beginning after December 15, 2017, with early adoption permitted for interim and annual periods beginning after December 15, 2016. The Company is currently evaluating the impact of adopting this ASU on its consolidated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88"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2015, the Company incurred expenses of $1.2 million and $3.1 million, respectively, for administrative services payable to the Adviser under the terms of the Administration Agreement. For the three and nine months ended September 30, 2014, the Company incurred expenses of $0.8 million and $2.1 million, respectively, for administrative services payable to the Adviser under the terms of the Administration Agreement.</w:t>
      </w:r>
    </w:p>
    <w:p>
      <w:pPr>
        <w:spacing w:after="0" w:line="180"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On November 3, 2015, the Board renewed the Administration Agreement. Unless earlier terminated as described below, the Administration Agreement will remain in effect until November 3, 2016,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120" w:firstLine="259"/>
        <w:spacing w:after="0" w:line="277" w:lineRule="auto"/>
        <w:rPr>
          <w:sz w:val="20"/>
          <w:szCs w:val="20"/>
          <w:color w:val="auto"/>
        </w:rPr>
      </w:pPr>
      <w:r>
        <w:rPr>
          <w:rFonts w:ascii="Times New Roman" w:cs="Times New Roman" w:eastAsia="Times New Roman" w:hAnsi="Times New Roman"/>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76"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2015, Management Fees were $5.5 million and $15.7 million, respectively. For the three and nine months ended September 30, 2014, Management Fees were $4.7 million and $13.4 million, respectively.</w:t>
      </w:r>
    </w:p>
    <w:p>
      <w:pPr>
        <w:spacing w:after="0" w:line="162"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Until the Company’s initial public offering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 (the “Pre-IPO Waiver”).</w:t>
      </w:r>
    </w:p>
    <w:p>
      <w:pPr>
        <w:spacing w:after="0" w:line="176"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In addition, the Adviser has voluntarily waived the Management Fee on the Company’s ownership of shares of common stock in TICC Capital Corp. (the “TICC Shares”) for the period that TICC Capital Corp. remains a portfolio company of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21" w:name="page22"/>
    <w:bookmarkEnd w:id="21"/>
    <w:p>
      <w:pPr>
        <w:ind w:firstLine="259"/>
        <w:spacing w:after="0" w:line="261" w:lineRule="auto"/>
        <w:rPr>
          <w:sz w:val="20"/>
          <w:szCs w:val="20"/>
          <w:color w:val="auto"/>
        </w:rPr>
      </w:pPr>
      <w:r>
        <w:rPr>
          <w:rFonts w:ascii="Times New Roman" w:cs="Times New Roman" w:eastAsia="Times New Roman" w:hAnsi="Times New Roman"/>
          <w:sz w:val="18"/>
          <w:szCs w:val="18"/>
          <w:color w:val="auto"/>
        </w:rPr>
        <w:t>For each of the three and nine months ended September 30, 2015, Management Fees of $20.7 thousand were waived, consisting solely of Management Fees attributable to the Company’s ownership of the TICC Shares. For the three months ended September 30, 2014, no Management Fees were waived, as the Company did not hold any TICC Shares during the period. For the nine months ended September 30, 2014, Management Fees of $2.5 million were waived pursuant to the Pre-IPO Waiver. Any waived Management Fees are not subject to recoupment by the Adviser.</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20" w:hanging="255"/>
        <w:spacing w:after="0" w:line="255"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77" w:lineRule="exact"/>
        <w:rPr>
          <w:rFonts w:ascii="Times New Roman" w:cs="Times New Roman" w:eastAsia="Times New Roman" w:hAnsi="Times New Roman"/>
          <w:sz w:val="18"/>
          <w:szCs w:val="18"/>
          <w:color w:val="auto"/>
        </w:rPr>
      </w:pPr>
    </w:p>
    <w:p>
      <w:pPr>
        <w:ind w:left="5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7" w:lineRule="exact"/>
        <w:rPr>
          <w:rFonts w:ascii="Times New Roman" w:cs="Times New Roman" w:eastAsia="Times New Roman" w:hAnsi="Times New Roman"/>
          <w:sz w:val="18"/>
          <w:szCs w:val="18"/>
          <w:color w:val="auto"/>
        </w:rPr>
      </w:pPr>
    </w:p>
    <w:p>
      <w:pPr>
        <w:ind w:left="52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81" w:lineRule="exact"/>
        <w:rPr>
          <w:rFonts w:ascii="Times New Roman" w:cs="Times New Roman" w:eastAsia="Times New Roman" w:hAnsi="Times New Roman"/>
          <w:sz w:val="18"/>
          <w:szCs w:val="18"/>
          <w:color w:val="auto"/>
        </w:rPr>
      </w:pPr>
    </w:p>
    <w:p>
      <w:pPr>
        <w:ind w:left="520" w:right="40" w:hanging="255"/>
        <w:spacing w:after="0" w:line="254"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9"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54" w:lineRule="exact"/>
        <w:rPr>
          <w:sz w:val="20"/>
          <w:szCs w:val="20"/>
          <w:color w:val="auto"/>
        </w:rPr>
      </w:pPr>
    </w:p>
    <w:p>
      <w:pPr>
        <w:ind w:left="520" w:hanging="255"/>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as of the end of the calendar quarter immediately preceding the day; plus</w:t>
      </w:r>
    </w:p>
    <w:p>
      <w:pPr>
        <w:spacing w:after="0" w:line="117" w:lineRule="exact"/>
        <w:rPr>
          <w:rFonts w:ascii="Times New Roman" w:cs="Times New Roman" w:eastAsia="Times New Roman" w:hAnsi="Times New Roman"/>
          <w:sz w:val="18"/>
          <w:szCs w:val="18"/>
          <w:color w:val="auto"/>
        </w:rPr>
      </w:pPr>
    </w:p>
    <w:p>
      <w:pPr>
        <w:ind w:left="520" w:right="360" w:hanging="255"/>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the dividend reinvestment plan) from the beginning of the current quarter to the day; minus</w:t>
      </w:r>
    </w:p>
    <w:p>
      <w:pPr>
        <w:spacing w:after="0" w:line="53" w:lineRule="exact"/>
        <w:rPr>
          <w:rFonts w:ascii="Times New Roman" w:cs="Times New Roman" w:eastAsia="Times New Roman" w:hAnsi="Times New Roman"/>
          <w:sz w:val="18"/>
          <w:szCs w:val="18"/>
          <w:color w:val="auto"/>
        </w:rPr>
      </w:pPr>
    </w:p>
    <w:p>
      <w:pPr>
        <w:ind w:left="520" w:right="280" w:hanging="255"/>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p>
      <w:pPr>
        <w:ind w:right="620" w:firstLine="259"/>
        <w:spacing w:after="0" w:line="313" w:lineRule="auto"/>
        <w:rPr>
          <w:sz w:val="20"/>
          <w:szCs w:val="20"/>
          <w:color w:val="auto"/>
        </w:rPr>
      </w:pPr>
      <w:r>
        <w:rPr>
          <w:rFonts w:ascii="Times New Roman" w:cs="Times New Roman" w:eastAsia="Times New Roman" w:hAnsi="Times New Roman"/>
          <w:sz w:val="17"/>
          <w:szCs w:val="17"/>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38"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76" w:lineRule="exact"/>
        <w:rPr>
          <w:sz w:val="20"/>
          <w:szCs w:val="20"/>
          <w:color w:val="auto"/>
        </w:rPr>
      </w:pPr>
    </w:p>
    <w:p>
      <w:pPr>
        <w:jc w:val="both"/>
        <w:ind w:right="280" w:firstLine="25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2015, Incentive Fees were $3.0 million and $15.2 million, respectively, of which $5.0 million and $15.2 million, respectively, were realized and payable to the Adviser. For the three and nine months ended September 30, 2014, Incentive Fees were $4.2 million and $14.5 million, respectively, of which $4.8 million and $14.8 million, respectively, were realized and payable to the Adviser.</w:t>
      </w:r>
    </w:p>
    <w:p>
      <w:pPr>
        <w:spacing w:after="0" w:line="176"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The Adviser has voluntarily waived the Incentive Fees attributable to pre-Incentive Fee net investment income accrued by the Company as a result of the Company’s ownership of the TICC Shares for the period that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4" w:lineRule="exact"/>
        <w:rPr>
          <w:sz w:val="20"/>
          <w:szCs w:val="20"/>
          <w:color w:val="auto"/>
        </w:rPr>
      </w:pPr>
    </w:p>
    <w:p>
      <w:pPr>
        <w:jc w:val="both"/>
        <w:ind w:right="380" w:firstLine="259"/>
        <w:spacing w:after="0" w:line="289" w:lineRule="auto"/>
        <w:rPr>
          <w:sz w:val="20"/>
          <w:szCs w:val="20"/>
          <w:color w:val="auto"/>
        </w:rPr>
      </w:pPr>
      <w:r>
        <w:rPr>
          <w:rFonts w:ascii="Times New Roman" w:cs="Times New Roman" w:eastAsia="Times New Roman" w:hAnsi="Times New Roman"/>
          <w:sz w:val="17"/>
          <w:szCs w:val="17"/>
          <w:color w:val="auto"/>
        </w:rPr>
        <w:t>For each of the three and nine months ended September 30, 2015, Incentive Fees of $82.9 thousand were waived, consisting solely of Incentive Fees attributable to the Company’s ownership of the TICC Shares. For each of the three and nine months ended September 30, 2014, no Incentive Fees were waived, as the Company did not hold any TICC Shares during such periods. Any waived Incentive Fees are not subject to recoupment by the Adviser.</w:t>
      </w:r>
    </w:p>
    <w:p>
      <w:pPr>
        <w:spacing w:after="0" w:line="158"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Following the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and there can be no assurance that the Adviser will continue to waive Management Fees or Incentive Fees related to the Company’s ownership of the TICC Shares. Accordingly, the Company may be required to continue to pay the full amount of the Management Fee and Incentive Fee, including with respect to the TICC Shares, in future periods.</w:t>
      </w:r>
    </w:p>
    <w:p>
      <w:pPr>
        <w:spacing w:after="0" w:line="184"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On November 3, 2015, the Board renewed the Investment Advisory Agreement. Unless earlier terminated as described below, the Investment Advisory Agreement will remain in effect until November 3, 2016,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76"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September 30, 2015 and December 31, 2014:</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1,217,234</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1,214,386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w:t>
            </w: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(8,877)</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1,411,791</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1,396,426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1,127,215</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1,124,246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(6,610)</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1,273,252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30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September 30, 2015 and December 31, 2014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2040" w:type="dxa"/>
            <w:vAlign w:val="bottom"/>
            <w:vMerge w:val="restart"/>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vMerge w:val="continue"/>
            <w:shd w:val="clear" w:color="auto" w:fill="CFF0FC"/>
          </w:tcPr>
          <w:p>
            <w:pPr>
              <w:spacing w:after="0"/>
              <w:rPr>
                <w:sz w:val="19"/>
                <w:szCs w:val="19"/>
                <w:color w:val="auto"/>
              </w:rPr>
            </w:pPr>
          </w:p>
        </w:tc>
        <w:tc>
          <w:tcPr>
            <w:tcW w:w="204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0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20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20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3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0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vMerge w:val="restart"/>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vMerge w:val="continue"/>
            <w:shd w:val="clear" w:color="auto" w:fill="CFF0FC"/>
          </w:tcPr>
          <w:p>
            <w:pPr>
              <w:spacing w:after="0"/>
              <w:rPr>
                <w:sz w:val="19"/>
                <w:szCs w:val="19"/>
                <w:color w:val="auto"/>
              </w:rPr>
            </w:pPr>
          </w:p>
        </w:tc>
        <w:tc>
          <w:tcPr>
            <w:tcW w:w="204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bottom w:val="single" w:sz="8" w:color="CFF0FC"/>
            </w:tcBorders>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September 30, 2015 and December 31, 2014 is as follows: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Midwest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Northeast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89" w:lineRule="exact"/>
        <w:rPr>
          <w:sz w:val="20"/>
          <w:szCs w:val="20"/>
          <w:color w:val="auto"/>
        </w:rPr>
      </w:pPr>
    </w:p>
    <w:p>
      <w:pPr>
        <w:ind w:right="600" w:firstLine="25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2015, the Company entered into foreign currency forward contracts related to its non-USD investments. The Company did not have any open foreign currency forward contracts as of September 30, 2015.</w:t>
      </w:r>
    </w:p>
    <w:p>
      <w:pPr>
        <w:spacing w:after="0" w:line="162"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within the Company’s consolidated balance sheets.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not been required to post cash collateral related to its foreign currency forward contracts, but may be required to do so in the future.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jc w:val="both"/>
        <w:ind w:right="320" w:firstLine="259"/>
        <w:spacing w:after="0" w:line="266" w:lineRule="auto"/>
        <w:rPr>
          <w:sz w:val="20"/>
          <w:szCs w:val="20"/>
          <w:color w:val="auto"/>
        </w:rPr>
      </w:pPr>
      <w:r>
        <w:rPr>
          <w:rFonts w:ascii="Times New Roman" w:cs="Times New Roman" w:eastAsia="Times New Roman" w:hAnsi="Times New Roman"/>
          <w:sz w:val="18"/>
          <w:szCs w:val="18"/>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76"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62"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2015, the Company received $1.3 million and $3.9 million, respectively, and paid $0.9 million and $2.7 million, respectively, related to the quarterly settlements of its interest rate swaps. During the three and nine months ended September 30, 2014, the Company received $1.3 million and paid $0.8 million related to the quarterly settlement of its interest rate swaps. These net amounts are reductions to interest expense in the Company’s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5" w:name="page26"/>
    <w:bookmarkEnd w:id="25"/>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2015, the Company recognized $1.9 million and $0.7 million, respectively, in unrealized appreciation on derivatives in the consolidated statement of operations related to the swap transactions. As of September 30, 2015 and December 31, 2014, the swap transactions had a fair value of $1.7 million and $1.0 million, respectively, which is included in receivable for interest rate swaps on the Company’s consolidated balance sheet. For the three and nine months ended September 30, 2014, the Company recognized $1.0 million, and $0.2 million, respectively, in unrealized depreciation on derivatives in the consolidated statement of operations related to the swap transactions. In January 2015, the Company closed out its existing interest rate swaps and simultaneously entered into new interest rate swaps, realizing a cash payment of $2.0 million and increasing pricing to three-month LIBOR plus 286 basis points.</w:t>
      </w:r>
    </w:p>
    <w:p>
      <w:pPr>
        <w:spacing w:after="0" w:line="189"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September 30, 2015, $1.9 million of cash is pledged as collateral under the Company’s derivative instruments and is included in restricted cash as a component of other assets on the Company’s consolidated balance sheet.</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September 30, 2015 and December 31, 2014: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00" w:type="dxa"/>
            <w:vAlign w:val="bottom"/>
            <w:gridSpan w:val="9"/>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 Hierarchy at September 30, 2015</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1,131,386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1,214,386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150,951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1,234,513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1,396,426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Receivable on interest rate swaps</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152,643</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1,234,513</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1,398,118</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8"/>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2014</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1,059,336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1,124,246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129,037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1,263,511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Receivable on interest rate swaps</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130,057</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1,134,474</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1,264,531</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6" w:name="page27"/>
    <w:bookmarkEnd w:id="26"/>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nine months ended September 30, 2015: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1,179,301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179,734</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(186,954)</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(186,954)</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losses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(9,180)</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(5,065)</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1,131,386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5"/>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1,059,336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356,544</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(258,097)</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(262,984)</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(5,244)</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1,131,385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1,234,513</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nine months ended September 30, 2014: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2"/>
                <w:szCs w:val="12"/>
                <w:color w:val="auto"/>
              </w:rPr>
            </w:pPr>
          </w:p>
        </w:tc>
        <w:tc>
          <w:tcPr>
            <w:tcW w:w="122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947,985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102,413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1,066,428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(31,029)</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(31,029)</w:t>
            </w: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(89,082)</w:t>
            </w: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(89,685)</w:t>
            </w: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(5,627)</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(4,740)</w:t>
            </w: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5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2"/>
                <w:szCs w:val="12"/>
                <w:color w:val="auto"/>
              </w:rPr>
            </w:pPr>
          </w:p>
        </w:tc>
        <w:tc>
          <w:tcPr>
            <w:tcW w:w="122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854,972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103,530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674,085</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(82,672)</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(82,672)</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(304,564)</w:t>
            </w: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(66,508)</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(371,072)</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(5,203)</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(4,994)</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1,058,256</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1,189,596</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appreciation or depreciation on investments for which Level 3 inputs were used in determining fair value that are still held by the Company at September 30, 2015 and 2014:</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2015 on</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2014 on</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40" w:type="dxa"/>
            <w:vAlign w:val="bottom"/>
          </w:tcPr>
          <w:p>
            <w:pPr>
              <w:spacing w:after="0"/>
              <w:rPr>
                <w:sz w:val="15"/>
                <w:szCs w:val="15"/>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60" w:type="dxa"/>
            <w:vAlign w:val="bottom"/>
          </w:tcPr>
          <w:p>
            <w:pPr>
              <w:spacing w:after="0"/>
              <w:rPr>
                <w:sz w:val="19"/>
                <w:szCs w:val="19"/>
                <w:color w:val="auto"/>
              </w:rPr>
            </w:pP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19"/>
                <w:szCs w:val="19"/>
                <w:color w:val="auto"/>
              </w:rPr>
            </w:pPr>
          </w:p>
        </w:tc>
      </w:tr>
      <w:tr>
        <w:trPr>
          <w:trHeight w:val="211"/>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w:t>
            </w: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FF0FC"/>
          </w:tcPr>
          <w:p>
            <w:pPr>
              <w:spacing w:after="0"/>
              <w:rPr>
                <w:sz w:val="20"/>
                <w:szCs w:val="20"/>
                <w:color w:val="auto"/>
              </w:rPr>
            </w:pPr>
          </w:p>
        </w:tc>
        <w:tc>
          <w:tcPr>
            <w:tcW w:w="2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60" w:type="dxa"/>
            <w:vAlign w:val="bottom"/>
          </w:tcPr>
          <w:p>
            <w:pPr>
              <w:spacing w:after="0"/>
              <w:rPr>
                <w:sz w:val="19"/>
                <w:szCs w:val="19"/>
                <w:color w:val="auto"/>
              </w:rPr>
            </w:pP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(3,235)</w:t>
            </w:r>
          </w:p>
        </w:tc>
        <w:tc>
          <w:tcPr>
            <w:tcW w:w="140" w:type="dxa"/>
            <w:vAlign w:val="bottom"/>
          </w:tcPr>
          <w:p>
            <w:pPr>
              <w:spacing w:after="0"/>
              <w:rPr>
                <w:sz w:val="19"/>
                <w:szCs w:val="19"/>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628" w:right="219" w:bottom="1440" w:gutter="0" w:footer="0" w:header="0"/>
        </w:sectPr>
      </w:pPr>
    </w:p>
    <w:p>
      <w:pPr>
        <w:spacing w:after="0" w:line="72"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spacing w:after="0" w:line="19"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p>
      <w:pPr>
        <w:spacing w:after="0" w:line="1"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1"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September 30, 2015 on</w:t>
      </w:r>
    </w:p>
    <w:p>
      <w:pPr>
        <w:spacing w:after="0" w:line="1"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left="5060"/>
        <w:spacing w:after="0" w:line="233" w:lineRule="auto"/>
        <w:rPr>
          <w:sz w:val="20"/>
          <w:szCs w:val="20"/>
          <w:color w:val="auto"/>
        </w:rPr>
      </w:pPr>
      <w:r>
        <w:rPr>
          <w:rFonts w:ascii="Times New Roman" w:cs="Times New Roman" w:eastAsia="Times New Roman" w:hAnsi="Times New Roman"/>
          <w:sz w:val="14"/>
          <w:szCs w:val="14"/>
          <w:b w:val="1"/>
          <w:bCs w:val="1"/>
          <w:color w:val="auto"/>
        </w:rPr>
        <w:t>September 30, 2015</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spacing w:after="0" w:line="1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p>
      <w:pPr>
        <w:spacing w:after="0" w:line="1"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1"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September 30, 2014 on</w:t>
      </w:r>
    </w:p>
    <w:p>
      <w:pPr>
        <w:spacing w:after="0" w:line="1"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right="2040"/>
        <w:spacing w:after="0" w:line="233" w:lineRule="auto"/>
        <w:rPr>
          <w:sz w:val="20"/>
          <w:szCs w:val="20"/>
          <w:color w:val="auto"/>
        </w:rPr>
      </w:pPr>
      <w:r>
        <w:rPr>
          <w:rFonts w:ascii="Times New Roman" w:cs="Times New Roman" w:eastAsia="Times New Roman" w:hAnsi="Times New Roman"/>
          <w:sz w:val="14"/>
          <w:szCs w:val="14"/>
          <w:b w:val="1"/>
          <w:bCs w:val="1"/>
          <w:color w:val="auto"/>
        </w:rPr>
        <w:t>September 30, 2014</w:t>
      </w:r>
    </w:p>
    <w:p>
      <w:pPr>
        <w:spacing w:after="0" w:line="20" w:lineRule="exact"/>
        <w:rPr>
          <w:sz w:val="20"/>
          <w:szCs w:val="20"/>
          <w:color w:val="auto"/>
        </w:rPr>
      </w:pPr>
    </w:p>
    <w:p>
      <w:pPr>
        <w:sectPr>
          <w:pgSz w:w="11900" w:h="16838" w:orient="portrait"/>
          <w:cols w:equalWidth="0" w:num="2">
            <w:col w:w="6960" w:space="540"/>
            <w:col w:w="3940"/>
          </w:cols>
          <w:pgMar w:left="240" w:top="628" w:right="2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720" w:type="dxa"/>
            <w:vAlign w:val="bottom"/>
          </w:tcPr>
          <w:p>
            <w:pPr>
              <w:spacing w:after="0" w:line="20" w:lineRule="exact"/>
              <w:rPr>
                <w:sz w:val="1"/>
                <w:szCs w:val="1"/>
                <w:color w:val="auto"/>
              </w:rPr>
            </w:pPr>
          </w:p>
        </w:tc>
        <w:tc>
          <w:tcPr>
            <w:tcW w:w="3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4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140" w:type="dxa"/>
            <w:vAlign w:val="bottom"/>
            <w:vMerge w:val="continue"/>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5,503</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(1,345)</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44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c>
          <w:tcPr>
            <w:tcW w:w="9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w:t>
            </w:r>
          </w:p>
        </w:tc>
        <w:tc>
          <w:tcPr>
            <w:tcW w:w="4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44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44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w:t>
            </w:r>
          </w:p>
        </w:tc>
        <w:tc>
          <w:tcPr>
            <w:tcW w:w="9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8" w:right="219" w:bottom="1440" w:gutter="0" w:footer="0" w:header="0"/>
          <w:type w:val="continuous"/>
        </w:sectPr>
      </w:pPr>
    </w:p>
    <w:bookmarkStart w:id="28" w:name="page29"/>
    <w:bookmarkEnd w:id="28"/>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significant unobservable inputs the Company used to value the majority of its investments categorized within Level 3 as of September 30, 2015 and December 31, 2014. The tables are not intended to be all-inclusive, but instead capture the significant unobservable inputs relevant to the Company’s determination of fair values.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44"/>
        </w:trPr>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Impact to Valuation</w:t>
            </w:r>
          </w:p>
        </w:tc>
      </w:tr>
      <w:tr>
        <w:trPr>
          <w:trHeight w:val="162"/>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7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 Increase to</w:t>
            </w:r>
          </w:p>
        </w:tc>
      </w:tr>
      <w:tr>
        <w:trPr>
          <w:trHeight w:val="173"/>
        </w:trPr>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21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r>
      <w:tr>
        <w:trPr>
          <w:trHeight w:val="205"/>
        </w:trPr>
        <w:tc>
          <w:tcPr>
            <w:tcW w:w="16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First-lien debt</w:t>
            </w:r>
          </w:p>
        </w:tc>
        <w:tc>
          <w:tcPr>
            <w:tcW w:w="4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r>
      <w:tr>
        <w:trPr>
          <w:trHeight w:val="234"/>
        </w:trPr>
        <w:tc>
          <w:tcPr>
            <w:tcW w:w="1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1,131,386</w:t>
            </w: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(1)</w:t>
            </w:r>
          </w:p>
        </w:tc>
        <w:tc>
          <w:tcPr>
            <w:tcW w:w="1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2740" w:type="dxa"/>
            <w:vAlign w:val="bottom"/>
            <w:gridSpan w:val="2"/>
            <w:shd w:val="clear" w:color="auto" w:fill="CFF0FC"/>
          </w:tcPr>
          <w:p>
            <w:pPr>
              <w:jc w:val="center"/>
              <w:ind w:right="440"/>
              <w:spacing w:after="0"/>
              <w:rPr>
                <w:sz w:val="20"/>
                <w:szCs w:val="20"/>
                <w:color w:val="auto"/>
              </w:rPr>
            </w:pPr>
            <w:r>
              <w:rPr>
                <w:rFonts w:ascii="Times New Roman" w:cs="Times New Roman" w:eastAsia="Times New Roman" w:hAnsi="Times New Roman"/>
                <w:sz w:val="18"/>
                <w:szCs w:val="18"/>
                <w:color w:val="auto"/>
                <w:w w:val="99"/>
              </w:rPr>
              <w:t>6.0% — 16.3% (10.6%)</w:t>
            </w: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90,633</w:t>
            </w: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2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11.5% — 12.5% (12.1%)</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16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Comparable</w:t>
            </w:r>
          </w:p>
        </w:tc>
        <w:tc>
          <w:tcPr>
            <w:tcW w:w="2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Market Multiple or</w:t>
            </w:r>
          </w:p>
        </w:tc>
        <w:tc>
          <w:tcPr>
            <w:tcW w:w="1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multiple or discount</w:t>
            </w:r>
          </w:p>
        </w:tc>
        <w:tc>
          <w:tcPr>
            <w:tcW w:w="2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or</w:t>
            </w:r>
          </w:p>
        </w:tc>
      </w:tr>
      <w:tr>
        <w:trPr>
          <w:trHeight w:val="234"/>
        </w:trPr>
        <w:tc>
          <w:tcPr>
            <w:tcW w:w="1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Discounted Cash Flow</w:t>
            </w:r>
            <w:r>
              <w:rPr>
                <w:rFonts w:ascii="Times New Roman" w:cs="Times New Roman" w:eastAsia="Times New Roman" w:hAnsi="Times New Roman"/>
                <w:sz w:val="15"/>
                <w:szCs w:val="15"/>
                <w:color w:val="auto"/>
              </w:rPr>
              <w:t>(2)</w:t>
            </w:r>
          </w:p>
        </w:tc>
        <w:tc>
          <w:tcPr>
            <w:tcW w:w="19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w:t>
            </w:r>
          </w:p>
        </w:tc>
        <w:tc>
          <w:tcPr>
            <w:tcW w:w="2740" w:type="dxa"/>
            <w:vAlign w:val="bottom"/>
            <w:gridSpan w:val="2"/>
            <w:shd w:val="clear" w:color="auto" w:fill="CFF0FC"/>
          </w:tcPr>
          <w:p>
            <w:pPr>
              <w:jc w:val="center"/>
              <w:ind w:right="440"/>
              <w:spacing w:after="0"/>
              <w:rPr>
                <w:sz w:val="20"/>
                <w:szCs w:val="20"/>
                <w:color w:val="auto"/>
              </w:rPr>
            </w:pPr>
            <w:r>
              <w:rPr>
                <w:rFonts w:ascii="Times New Roman" w:cs="Times New Roman" w:eastAsia="Times New Roman" w:hAnsi="Times New Roman"/>
                <w:sz w:val="18"/>
                <w:szCs w:val="18"/>
                <w:color w:val="auto"/>
                <w:w w:val="99"/>
              </w:rPr>
              <w:t>9.0x — 13.5x (11.7x) or 12.0%</w:t>
            </w: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r>
    </w:tbl>
    <w:p>
      <w:pPr>
        <w:spacing w:after="0" w:line="225" w:lineRule="exact"/>
        <w:rPr>
          <w:sz w:val="20"/>
          <w:szCs w:val="20"/>
          <w:color w:val="auto"/>
        </w:rPr>
      </w:pPr>
    </w:p>
    <w:p>
      <w:pPr>
        <w:ind w:left="520" w:right="320" w:hanging="512"/>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$100.7 million of first-lien debt investments which, due to the proximity of the transactions relative to the measurement date, were valued using the cost of the investments.</w:t>
      </w:r>
    </w:p>
    <w:p>
      <w:pPr>
        <w:ind w:left="520" w:right="320" w:hanging="512"/>
        <w:spacing w:after="0" w:line="27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 million of equity investments which, due to the proximity of the transactions relative to the measurement date, were valued using the cost of the investments.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320" w:type="dxa"/>
            <w:vAlign w:val="bottom"/>
            <w:tcBorders>
              <w:bottom w:val="single" w:sz="8" w:color="auto"/>
            </w:tcBorders>
          </w:tcPr>
          <w:p>
            <w:pPr>
              <w:spacing w:after="0"/>
              <w:rPr>
                <w:sz w:val="15"/>
                <w:szCs w:val="15"/>
                <w:color w:val="auto"/>
              </w:rPr>
            </w:pPr>
          </w:p>
        </w:tc>
      </w:tr>
      <w:tr>
        <w:trPr>
          <w:trHeight w:val="144"/>
        </w:trPr>
        <w:tc>
          <w:tcPr>
            <w:tcW w:w="1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Impact to Valuation</w:t>
            </w:r>
          </w:p>
        </w:tc>
      </w:tr>
      <w:tr>
        <w:trPr>
          <w:trHeight w:val="162"/>
        </w:trPr>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 Increase to</w:t>
            </w:r>
          </w:p>
        </w:tc>
      </w:tr>
      <w:tr>
        <w:trPr>
          <w:trHeight w:val="173"/>
        </w:trPr>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21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6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r>
      <w:tr>
        <w:trPr>
          <w:trHeight w:val="205"/>
        </w:trPr>
        <w:tc>
          <w:tcPr>
            <w:tcW w:w="168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First-lien debt</w:t>
            </w:r>
          </w:p>
        </w:tc>
        <w:tc>
          <w:tcPr>
            <w:tcW w:w="4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r>
      <w:tr>
        <w:trPr>
          <w:trHeight w:val="234"/>
        </w:trPr>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1,059,336</w:t>
            </w: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(1)</w:t>
            </w:r>
          </w:p>
        </w:tc>
        <w:tc>
          <w:tcPr>
            <w:tcW w:w="1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30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8.0% — 15.4% (10.9%)</w:t>
            </w: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11.0% — 11.0% (11.0%)</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unsecured debt</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4"/>
        </w:trPr>
        <w:tc>
          <w:tcPr>
            <w:tcW w:w="1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30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20.8% — 20.8% (20.8%)</w:t>
            </w: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Market Multiple,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Discounted Cash Flow or</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Comparable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Black Scholes Option</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 discount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or</w:t>
            </w:r>
          </w:p>
        </w:tc>
      </w:tr>
      <w:tr>
        <w:trPr>
          <w:trHeight w:val="234"/>
        </w:trPr>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Model</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or volatility</w:t>
            </w: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7.9x — 13.0x (10.4x) or 14.4% or 40%</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w:t>
            </w:r>
          </w:p>
        </w:tc>
      </w:tr>
    </w:tbl>
    <w:p>
      <w:pPr>
        <w:spacing w:after="0" w:line="225" w:lineRule="exact"/>
        <w:rPr>
          <w:sz w:val="20"/>
          <w:szCs w:val="20"/>
          <w:color w:val="auto"/>
        </w:rPr>
      </w:pPr>
    </w:p>
    <w:p>
      <w:pPr>
        <w:ind w:left="520" w:right="4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$15.6 million of first-lien debt investments which, due to the proximity of the transactions relative to the measurement date, were valued using the cost of the investments.</w:t>
      </w:r>
    </w:p>
    <w:p>
      <w:pPr>
        <w:spacing w:after="0" w:line="175"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4"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The fair value of the Company’s SPV Asset Facility and Revolving Credit Facility, which are categorized as Level 3 within the fair value hierarchy, as of September 30, 2015 and December 31, 2014, approximates their carrying value as the outstanding balances are callable at carrying value. The fair value of the Company’s Convertible Senior Notes, which is categorized as Level 2 within the fair value hierarchy, as of September 30, 2015, was $114.8 million, based on broker quotes received by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200% after such borrowing. As of September 30, 2015 and December 31, 2014, the Company’s asset coverage was 256.7% and 311.0%, respectively.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2015 and December 31, 2014:</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452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17"/>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57"/>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r>
      <w:tr>
        <w:trPr>
          <w:trHeight w:val="173"/>
        </w:trPr>
        <w:tc>
          <w:tcPr>
            <w:tcW w:w="45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426,278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350,770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112,341</w:t>
            </w:r>
          </w:p>
        </w:tc>
        <w:tc>
          <w:tcPr>
            <w:tcW w:w="120" w:type="dxa"/>
            <w:vAlign w:val="bottom"/>
            <w:tcBorders>
              <w:bottom w:val="single" w:sz="8" w:color="CFF0FC"/>
            </w:tcBorders>
          </w:tcPr>
          <w:p>
            <w:pPr>
              <w:spacing w:after="0"/>
              <w:rPr>
                <w:sz w:val="19"/>
                <w:szCs w:val="19"/>
                <w:color w:val="auto"/>
              </w:rPr>
            </w:pPr>
          </w:p>
        </w:tc>
      </w:tr>
      <w:tr>
        <w:trPr>
          <w:trHeight w:val="223"/>
        </w:trPr>
        <w:tc>
          <w:tcPr>
            <w:tcW w:w="4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896,250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541,278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350,770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52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17"/>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57"/>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r>
      <w:tr>
        <w:trPr>
          <w:trHeight w:val="173"/>
        </w:trPr>
        <w:tc>
          <w:tcPr>
            <w:tcW w:w="452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SPV Asset Facility </w:t>
            </w:r>
            <w:r>
              <w:rPr>
                <w:rFonts w:ascii="Times New Roman" w:cs="Times New Roman" w:eastAsia="Times New Roman" w:hAnsi="Times New Roman"/>
                <w:sz w:val="15"/>
                <w:szCs w:val="15"/>
                <w:color w:val="auto"/>
              </w:rPr>
              <w:t>(2)</w:t>
            </w: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45,279</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12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111,923</w:t>
            </w:r>
          </w:p>
        </w:tc>
        <w:tc>
          <w:tcPr>
            <w:tcW w:w="12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1,071,250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398,941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511,468</w:t>
            </w:r>
          </w:p>
        </w:tc>
        <w:tc>
          <w:tcPr>
            <w:tcW w:w="200" w:type="dxa"/>
            <w:vAlign w:val="bottom"/>
            <w:gridSpan w:val="2"/>
          </w:tcPr>
          <w:p>
            <w:pPr>
              <w:spacing w:after="0"/>
              <w:rPr>
                <w:sz w:val="19"/>
                <w:szCs w:val="19"/>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395,864</w:t>
            </w:r>
          </w:p>
        </w:tc>
        <w:tc>
          <w:tcPr>
            <w:tcW w:w="12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6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reinvestment period under the SPV Asset Facility terminated on January 21, 2015 and accordingly any undrawn availability under the facility also terminated. The Company prepaid all loans under the SPV Asset Facility and terminated the facility on September 25, 2015.</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and nine months ended September 30, 2015 and 2014, the components of interest expense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6"/>
        </w:trPr>
        <w:tc>
          <w:tcPr>
            <w:tcW w:w="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60" w:type="dxa"/>
            <w:vAlign w:val="bottom"/>
          </w:tcPr>
          <w:p>
            <w:pPr>
              <w:spacing w:after="0"/>
              <w:rPr>
                <w:sz w:val="19"/>
                <w:szCs w:val="19"/>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6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6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(1,174)</w:t>
            </w: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58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35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7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w:t>
            </w:r>
          </w:p>
        </w:tc>
        <w:tc>
          <w:tcPr>
            <w:tcW w:w="20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7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2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Pr>
          <w:p>
            <w:pPr>
              <w:spacing w:after="0"/>
              <w:rPr>
                <w:sz w:val="20"/>
                <w:szCs w:val="20"/>
                <w:color w:val="auto"/>
              </w:rPr>
            </w:pPr>
          </w:p>
        </w:tc>
      </w:tr>
      <w:tr>
        <w:trPr>
          <w:trHeight w:val="643"/>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9" w:right="2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88" w:lineRule="exact"/>
        <w:rPr>
          <w:sz w:val="20"/>
          <w:szCs w:val="20"/>
          <w:color w:val="auto"/>
        </w:rPr>
      </w:pPr>
    </w:p>
    <w:p>
      <w:pPr>
        <w:ind w:right="380" w:firstLine="259"/>
        <w:spacing w:after="0" w:line="282" w:lineRule="auto"/>
        <w:rPr>
          <w:sz w:val="20"/>
          <w:szCs w:val="20"/>
          <w:color w:val="auto"/>
        </w:rPr>
      </w:pPr>
      <w:r>
        <w:rPr>
          <w:rFonts w:ascii="Times New Roman" w:cs="Times New Roman" w:eastAsia="Times New Roman" w:hAnsi="Times New Roman"/>
          <w:sz w:val="18"/>
          <w:szCs w:val="18"/>
          <w:color w:val="auto"/>
        </w:rPr>
        <w:t>On February 27, 2014, the Company further amended and restated the agreement. The second amended and restated agreement (the Revolving Credit Facility), among other things:</w:t>
      </w:r>
    </w:p>
    <w:p>
      <w:pPr>
        <w:spacing w:after="0" w:line="54" w:lineRule="exact"/>
        <w:rPr>
          <w:sz w:val="20"/>
          <w:szCs w:val="20"/>
          <w:color w:val="auto"/>
        </w:rPr>
      </w:pPr>
    </w:p>
    <w:p>
      <w:pPr>
        <w:ind w:left="520" w:hanging="25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17" w:lineRule="exact"/>
        <w:rPr>
          <w:rFonts w:ascii="Times New Roman" w:cs="Times New Roman" w:eastAsia="Times New Roman" w:hAnsi="Times New Roman"/>
          <w:sz w:val="18"/>
          <w:szCs w:val="18"/>
          <w:color w:val="auto"/>
        </w:rPr>
      </w:pPr>
    </w:p>
    <w:p>
      <w:pPr>
        <w:ind w:left="520" w:right="320" w:hanging="255"/>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the Company, under certain circumstances to increase the size of the facility up to $956.3 million;</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17" w:lineRule="exact"/>
        <w:rPr>
          <w:rFonts w:ascii="Times New Roman" w:cs="Times New Roman" w:eastAsia="Times New Roman" w:hAnsi="Times New Roman"/>
          <w:sz w:val="18"/>
          <w:szCs w:val="18"/>
          <w:color w:val="auto"/>
        </w:rPr>
      </w:pPr>
    </w:p>
    <w:p>
      <w:pPr>
        <w:ind w:left="780" w:right="380" w:hanging="259"/>
        <w:spacing w:after="0" w:line="282" w:lineRule="auto"/>
        <w:tabs>
          <w:tab w:leader="none" w:pos="7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the Company, subject to certain conditions, may make borrowings under the facility, and</w:t>
      </w:r>
    </w:p>
    <w:p>
      <w:pPr>
        <w:spacing w:after="0" w:line="53"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40" w:firstLine="259"/>
        <w:spacing w:after="0" w:line="313" w:lineRule="auto"/>
        <w:rPr>
          <w:sz w:val="20"/>
          <w:szCs w:val="20"/>
          <w:color w:val="auto"/>
        </w:rPr>
      </w:pPr>
      <w:r>
        <w:rPr>
          <w:rFonts w:ascii="Times New Roman" w:cs="Times New Roman" w:eastAsia="Times New Roman" w:hAnsi="Times New Roman"/>
          <w:sz w:val="17"/>
          <w:szCs w:val="17"/>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38"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40" w:hanging="255"/>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aggregate commitments from $781.3 million to $766.3 million;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revolving period from February 27, 2018 to October 17, 2018;</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date from February 27, 2019 to October 17, 2019;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sublimit applicable to letters of credit from $20 million to $100 million.</w:t>
      </w:r>
    </w:p>
    <w:p>
      <w:pPr>
        <w:spacing w:after="0" w:line="225" w:lineRule="exact"/>
        <w:rPr>
          <w:sz w:val="20"/>
          <w:szCs w:val="20"/>
          <w:color w:val="auto"/>
        </w:rPr>
      </w:pPr>
    </w:p>
    <w:p>
      <w:pPr>
        <w:jc w:val="both"/>
        <w:ind w:right="20" w:firstLine="259"/>
        <w:spacing w:after="0" w:line="266" w:lineRule="auto"/>
        <w:rPr>
          <w:sz w:val="20"/>
          <w:szCs w:val="20"/>
          <w:color w:val="auto"/>
        </w:rPr>
      </w:pPr>
      <w:r>
        <w:rPr>
          <w:rFonts w:ascii="Times New Roman" w:cs="Times New Roman" w:eastAsia="Times New Roman" w:hAnsi="Times New Roman"/>
          <w:sz w:val="18"/>
          <w:szCs w:val="18"/>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October 2, 2015, the Company entered into a fourth amendment to the Revolving Credit Facility:</w:t>
      </w:r>
    </w:p>
    <w:p>
      <w:pPr>
        <w:spacing w:after="0" w:line="117" w:lineRule="exact"/>
        <w:rPr>
          <w:sz w:val="20"/>
          <w:szCs w:val="20"/>
          <w:color w:val="auto"/>
        </w:rPr>
      </w:pPr>
    </w:p>
    <w:p>
      <w:pPr>
        <w:ind w:left="520" w:right="140" w:hanging="255"/>
        <w:spacing w:after="0" w:line="266"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aggregate commitments from $781.3 million to $821.3 million;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revolving period from October 17, 2018 to October 2, 2019;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31" w:name="page32"/>
    <w:bookmarkEnd w:id="31"/>
    <w:p>
      <w:pPr>
        <w:ind w:left="520" w:hanging="255"/>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date from October 17, 2019 to October 2, 2020; and</w:t>
      </w:r>
    </w:p>
    <w:p>
      <w:pPr>
        <w:spacing w:after="0" w:line="117" w:lineRule="exact"/>
        <w:rPr>
          <w:rFonts w:ascii="Times New Roman" w:cs="Times New Roman" w:eastAsia="Times New Roman" w:hAnsi="Times New Roman"/>
          <w:sz w:val="18"/>
          <w:szCs w:val="18"/>
          <w:color w:val="auto"/>
        </w:rPr>
      </w:pPr>
    </w:p>
    <w:p>
      <w:pPr>
        <w:ind w:left="520" w:right="60" w:hanging="255"/>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62"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September 30, 2015, the Company had outstanding debt denominated in Swedish Krona (SEK) of 197.9 million, Euro (EUR) of 35.7 million and Pound Sterling (GBP) of 21.0 million on its Revolving Credit Facility, included in the Outstanding Principal amount in the table above.</w:t>
      </w:r>
    </w:p>
    <w:p>
      <w:pPr>
        <w:spacing w:after="0" w:line="176" w:lineRule="exact"/>
        <w:rPr>
          <w:sz w:val="20"/>
          <w:szCs w:val="20"/>
          <w:color w:val="auto"/>
        </w:rPr>
      </w:pPr>
    </w:p>
    <w:p>
      <w:pPr>
        <w:jc w:val="both"/>
        <w:ind w:right="100" w:firstLine="259"/>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0" w:lineRule="exact"/>
        <w:rPr>
          <w:sz w:val="20"/>
          <w:szCs w:val="20"/>
          <w:color w:val="auto"/>
        </w:rPr>
      </w:pPr>
    </w:p>
    <w:p>
      <w:pPr>
        <w:ind w:right="440" w:firstLine="259"/>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76"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54" w:lineRule="exact"/>
        <w:rPr>
          <w:sz w:val="20"/>
          <w:szCs w:val="20"/>
          <w:color w:val="auto"/>
        </w:rPr>
      </w:pPr>
    </w:p>
    <w:p>
      <w:pPr>
        <w:ind w:left="520" w:hanging="25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120" w:hanging="255"/>
        <w:spacing w:after="0" w:line="313" w:lineRule="auto"/>
        <w:tabs>
          <w:tab w:leader="none" w:pos="5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30" w:lineRule="exact"/>
        <w:rPr>
          <w:rFonts w:ascii="Times New Roman" w:cs="Times New Roman" w:eastAsia="Times New Roman" w:hAnsi="Times New Roman"/>
          <w:sz w:val="17"/>
          <w:szCs w:val="17"/>
          <w:color w:val="auto"/>
        </w:rPr>
      </w:pPr>
    </w:p>
    <w:p>
      <w:pPr>
        <w:ind w:left="520" w:hanging="255"/>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SPV Asset Facility</w:t>
      </w:r>
    </w:p>
    <w:p>
      <w:pPr>
        <w:spacing w:after="0" w:line="11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85"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2" w:name="page33"/>
    <w:bookmarkEnd w:id="32"/>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After giving effect to amendments to the credit and security agreement in January 2014 and March 2015, the facility (as amended, the “SPV Asset Facility”) had commitments of $175 million and the pricing ranged from cost of funds + 2.25% to LIBOR + 2.35% and the facility was scheduled to mature on January 21, 2021.</w:t>
      </w:r>
    </w:p>
    <w:p>
      <w:pPr>
        <w:spacing w:after="0" w:line="176" w:lineRule="exact"/>
        <w:rPr>
          <w:sz w:val="20"/>
          <w:szCs w:val="20"/>
          <w:color w:val="auto"/>
        </w:rPr>
      </w:pPr>
    </w:p>
    <w:p>
      <w:pPr>
        <w:ind w:right="340" w:firstLine="259"/>
        <w:spacing w:after="0" w:line="258" w:lineRule="auto"/>
        <w:rPr>
          <w:sz w:val="20"/>
          <w:szCs w:val="20"/>
          <w:color w:val="auto"/>
        </w:rPr>
      </w:pPr>
      <w:r>
        <w:rPr>
          <w:rFonts w:ascii="Times New Roman" w:cs="Times New Roman" w:eastAsia="Times New Roman" w:hAnsi="Times New Roman"/>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4"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62" w:lineRule="exact"/>
        <w:rPr>
          <w:sz w:val="20"/>
          <w:szCs w:val="20"/>
          <w:color w:val="auto"/>
        </w:rPr>
      </w:pPr>
    </w:p>
    <w:p>
      <w:pPr>
        <w:ind w:right="160" w:firstLine="259"/>
        <w:spacing w:after="0" w:line="281" w:lineRule="auto"/>
        <w:rPr>
          <w:sz w:val="20"/>
          <w:szCs w:val="20"/>
          <w:color w:val="auto"/>
        </w:rPr>
      </w:pPr>
      <w:r>
        <w:rPr>
          <w:rFonts w:ascii="Times New Roman" w:cs="Times New Roman" w:eastAsia="Times New Roman" w:hAnsi="Times New Roman"/>
          <w:sz w:val="17"/>
          <w:szCs w:val="17"/>
          <w:color w:val="auto"/>
        </w:rPr>
        <w:t>As of September 30, 2015 and December 31, 2014, TPG SL SPV had $285.4 million and $334.0 million, respectively, in investments at fair value. As of December 31, 2014, TPG SL SPV had $108.8 million in liabilities, including the outstanding borrowings, on its balance sheet. As of September 30, 2015, TPG SL SPV’s liabilities had been fully prepaid. As of December 31, 2014, TPG SL SPV had $10.2 million in restricted cash, a component of prepaid expenses and other assets, in the accompanying consolidated financial statements. TPG SL SPV did not have restricted cash as of September 30, 2015.</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Borrowings of TPG SL SPV are considered the Company’s borrowings for purposes of complying with the asset coverage requirements of the 1940 Act.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93"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9"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2015 and 2014, the components of interest expense related to the Convertible Senior Notes were as follows: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FF0FC"/>
          </w:tcPr>
          <w:p>
            <w:pPr>
              <w:spacing w:after="0"/>
              <w:rPr>
                <w:sz w:val="19"/>
                <w:szCs w:val="19"/>
                <w:color w:val="auto"/>
              </w:rPr>
            </w:pP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During the three and nine months ended September 30, 2015, the Company received $1.3 million and $3.9 million, respectively, and paid $0.9 million and $2.7 million, respectively, related to the quarterly settlements of its interest rate swaps. During the three months ended September 30, 2014, the Company received $1.3 million and paid $0.8 million related to the quarterly settlement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89"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2015, the principal amount of the Convertible Senior Notes exceeded the value of the underlying shares multiplied by the per share closing price of the Company’s common stock.</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2015, the components of the carrying value of the Convertible Senior Notes and the stated interest rate were as follows:</w:t>
      </w:r>
    </w:p>
    <w:p>
      <w:pPr>
        <w:spacing w:after="0" w:line="232"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2019</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1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0" w:firstLine="259"/>
        <w:spacing w:after="0" w:line="282"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is 3 month LIBOR plus 286 basis points. Please see Note 5 for further information about the Company’s interest rate swaps.</w:t>
      </w:r>
    </w:p>
    <w:p>
      <w:pPr>
        <w:spacing w:after="0" w:line="162"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September 30, 2015, the Company was in compliance with the terms of the Convertible Senior Notes Indenture.</w:t>
      </w:r>
    </w:p>
    <w:p>
      <w:pPr>
        <w:spacing w:after="0" w:line="180"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2015 and December 31, 2014, the Company was in compliance with the terms of its debt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10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As of September 30, 2015 and December 31, 2014, the Company had the following commitments to fund investments: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September 30, 2015, management is not aware of any pending or threatened litigation.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740" w:firstLine="259"/>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62"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62"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88"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2014, the Company issued 4,234,501 shares and received proceeds of $65 million related to capital drawdowns delivered pursuant to the Subscription Agreements.</w:t>
      </w:r>
    </w:p>
    <w:p>
      <w:pPr>
        <w:spacing w:after="0" w:line="162" w:lineRule="exact"/>
        <w:rPr>
          <w:sz w:val="20"/>
          <w:szCs w:val="20"/>
          <w:color w:val="auto"/>
        </w:rPr>
      </w:pPr>
    </w:p>
    <w:p>
      <w:pPr>
        <w:ind w:right="120" w:firstLine="259"/>
        <w:spacing w:after="0" w:line="254"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5" w:name="page36"/>
    <w:bookmarkEnd w:id="35"/>
    <w:p>
      <w:pPr>
        <w:ind w:firstLine="259"/>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nine months ended September 30, 2015 and 2014. All shares issued to stockholders in the tables below are newly issued shares.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3, 2014</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2014</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 2015</w:t>
            </w:r>
          </w:p>
        </w:tc>
        <w:tc>
          <w:tcPr>
            <w:tcW w:w="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2015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31, 2015</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 2015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7, 2015</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June 30, 2015</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August 3, 2015</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2013</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13, 2014</w:t>
            </w:r>
          </w:p>
        </w:tc>
        <w:tc>
          <w:tcPr>
            <w:tcW w:w="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2014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31, 2014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 2014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6, 2014</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June 30, 2014</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August 1, 2014</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1,131,275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0"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76"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9"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62"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The Company 10b5-1 Plan expired in accordance with its terms on June 30, 2015. On August 4, 2015, the Board authorized the Company to enter into a new stock repurchase plan, on substantially the same terms as the prior stock repurchase plan. Unless extended or terminated by the Board, the Company 10b5-1 Plan will be in effect through the earlier of February 29, 2016 or such time as the approved $50 million repurchase amount has been fully utilized, subject to certain conditions.</w:t>
      </w:r>
    </w:p>
    <w:p>
      <w:pPr>
        <w:spacing w:after="0" w:line="180"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2015, 2,000 shares were repurchased under the Company 10b5-1 Plan. No shares were repurchased under the Company 10b5-1 Plan during the three or nine months ended September 30, 2014.</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36" w:name="page37"/>
    <w:bookmarkEnd w:id="36"/>
    <w:p>
      <w:pPr>
        <w:ind w:left="280" w:hanging="272"/>
        <w:spacing w:after="0"/>
        <w:tabs>
          <w:tab w:leader="none" w:pos="2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56"/>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Borders>
              <w:top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2015</w:t>
            </w:r>
          </w:p>
        </w:tc>
        <w:tc>
          <w:tcPr>
            <w:tcW w:w="13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3"/>
                <w:szCs w:val="13"/>
                <w:color w:val="auto"/>
              </w:rPr>
            </w:pPr>
          </w:p>
        </w:tc>
        <w:tc>
          <w:tcPr>
            <w:tcW w:w="1380" w:type="dxa"/>
            <w:vAlign w:val="bottom"/>
            <w:tcBorders>
              <w:top w:val="single" w:sz="8" w:color="auto"/>
            </w:tcBorders>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2015</w:t>
            </w:r>
          </w:p>
        </w:tc>
        <w:tc>
          <w:tcPr>
            <w:tcW w:w="140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2014</w:t>
            </w:r>
          </w:p>
        </w:tc>
        <w:tc>
          <w:tcPr>
            <w:tcW w:w="120" w:type="dxa"/>
            <w:vAlign w:val="bottom"/>
          </w:tcPr>
          <w:p>
            <w:pPr>
              <w:spacing w:after="0"/>
              <w:rPr>
                <w:sz w:val="13"/>
                <w:szCs w:val="13"/>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67,910</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54,017,302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53,493,026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53,969,423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49,427,943</w:t>
            </w:r>
          </w:p>
        </w:tc>
        <w:tc>
          <w:tcPr>
            <w:tcW w:w="120" w:type="dxa"/>
            <w:vAlign w:val="bottom"/>
          </w:tcPr>
          <w:p>
            <w:pPr>
              <w:spacing w:after="0"/>
              <w:rPr>
                <w:sz w:val="20"/>
                <w:szCs w:val="20"/>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42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closing price of the Company’s common stock for the three months ended September 30, 2015 was less than the conversion price for the Convertible Senior Notes outstanding as of September 30, 2015. Therefore, for all periods presented in the financial statements, the underlying shares for the intrinsic value of the embedded options in the Convertible Senior Notes have no impact on the computation of diluted earnings per common share.</w:t>
      </w:r>
    </w:p>
    <w:p>
      <w:pPr>
        <w:spacing w:after="0" w:line="365"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dividends declared during the nine months ended September 30, 2015 and 2014:</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40" w:type="dxa"/>
            <w:vAlign w:val="bottom"/>
            <w:gridSpan w:val="3"/>
            <w:vMerge w:val="continue"/>
          </w:tcPr>
          <w:p>
            <w:pPr>
              <w:spacing w:after="0"/>
              <w:rPr>
                <w:sz w:val="13"/>
                <w:szCs w:val="13"/>
                <w:color w:val="auto"/>
              </w:rPr>
            </w:pPr>
          </w:p>
        </w:tc>
        <w:tc>
          <w:tcPr>
            <w:tcW w:w="1820" w:type="dxa"/>
            <w:vAlign w:val="bottom"/>
            <w:gridSpan w:val="3"/>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40" w:type="dxa"/>
            <w:vAlign w:val="bottom"/>
          </w:tcPr>
          <w:p>
            <w:pPr>
              <w:spacing w:after="0"/>
              <w:rPr>
                <w:sz w:val="13"/>
                <w:szCs w:val="13"/>
                <w:color w:val="auto"/>
              </w:rPr>
            </w:pPr>
          </w:p>
        </w:tc>
        <w:tc>
          <w:tcPr>
            <w:tcW w:w="1700" w:type="dxa"/>
            <w:vAlign w:val="bottom"/>
            <w:gridSpan w:val="2"/>
          </w:tcPr>
          <w:p>
            <w:pPr>
              <w:ind w:left="360"/>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24, 2015</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2015</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30, 2015</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2015</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June 30, 2015</w:t>
            </w:r>
          </w:p>
        </w:tc>
        <w:tc>
          <w:tcPr>
            <w:tcW w:w="4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July 31, 2015</w:t>
            </w:r>
          </w:p>
        </w:tc>
        <w:tc>
          <w:tcPr>
            <w:tcW w:w="2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5, 2015</w:t>
            </w:r>
          </w:p>
        </w:tc>
        <w:tc>
          <w:tcPr>
            <w:tcW w:w="1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September 30, 2015</w:t>
            </w:r>
          </w:p>
        </w:tc>
        <w:tc>
          <w:tcPr>
            <w:tcW w:w="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October 30, 2015</w:t>
            </w:r>
          </w:p>
        </w:tc>
        <w:tc>
          <w:tcPr>
            <w:tcW w:w="2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Date Declared</w:t>
            </w:r>
          </w:p>
        </w:tc>
        <w:tc>
          <w:tcPr>
            <w:tcW w:w="40" w:type="dxa"/>
            <w:vAlign w:val="bottom"/>
          </w:tcPr>
          <w:p>
            <w:pPr>
              <w:spacing w:after="0"/>
              <w:rPr>
                <w:sz w:val="13"/>
                <w:szCs w:val="13"/>
                <w:color w:val="auto"/>
              </w:rPr>
            </w:pPr>
          </w:p>
        </w:tc>
        <w:tc>
          <w:tcPr>
            <w:tcW w:w="1820" w:type="dxa"/>
            <w:vAlign w:val="bottom"/>
            <w:gridSpan w:val="3"/>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40" w:type="dxa"/>
            <w:vAlign w:val="bottom"/>
          </w:tcPr>
          <w:p>
            <w:pPr>
              <w:spacing w:after="0"/>
              <w:rPr>
                <w:sz w:val="13"/>
                <w:szCs w:val="13"/>
                <w:color w:val="auto"/>
              </w:rPr>
            </w:pPr>
          </w:p>
        </w:tc>
        <w:tc>
          <w:tcPr>
            <w:tcW w:w="170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26, 2014</w:t>
            </w:r>
          </w:p>
        </w:tc>
        <w:tc>
          <w:tcPr>
            <w:tcW w:w="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March 31, 2014</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April 30, 2014</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6, 2014</w:t>
            </w:r>
          </w:p>
        </w:tc>
        <w:tc>
          <w:tcPr>
            <w:tcW w:w="1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June 30, 2014</w:t>
            </w:r>
          </w:p>
        </w:tc>
        <w:tc>
          <w:tcPr>
            <w:tcW w:w="4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July 31, 2014</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4, 2014</w:t>
            </w:r>
          </w:p>
        </w:tc>
        <w:tc>
          <w:tcPr>
            <w:tcW w:w="1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September 30, 2014</w:t>
            </w:r>
          </w:p>
        </w:tc>
        <w:tc>
          <w:tcPr>
            <w:tcW w:w="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October 31, 2014</w:t>
            </w:r>
          </w:p>
        </w:tc>
        <w:tc>
          <w:tcPr>
            <w:tcW w:w="2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dividends declared during the nine months ended September 30, 2015 and 2014 were derived from net investment income, determined on a tax basis.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21" w:lineRule="exact"/>
        <w:rPr>
          <w:sz w:val="20"/>
          <w:szCs w:val="20"/>
          <w:color w:val="auto"/>
        </w:rPr>
      </w:pPr>
    </w:p>
    <w:p>
      <w:pPr>
        <w:ind w:right="440" w:firstLine="259"/>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nine months ended September 30, 2015 and 2014.</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6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tcPr>
          <w:p>
            <w:pPr>
              <w:spacing w:after="0"/>
              <w:rPr>
                <w:sz w:val="20"/>
                <w:szCs w:val="20"/>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realized and unrealized loss </w:t>
            </w:r>
            <w:r>
              <w:rPr>
                <w:rFonts w:ascii="Times New Roman" w:cs="Times New Roman" w:eastAsia="Times New Roman" w:hAnsi="Times New Roman"/>
                <w:sz w:val="15"/>
                <w:szCs w:val="15"/>
                <w:color w:val="auto"/>
              </w:rPr>
              <w:t>(1)</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from operations</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Issuance of common stock, net of offering costs </w:t>
            </w:r>
            <w:r>
              <w:rPr>
                <w:rFonts w:ascii="Times New Roman" w:cs="Times New Roman" w:eastAsia="Times New Roman" w:hAnsi="Times New Roman"/>
                <w:sz w:val="15"/>
                <w:szCs w:val="15"/>
                <w:color w:val="auto"/>
              </w:rPr>
              <w:t>(1)</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Dividends declared from net investment income </w:t>
            </w: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15"/>
                <w:szCs w:val="15"/>
                <w:color w:val="auto"/>
              </w:rPr>
              <w:t>(3)(5)</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15"/>
                <w:szCs w:val="15"/>
                <w:color w:val="auto"/>
              </w:rPr>
              <w:t>(4)(5)</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54,025,547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53,566,783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 / Supplemental Data</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Ratio of net expenses to average net assets </w:t>
            </w:r>
            <w:r>
              <w:rPr>
                <w:rFonts w:ascii="Times New Roman" w:cs="Times New Roman" w:eastAsia="Times New Roman" w:hAnsi="Times New Roman"/>
                <w:sz w:val="15"/>
                <w:szCs w:val="15"/>
                <w:color w:val="auto"/>
              </w:rPr>
              <w:t>(5)</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 to average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net assets </w:t>
            </w:r>
            <w:r>
              <w:rPr>
                <w:rFonts w:ascii="Times New Roman" w:cs="Times New Roman" w:eastAsia="Times New Roman" w:hAnsi="Times New Roman"/>
                <w:sz w:val="15"/>
                <w:szCs w:val="15"/>
                <w:color w:val="auto"/>
              </w:rPr>
              <w:t>(5)</w:t>
            </w: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Portfolio turnover </w:t>
            </w:r>
            <w:r>
              <w:rPr>
                <w:rFonts w:ascii="Times New Roman" w:cs="Times New Roman" w:eastAsia="Times New Roman" w:hAnsi="Times New Roman"/>
                <w:sz w:val="15"/>
                <w:szCs w:val="15"/>
                <w:color w:val="auto"/>
              </w:rPr>
              <w:t>(5)</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29.08%</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843,972</w:t>
            </w:r>
          </w:p>
        </w:tc>
        <w:tc>
          <w:tcPr>
            <w:tcW w:w="180" w:type="dxa"/>
            <w:vAlign w:val="bottom"/>
          </w:tcPr>
          <w:p>
            <w:pPr>
              <w:spacing w:after="0"/>
              <w:rPr>
                <w:sz w:val="20"/>
                <w:szCs w:val="20"/>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20" w:right="180" w:hanging="512"/>
        <w:spacing w:after="0" w:line="250"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w:t>
      </w:r>
    </w:p>
    <w:p>
      <w:pPr>
        <w:ind w:left="520" w:right="540" w:hanging="512"/>
        <w:spacing w:after="0" w:line="250"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reflect an annualized amount.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right="6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38" w:name="page39"/>
    <w:bookmarkEnd w:id="38"/>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20" w:hanging="25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520" w:hanging="255"/>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shares are currently listed on the NYSE under the symbol “TSLX.”</w:t>
      </w:r>
    </w:p>
    <w:p>
      <w:pPr>
        <w:spacing w:after="0" w:line="22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On August 4, 2015, our Board authorized us to enter into a new stock repurchase plan, the Company 10b5-1 Plan, to acquire up to $50 million in the aggregate of our common stock at prices just below our net asset value over a specified period, in accordance with the guidelines specified in Rule 10b-18 and Rule 10b5-1 of the Exchange Act, on substantially the same terms as our prior stock repurchase plan, which expired in accordance with its terms on June 30, 2015.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 Unless extended or terminated by the Board, the Company 10b5-1 Plan will be in effect through the earlier of February 29, 2016 or such time as the approved $50 million repurchase amount has been fully utilized, subject to certain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September 30, 2015, we have originated more than $3.9 billion aggregate principal amount of investments and retained approximately $2.6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84"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2015, our core portfolio companies, which excludes certain investments that fall outside of our typical borrower profile, had weighted average annual revenue of $139.0 million and weighted average annual EBITDA of $32.0 million.</w:t>
      </w:r>
    </w:p>
    <w:p>
      <w:pPr>
        <w:spacing w:after="0" w:line="180"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2015, our average investment size in each of our portfolio companies was approximately $31.7 million.</w:t>
      </w:r>
    </w:p>
    <w:p>
      <w:pPr>
        <w:spacing w:after="0" w:line="225"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2015, no industry represented more than 15.8% of our total investment portfolio.</w:t>
      </w:r>
    </w:p>
    <w:p>
      <w:pPr>
        <w:spacing w:after="0" w:line="223"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September 30, 2015, 95.8%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was invested in secured debt, including 87.0%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2015, the weighted average term on new investment commitments in new portfolio companies was 5.1 years.</w:t>
      </w:r>
    </w:p>
    <w:p>
      <w:pPr>
        <w:spacing w:after="0" w:line="183" w:lineRule="exact"/>
        <w:rPr>
          <w:sz w:val="20"/>
          <w:szCs w:val="20"/>
          <w:color w:val="auto"/>
        </w:rPr>
      </w:pPr>
    </w:p>
    <w:p>
      <w:pPr>
        <w:ind w:right="36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jc w:val="both"/>
        <w:ind w:right="16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September 30, 2015, we had call protection on 90.0% of our debt investments, with weighted average call prices of 106.7% for the first year, 103.4% for the second year and 101.6% for the third year, in each case from the date of the initial investment. As of September 30, 2015, 94.9% of our debt investments bore interest at floating rates, subject to interest rate floors, which we believe helps act as a portfolio-wide hedge against inflation.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TSSP and TPG</w:t>
      </w:r>
    </w:p>
    <w:p>
      <w:pPr>
        <w:spacing w:after="0" w:line="121"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Special Situations Partners, or TSSP.</w:t>
      </w:r>
    </w:p>
    <w:p>
      <w:pPr>
        <w:spacing w:after="0" w:line="188"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TSSP, with over $12 billion of assets under management,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Twenty seven (27) of these personnel are dedicated to our business, including 19 investment professionals.</w:t>
      </w:r>
    </w:p>
    <w:p>
      <w:pPr>
        <w:spacing w:after="0" w:line="189"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4"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ind w:right="80"/>
        <w:spacing w:after="0" w:line="261" w:lineRule="auto"/>
        <w:rPr>
          <w:sz w:val="20"/>
          <w:szCs w:val="20"/>
          <w:color w:val="auto"/>
        </w:rPr>
      </w:pPr>
      <w:r>
        <w:rPr>
          <w:rFonts w:ascii="Times New Roman" w:cs="Times New Roman" w:eastAsia="Times New Roman" w:hAnsi="Times New Roman"/>
          <w:sz w:val="18"/>
          <w:szCs w:val="18"/>
          <w:color w:val="auto"/>
        </w:rPr>
        <w:t>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460" w:firstLine="259"/>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September 30, 2015, 94.9% bear interest at a floating rate, subject to interest rate floors. Interest on debt investments is generally payable quarterly or semiannually. Some of our investments provide for deferred interest payments or PIK interest. For the nine months ended September 30, 2015, less than 3.0% of our total investment income was comprised of PIK interest.</w:t>
      </w:r>
    </w:p>
    <w:p>
      <w:pPr>
        <w:spacing w:after="0" w:line="184"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5" w:lineRule="exact"/>
        <w:rPr>
          <w:sz w:val="20"/>
          <w:szCs w:val="20"/>
          <w:color w:val="auto"/>
        </w:rPr>
      </w:pPr>
    </w:p>
    <w:p>
      <w:pPr>
        <w:ind w:right="220" w:firstLine="259"/>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4"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1" w:name="page42"/>
    <w:bookmarkEnd w:id="4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76" w:lineRule="exact"/>
        <w:rPr>
          <w:sz w:val="20"/>
          <w:szCs w:val="20"/>
          <w:color w:val="auto"/>
        </w:rPr>
      </w:pPr>
    </w:p>
    <w:p>
      <w:pPr>
        <w:ind w:right="480" w:firstLine="259"/>
        <w:spacing w:after="0" w:line="282" w:lineRule="auto"/>
        <w:rPr>
          <w:sz w:val="20"/>
          <w:szCs w:val="20"/>
          <w:color w:val="auto"/>
        </w:rPr>
      </w:pPr>
      <w:r>
        <w:rPr>
          <w:rFonts w:ascii="Times New Roman" w:cs="Times New Roman" w:eastAsia="Times New Roman" w:hAnsi="Times New Roman"/>
          <w:sz w:val="18"/>
          <w:szCs w:val="18"/>
          <w:color w:val="auto"/>
        </w:rPr>
        <w:t>Dividend income 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420" w:firstLine="259"/>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460" w:hanging="255"/>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20" w:hanging="255"/>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20" w:right="320" w:hanging="255"/>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2" w:name="page43"/>
    <w:bookmarkEnd w:id="42"/>
    <w:p>
      <w:pPr>
        <w:ind w:left="520" w:hanging="25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as defined in the 1940 Act. In any period, our interest expense will depend largely on the extent of our borrowing and we expect interest expense will increase as we increase leverage over time within the limits of the 1940 Act. In addition, we may continue to dedicate assets to financing facilities.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62"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76"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As of September 30, 2015, our portfolio consisted of 87.0% first-lien debt investments, 8.8% second-lien debt investments, 1.9% mezzanine and unsecured debt investments and 2.3% equity and other investments. As of December 31, 2014, our portfolio consisted of 89.0% first-lien debt investments, 8.8% second-lien debt investments, 1.0% mezzanine and unsecured debt investments, and 1.2% equity and other investments.</w:t>
      </w:r>
    </w:p>
    <w:p>
      <w:pPr>
        <w:spacing w:after="0" w:line="176"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As of September 30, 2015 and December 31, 2014, our weighted average total yield of debt and income producing securities at fair value (which includes interest income and amortization of fees and discounts) was 10.5% and 10.3%, respectively, and our weighted average total yield of debt and income producing securities at amortized cost (which includes interest income and amortization of fees and discounts) was 10.5% and 10.3%, respectively.</w:t>
      </w:r>
    </w:p>
    <w:p>
      <w:pPr>
        <w:spacing w:after="0" w:line="176"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2015 and December 31, 2014, we had investments in 44 and 34 portfolio companies, respectively, with an aggregate fair value of $1,396.4 million and $1,263.5 million, respectively.</w:t>
      </w:r>
    </w:p>
    <w:p>
      <w:pPr>
        <w:spacing w:after="0" w:line="162"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2015, we made new investment commitments of $184.8 million, $160.9 million to six new portfolio companies and $23.9 million to five existing portfolio companies. For this period, we had $148.4 million aggregate principal amount in exits and repayments, resulting in a net portfolio increase of $15.8 million aggregate principal amount.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3" w:name="page44"/>
    <w:bookmarkEnd w:id="43"/>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2014, we made new investment commitments of $248.6 million, $216.9 million to four new portfolio companies and $31.7 million to four existing portfolio companies. For this period, we had $109.6 million aggregate principal amount in exits and repayments, resulting in a net portfolio increase of $114.4 million aggregate principal amount.</w:t>
      </w:r>
    </w:p>
    <w:p>
      <w:pPr>
        <w:spacing w:after="0" w:line="176"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September 30, 2015 and 2014 is presented below (information presented herein is at par value unless otherwise indicated).</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4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44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2015</w:t>
            </w:r>
          </w:p>
        </w:tc>
        <w:tc>
          <w:tcPr>
            <w:tcW w:w="40" w:type="dxa"/>
            <w:vAlign w:val="bottom"/>
          </w:tcPr>
          <w:p>
            <w:pPr>
              <w:spacing w:after="0"/>
              <w:rPr>
                <w:sz w:val="13"/>
                <w:szCs w:val="13"/>
                <w:color w:val="auto"/>
              </w:rPr>
            </w:pPr>
          </w:p>
        </w:tc>
        <w:tc>
          <w:tcPr>
            <w:tcW w:w="1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4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originations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00" w:type="dxa"/>
            <w:vAlign w:val="bottom"/>
          </w:tcPr>
          <w:p>
            <w:pPr>
              <w:spacing w:after="0"/>
              <w:rPr>
                <w:sz w:val="19"/>
                <w:szCs w:val="19"/>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Pr>
          <w:p>
            <w:pPr>
              <w:spacing w:after="0"/>
              <w:rPr>
                <w:sz w:val="19"/>
                <w:szCs w:val="19"/>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 and unsecured</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tcPr>
          <w:p>
            <w:pPr>
              <w:spacing w:after="0"/>
              <w:rPr>
                <w:sz w:val="19"/>
                <w:szCs w:val="19"/>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 and unsecured</w:t>
            </w:r>
          </w:p>
        </w:tc>
        <w:tc>
          <w:tcPr>
            <w:tcW w:w="4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1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4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91.1%</w:t>
            </w:r>
          </w:p>
        </w:tc>
        <w:tc>
          <w:tcPr>
            <w:tcW w:w="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4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7"/>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7"/>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sold or paid down</w:t>
            </w:r>
          </w:p>
        </w:tc>
        <w:tc>
          <w:tcPr>
            <w:tcW w:w="4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2015 and December 31, 2014, our investments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 in millions)</w:t>
            </w:r>
          </w:p>
        </w:tc>
        <w:tc>
          <w:tcPr>
            <w:tcW w:w="1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1,127.2</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1,396.4</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1,273.2</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44" w:name="page45"/>
    <w:bookmarkEnd w:id="44"/>
    <w:p>
      <w:pPr>
        <w:ind w:left="260"/>
        <w:spacing w:after="0"/>
        <w:rPr>
          <w:sz w:val="20"/>
          <w:szCs w:val="20"/>
          <w:color w:val="auto"/>
        </w:rPr>
      </w:pPr>
      <w:r>
        <w:rPr>
          <w:rFonts w:ascii="Times New Roman" w:cs="Times New Roman" w:eastAsia="Times New Roman" w:hAnsi="Times New Roman"/>
          <w:sz w:val="18"/>
          <w:szCs w:val="18"/>
          <w:color w:val="auto"/>
        </w:rPr>
        <w:t>The following table shows the amortized cost of our performing and non-accrual investments as of September 30, 2015 and December 31, 2014:</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CFF0FC"/>
            </w:tcBorders>
            <w:vMerge w:val="continue"/>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15"/>
                <w:szCs w:val="15"/>
                <w:color w:val="auto"/>
              </w:rPr>
              <w:t>(1)</w:t>
            </w:r>
          </w:p>
        </w:tc>
        <w:tc>
          <w:tcPr>
            <w:tcW w:w="1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1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20" w:hanging="512"/>
        <w:spacing w:after="0" w:line="258"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97"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September 30, 2015 and December 31, 2014 were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05"/>
        </w:trPr>
        <w:tc>
          <w:tcPr>
            <w:tcW w:w="52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1"/>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spread over LIBOR of all floating</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investments</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bl>
    <w:p>
      <w:pPr>
        <w:spacing w:after="0" w:line="225"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5"/>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20" w:hanging="255"/>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520" w:right="20" w:hanging="255"/>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68" w:lineRule="exact"/>
        <w:rPr>
          <w:rFonts w:ascii="Times New Roman" w:cs="Times New Roman" w:eastAsia="Times New Roman" w:hAnsi="Times New Roman"/>
          <w:sz w:val="18"/>
          <w:szCs w:val="18"/>
          <w:color w:val="auto"/>
        </w:rPr>
      </w:pPr>
    </w:p>
    <w:p>
      <w:pPr>
        <w:ind w:left="520" w:right="260" w:hanging="255"/>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68" w:lineRule="exact"/>
        <w:rPr>
          <w:rFonts w:ascii="Times New Roman" w:cs="Times New Roman" w:eastAsia="Times New Roman" w:hAnsi="Times New Roman"/>
          <w:sz w:val="18"/>
          <w:szCs w:val="18"/>
          <w:color w:val="auto"/>
        </w:rPr>
      </w:pPr>
    </w:p>
    <w:p>
      <w:pPr>
        <w:ind w:left="520" w:hanging="255"/>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8" w:right="259" w:bottom="1440" w:gutter="0" w:footer="0" w:header="0"/>
        </w:sectPr>
      </w:pPr>
    </w:p>
    <w:bookmarkStart w:id="45" w:name="page46"/>
    <w:bookmarkEnd w:id="45"/>
    <w:p>
      <w:pPr>
        <w:ind w:left="520" w:right="240" w:hanging="255"/>
        <w:spacing w:after="0" w:line="258"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75" w:lineRule="exact"/>
        <w:rPr>
          <w:rFonts w:ascii="Times New Roman" w:cs="Times New Roman" w:eastAsia="Times New Roman" w:hAnsi="Times New Roman"/>
          <w:sz w:val="18"/>
          <w:szCs w:val="18"/>
          <w:color w:val="auto"/>
        </w:rPr>
      </w:pPr>
    </w:p>
    <w:p>
      <w:pPr>
        <w:ind w:left="520" w:right="140" w:hanging="255"/>
        <w:spacing w:after="0" w:line="261"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0"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September 30, 2015 and December 31, 2014. Investment performance ratings are accurate only as of those dates and may change due to subsequent developments relating to a portfolio company’s business or financial condition, market conditions or developments, and other factors.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left="128"/>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gridSpan w:val="4"/>
          </w:tcPr>
          <w:p>
            <w:pPr>
              <w:jc w:val="center"/>
              <w:ind w:right="76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7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Rating</w:t>
            </w:r>
          </w:p>
        </w:tc>
        <w:tc>
          <w:tcPr>
            <w:tcW w:w="2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w w:val="99"/>
              </w:rPr>
              <w:t>Total Portfolio</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740" w:type="dxa"/>
            <w:vAlign w:val="bottom"/>
            <w:shd w:val="clear" w:color="auto" w:fill="CFF0FC"/>
          </w:tcPr>
          <w:p>
            <w:pPr>
              <w:jc w:val="right"/>
              <w:ind w:right="58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0"/>
        </w:trPr>
        <w:tc>
          <w:tcPr>
            <w:tcW w:w="2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1,396.4</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tcPr>
          <w:p>
            <w:pPr>
              <w:jc w:val="right"/>
              <w:ind w:right="58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2015 and 2014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 in millions)</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8"/>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4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4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4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losses</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84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Net increase in net assets resulting from</w:t>
            </w: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8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640" w:type="dxa"/>
            <w:vAlign w:val="bottom"/>
            <w:gridSpan w:val="3"/>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0"/>
                <w:szCs w:val="20"/>
                <w:color w:val="auto"/>
              </w:rPr>
            </w:pPr>
          </w:p>
        </w:tc>
        <w:tc>
          <w:tcPr>
            <w:tcW w:w="5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4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 in millions)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4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5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50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gridSpan w:val="2"/>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w:t>
            </w:r>
          </w:p>
        </w:tc>
        <w:tc>
          <w:tcPr>
            <w:tcW w:w="1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$35.0 million for the three months ended September 30, 2014 to $45.5 million for the three months ended September 30, 2015. The average size of our investment portfolio increased from $1.2 billion during the three months ended September 30, 2014 to $1.4 billion during the three months ended September 30, 2015. In addition, accelerated amortization of upfront fees primarily from unscheduled paydowns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6" w:name="page47"/>
    <w:bookmarkEnd w:id="46"/>
    <w:p>
      <w:pPr>
        <w:ind w:right="100"/>
        <w:spacing w:after="0" w:line="255" w:lineRule="auto"/>
        <w:rPr>
          <w:sz w:val="20"/>
          <w:szCs w:val="20"/>
          <w:color w:val="auto"/>
        </w:rPr>
      </w:pPr>
      <w:r>
        <w:rPr>
          <w:rFonts w:ascii="Times New Roman" w:cs="Times New Roman" w:eastAsia="Times New Roman" w:hAnsi="Times New Roman"/>
          <w:sz w:val="18"/>
          <w:szCs w:val="18"/>
          <w:color w:val="auto"/>
        </w:rPr>
        <w:t>increased from $3.2 million for the three months ended September 30, 2014 to $3.8 million for the three months ended September 30, 2015. Prepayment fees increased from $2.3 million for the three months ended September 30, 2014 to $5.3 million for the three months ended September 30, 2015. The accelerated amortization and prepayment fees primarily resulted from full paydowns on four portfolio investments and the expiration of one unfunded commitment during the three months ended September 30, 2014 and full paydowns on four portfolio investments and earning a prepayment fee on one existing portfolio investment during the three months ended September 30, 2015. Dividend income for the three months ended September 30, 2015 was $0.5 million. We did not have dividend income for the three months ended September 30, 2014. Other income decreased from $3.4 million for the three months ended September 30, 2014 to $0.8 million for the three months ended September 30, 2015, primarily due to higher syndication, amendment and agency fees earned during the third quarter of 2014.</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$110.9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to $124.5 million for the nine months ended September 30, 2015, primarily due to the increase in the size of our portfolio. The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size of our total investment portfolio increased from $1.1 billion during the nine months ended September 30, 2014 to $1.3 billion during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2015. In addition, accelerated amortization of upfront fees primarily from unscheduled paydowns decreased from $7.7 million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2014 to $5.7 million for the nine months ended September 30, 2015; and prepayment fees increased from $14.2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 months ended September 30, 2014 to $15.1 million for the nine months ended September 30, 2015. The accelerated amortization and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primarily resulted from full paydowns on ten portfolio investments and the expiration of one unfunded commitment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and from full paydowns on seven portfolio investments, a partial paydown on one portfolio investment and earning prepayment fees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existing portfolio investments during the nine months ended September 30, 2015. Dividend income for the nine months ended September 30, 2015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We did not have dividend income for the nine months ended September 30, 2014. Other income decreased from $6.6 million for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2014 to $4.9 million for the nine months ended September 30, 2015, primarily due to higher syndication, amendment and agency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during 2014.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2015 and 2014 were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820" w:type="dxa"/>
            <w:vAlign w:val="bottom"/>
          </w:tcPr>
          <w:p>
            <w:pPr>
              <w:spacing w:after="0"/>
              <w:rPr>
                <w:sz w:val="15"/>
                <w:szCs w:val="15"/>
                <w:color w:val="auto"/>
              </w:rPr>
            </w:pPr>
          </w:p>
        </w:tc>
        <w:tc>
          <w:tcPr>
            <w:tcW w:w="246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460" w:type="dxa"/>
            <w:vAlign w:val="bottom"/>
            <w:tcBorders>
              <w:bottom w:val="single" w:sz="8" w:color="CFF0FC"/>
            </w:tcBorders>
            <w:vMerge w:val="continue"/>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income (net of waivers)</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820" w:type="dxa"/>
            <w:vAlign w:val="bottom"/>
          </w:tcPr>
          <w:p>
            <w:pPr>
              <w:spacing w:after="0"/>
              <w:rPr>
                <w:sz w:val="19"/>
                <w:szCs w:val="19"/>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Interest, including other debt financing expenses, increased from $3.8 million for the three months ended September 30, 2014 to $8.0 million for the three months ended September 30, 2015. This increase was primarily due to an increase in the weighted average debt outstanding from $318 million for the three months ended September 30, 2014 to $557 million for the three months ended September 30, 2015 and the acceleration of deferred financing costs related to the termination of the SPV Asset Facility on September 25, 2015. This increase in the weighted average debt outstanding was partially offset by a decrease in the average interest rate on our debt outstanding from 2.7% for the three months ended September 30, 2014 to 2.6% for the three months ended September 30, 2015.</w:t>
      </w:r>
    </w:p>
    <w:p>
      <w:pPr>
        <w:spacing w:after="0" w:line="188"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Interest, including other debt financing expenses, increased from $11.1 million for the nine months ended September 30, 2014 to $16.9 million for the nine months ended September 30, 2015. This increase was primarily due to an increase in the average debt outstanding from $381 million for the nine months ended September 30, 2014 to $504 million for the nine months ended September 30, 2015. The average interest rate on our debt outstanding remained flat at 2.6% for the nine months ended September 30, 2014 and the nine months ended September 30, 2015.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Management Fees (net of waivers) increased from $4.7 million for the three months ended September 30, 2014 to $5.4 million for the three months ended September 30, 2015. Management Fees increased from $4.7 million for the three months ended September 30, 2014 to $5.5 million for the three months ended September 30, 2015 due to the increase in total assets, which increased from an average of $1.2 billion for the three months ended September 30, 2014 to an average of $1.4 billion for the three months ended September 30, 2015. Management Fees waived were $20.7 thousand for the three months ended September 30, 2015, consisting solely of Management Fees attributable to our ownership of shares of common stock in TICC Capital Corp., or the TICC Shares; no management fees were waived for the three months ended September 30, 2014, as we did not hold any TICC Shares during the period.</w:t>
      </w:r>
    </w:p>
    <w:p>
      <w:pPr>
        <w:spacing w:after="0" w:line="188" w:lineRule="exact"/>
        <w:rPr>
          <w:sz w:val="20"/>
          <w:szCs w:val="20"/>
          <w:color w:val="auto"/>
        </w:rPr>
      </w:pPr>
    </w:p>
    <w:p>
      <w:pPr>
        <w:ind w:right="240" w:firstLine="259"/>
        <w:spacing w:after="0" w:line="256" w:lineRule="auto"/>
        <w:rPr>
          <w:sz w:val="20"/>
          <w:szCs w:val="20"/>
          <w:color w:val="auto"/>
        </w:rPr>
      </w:pPr>
      <w:r>
        <w:rPr>
          <w:rFonts w:ascii="Times New Roman" w:cs="Times New Roman" w:eastAsia="Times New Roman" w:hAnsi="Times New Roman"/>
          <w:sz w:val="18"/>
          <w:szCs w:val="18"/>
          <w:color w:val="auto"/>
        </w:rPr>
        <w:t>Management Fees (net of waivers) increased from $10.9 million for the nine months ended September 30, 2014 to $15.6 million for the nine months ended September 30, 2015. Management Fees increased from $13.4 million for the nine months ended September 30, 2014 to $15.7 million for the nine months ended September 30, 2015 due to the increase in total assets, which increased from an average of $1.2 billion for the nine months ended September 30, 2014 to an average of $1.4 billion for the nine months ended September 30, 2015. Management Fees waived for the nine months ended September 30, 2014 were $2.5 million. Management Fees waived for the nine months ended September 30, 2015 were $20.7 thousand, consisting solely of Management Fees attributable to our ownership of the TICC Shares.</w:t>
      </w:r>
    </w:p>
    <w:p>
      <w:pPr>
        <w:spacing w:after="0" w:line="188"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In addition, the Adviser has voluntarily waived the Management Fee on our ownership of the TICC Shares for the period that TICC Capital Corp. remains our portfolio company.</w:t>
      </w:r>
    </w:p>
    <w:p>
      <w:pPr>
        <w:spacing w:after="0" w:line="180"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and there can be no assurance that the Adviser will continue to waive Management Fees related to the TICC Shares. Accordingly, we may be required to continue to pay the full amount of the Management Fee, including with respect to the TICC Shares, in future periods.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Incentive Fees (net of waivers) related to pre-Incentive Fee net investment income increased from $4.7 million for the three months ended September 30, 2014 to $5.0 million for the three months ended September 30, 2015. This increase resulted from the increase in prepayment fees and accelerated amortization of upfront fees primarily from unscheduled paydowns. For the three months ended September 30, 2015, Incentive Fees related to pre-Incentive Fee net investment income of $82.9 thousand were waived, consisting solely of Incentive Fees attributable to our ownership of the TICC Shares. There were no Incentive Fees related to pre-Incentive Fee net investment income waived for the three months ended September 30, 2014, as we did not hold any TICC Shares during the period. Incentive Fees related to capital gains and losses decreased from ($0.6) million for the three months ended September 30, 2014 to ($2.0) million for the three months ended September 30, 2015 primarily due to changes in unrealized gains and losses on our investments, unrealized gains and losses on our interest rate swaps and unrealized gains and losses on the translation of our foreign currency debt.</w:t>
      </w:r>
    </w:p>
    <w:p>
      <w:pPr>
        <w:spacing w:after="0" w:line="185"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Incentive Fees (net of waivers) related to pre-Incentive Fee net investment income increased from $14.8 million for the nine months ended September 30, 2014 to $15.1 million for the nine months ended September 30, 2015. This increase resulted from the increase in the size of the portfolio and related increase in pre-Incentive Fee net investment income. This increase also resulted from an increase in the Incentive Fee rate from 15% through March 31, 2014 to 17.5% beginning April 1, 2014 as a result of the consummation of our IPO. For the nine months ended September 30, 2015, Incentive Fees related to pre-Incentive Fee net investment income of $82.9 thousand were waived, consisting solely of Incentive Fees attributable to our ownership of the TICC Shares. There were no Incentive Fees related to pre-Incentive Fee net investment income waived for the nine months ended September 30, 2014, as we did not hold any TICC Shares during the period. Incentive Fees related to capital gains and losses were ($0.3) million for the nine months ended September 30, 2014. There were no Incentive Fees related to capital gains and losses for the nine months ended September 30, 2015 due to changes in unrealized gains and losses on our investments, realized gains and losses on our investments, realized and unrealized gains and losses on our interest rate swaps, realized and unrealized gains and losses on foreign currency forward contracts, and unrealized gains and losses on the translation of our foreign currency debt.</w:t>
      </w:r>
    </w:p>
    <w:p>
      <w:pPr>
        <w:spacing w:after="0" w:line="18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The Adviser has voluntarily waived the Incentive Fees attributable to pre-Incentive Fee net investment income accrued by us as a result of our ownership of the TICC Shares for the period that TICC Capital Corp. remains our portfolio company. The Adviser has not waived any part of the Incentive Fee related to capital gains and losses attributable to our ownership of the TICC Shares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accordingly, any realized capital gains or losses and unrealized capital depreciation with respect to the TICC Shares will be applied against the our cumulative realized capital gains on which the Incentive Fee related to capital gains and losses is calculated.</w:t>
      </w:r>
    </w:p>
    <w:p>
      <w:pPr>
        <w:spacing w:after="0" w:line="162"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Any waived Incentive Fees are not subject to recoupment by the Adviser. There can be no assurance that the Adviser will continue to waive any Incentive Fee related to the TICC Shares. Accordingly, we may be required to continue to pay the full amount of the Incentive Fee, including with respect to the TICC Shares, in future periods.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$1.0 million for the three months ended September 30, 2014 to $2.4 million for the three months ended September 30, 2015 and other general and administrative fees increased from $1.2 million for the three months ended September 30, 2014 to $1.6 million for the three months ended September 30, 2015, both due to an increase in costs associated with servicing a growing investment portfolio.</w:t>
      </w:r>
    </w:p>
    <w:p>
      <w:pPr>
        <w:spacing w:after="0" w:line="17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$3.4 million for the nine months ended September 30, 2014 to $4.9 million for the nine months ended September 30, 2015 and other general and administrative fees increased from $3.0 million for the nine months ended September 30, 2014 to $4.1 million for the nine months ended September 30, 2015, both due to an increase in costs associated with servicing a growing investment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4"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jc w:val="both"/>
        <w:ind w:right="460"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2015 and 2014, we recorded a net expense of $0.5 million and $0.4 million, respectively, for U.S. federal excise tax. For the nine months ended September 30, 2015 and 2014, we recorded a net expense of $1.3 million and $0.6 million, respectively, for U.S. federal excise tax.</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three and nine months ended September 30, 2015 and 2014:</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40" w:type="dxa"/>
            <w:vAlign w:val="bottom"/>
          </w:tcPr>
          <w:p>
            <w:pPr>
              <w:spacing w:after="0"/>
              <w:rPr>
                <w:sz w:val="15"/>
                <w:szCs w:val="15"/>
                <w:color w:val="auto"/>
              </w:rPr>
            </w:pPr>
          </w:p>
        </w:tc>
        <w:tc>
          <w:tcPr>
            <w:tcW w:w="24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CFF0FC"/>
            </w:tcBorders>
            <w:vMerge w:val="continue"/>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on interest rate swaps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 on foreign currency forward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 on foreign currency investments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realized gains on foreign currency borrowings</w:t>
            </w:r>
          </w:p>
        </w:tc>
        <w:tc>
          <w:tcPr>
            <w:tcW w:w="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losses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4"/>
                <w:szCs w:val="24"/>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Losses on Investments</w:t>
            </w:r>
          </w:p>
        </w:tc>
        <w:tc>
          <w:tcPr>
            <w:tcW w:w="5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vMerge w:val="continue"/>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vMerge w:val="continue"/>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vMerge w:val="continue"/>
          </w:tcPr>
          <w:p>
            <w:pPr>
              <w:spacing w:after="0"/>
              <w:rPr>
                <w:sz w:val="22"/>
                <w:szCs w:val="22"/>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2"/>
        </w:trPr>
        <w:tc>
          <w:tcPr>
            <w:tcW w:w="478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Unrealized appreciation on foreign currency</w:t>
            </w:r>
          </w:p>
        </w:tc>
        <w:tc>
          <w:tcPr>
            <w:tcW w:w="5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borrowings</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 (depreciation) on foreign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cash and forward contracts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appreciation (depreciation) on interest rate</w:t>
            </w: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swaps</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1"/>
        </w:trPr>
        <w:tc>
          <w:tcPr>
            <w:tcW w:w="478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on Foreign</w:t>
            </w:r>
          </w:p>
        </w:tc>
        <w:tc>
          <w:tcPr>
            <w:tcW w:w="5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 and Interest Rate Swaps</w:t>
            </w: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Losses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2015, we had net realized losses on investments of $5.0 million and $5.0 million, respectively, primarily related to two portfolio companies. For the nine months ended September 30, 2015, we had net realized gains on interest rate swaps of $1.9 million. We did not have realized gains or losses on interest rate swaps for the three months ended September 30, 2015. For the three and nine months ended September 30, 2015, we had net realized gains on foreign currency transactions of less than $0.1 million and net realized losses on foreign currency transactions of $0.2 million, respectively, primarily from translating foreign currency related to our non-USD denominated investments. For the three and nine months ended September 30, 2015, we had net realized foreign currency losses on non-USD investments of $0.1 million and $0.3 million, respectively. For the three and nine months ended September 30, 2015, we had net realized foreign currency gains on borrowings of $0.1 million and $0.3 million, respectively.</w:t>
      </w:r>
    </w:p>
    <w:p>
      <w:pPr>
        <w:spacing w:after="0" w:line="185"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2015, we had $7.1 million in unrealized appreciation on 7 portfolio company investments, which was offset by $21.7 million in unrealized depreciation on 33 portfolio company investments. For the nine months ended September 30, 2015, we had $12.2 million in unrealized appreciation on 16 portfolio company investments, which was offset by $17.8 million in unrealized depreciation on 26 portfolio company investments. Unrealized appreciation for the three and nine months ended September 30, 2015 resulted from an increase in fair market value, primarily due to positive valuation adjustments in the portfolio. Unrealized depreciation for the three and nine months ended September 30, 2015 primarily resulted from widening in credit spreads, the reversal of prior period unrealized appreciation and in some instances negative credit-related adjustments.</w:t>
      </w:r>
    </w:p>
    <w:p>
      <w:pPr>
        <w:spacing w:after="0" w:line="188" w:lineRule="exact"/>
        <w:rPr>
          <w:sz w:val="20"/>
          <w:szCs w:val="20"/>
          <w:color w:val="auto"/>
        </w:rPr>
      </w:pPr>
    </w:p>
    <w:p>
      <w:pPr>
        <w:ind w:firstLine="259"/>
        <w:spacing w:after="0" w:line="281" w:lineRule="auto"/>
        <w:rPr>
          <w:sz w:val="20"/>
          <w:szCs w:val="20"/>
          <w:color w:val="auto"/>
        </w:rPr>
      </w:pPr>
      <w:r>
        <w:rPr>
          <w:rFonts w:ascii="Times New Roman" w:cs="Times New Roman" w:eastAsia="Times New Roman" w:hAnsi="Times New Roman"/>
          <w:sz w:val="17"/>
          <w:szCs w:val="17"/>
          <w:color w:val="auto"/>
        </w:rPr>
        <w:t>For the three and nine months ended September 30, 2015, we had unrealized appreciation of $1.3 million and $4.5 million, respectively, on the translation of foreign currency borrowings, primarily as a result of fluctuations in the GBP, SEK and EUR exchange rates. For the three and nine months ended September 30, 2015, we had unrealized depreciation on foreign currency cash and forward contracts of $0.1 million and less than $0.1 million, respectively. For the three and nine months ended September 30, 2015, we had unrealized appreciation on interest rate swaps of $1.9 million and $0.7 million, respectively.</w:t>
      </w:r>
    </w:p>
    <w:p>
      <w:pPr>
        <w:spacing w:after="0" w:line="165" w:lineRule="exact"/>
        <w:rPr>
          <w:sz w:val="20"/>
          <w:szCs w:val="20"/>
          <w:color w:val="auto"/>
        </w:rPr>
      </w:pPr>
    </w:p>
    <w:p>
      <w:pPr>
        <w:ind w:right="900" w:firstLine="25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2014, we had net realized gains on investments of less than $0.1 million and $0.1 million, respectively. For the three and nine months ended September 30, 2014, we had net realized losses on foreign currency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0" w:name="page51"/>
    <w:bookmarkEnd w:id="50"/>
    <w:p>
      <w:pPr>
        <w:ind w:right="80"/>
        <w:spacing w:after="0" w:line="258" w:lineRule="auto"/>
        <w:rPr>
          <w:sz w:val="20"/>
          <w:szCs w:val="20"/>
          <w:color w:val="auto"/>
        </w:rPr>
      </w:pPr>
      <w:r>
        <w:rPr>
          <w:rFonts w:ascii="Times New Roman" w:cs="Times New Roman" w:eastAsia="Times New Roman" w:hAnsi="Times New Roman"/>
          <w:sz w:val="18"/>
          <w:szCs w:val="18"/>
          <w:color w:val="auto"/>
        </w:rPr>
        <w:t>transactions of $0.3 million and $0.2 million, respectively, primarily from translating foreign currency related to our non-USD denominated investments. For the nine months ended September 30, 2014, we had net realized losses of $1.6 million on foreign currency forward contracts related to our investments in Jeeves Information Systems AB and Soho House Bond Ltd. We did not have any net realized losses on foreign currency forward contracts for the three months ended September 30, 2014. For the three and nine months ended September 30, 2014, we had net realized gains on foreign currency borrowings of $0.1 million and $0.1 million, respectively.</w:t>
      </w:r>
    </w:p>
    <w:p>
      <w:pPr>
        <w:spacing w:after="0" w:line="184"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2014 we had $3.6 million in unrealized appreciation on 8 portfolio company investments, which was offset by $10.1 million in unrealized depreciation on 25 portfolio company investments. For the nine months ended September 30, 2014 we had $6.4 million in unrealized appreciation on 16 portfolio company investments, which was offset by $12.8 million in unrealized depreciation on 22 portfolio company investments. Unrealized appreciation for the three months ended September 30, 2014 resulted from an increase in fair market value, primarily due to positive credit-related adjustments. Unrealized appreciation for the nine months ended September 30, 2014 resulted from an increase in fair market value, primarily due to a tightening spread environment during the six months ended June 30, 2014 and positive credit-related adjustments. Unrealized depreciation for the three months ended September 30, 2014 primarily resulted from a widening spread environment, the reversal of prior period unrealized appreciation and in some instances negative credit-related adjustments. Unrealized depreciation for the nine months ended September 30, 2014 primarily resulted from the reversal of prior period unrealized appreciation and in some instances negative credit-related adjustments.</w:t>
      </w:r>
    </w:p>
    <w:p>
      <w:pPr>
        <w:spacing w:after="0" w:line="18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2014 we had unrealized appreciation on foreign currency borrowings of $3.3 million and $4.5 million, respectively, primarily as a result of fluctuations in the GBP, SEK and EUR exchange rates. For the nine months ended September 30, 2014 we had unrealized appreciation on foreign currency forward contracts of $1.2 million as a result of the reversal of prior period unrealized depreciation due to settling our foreign currency forward contracts related to our investments in Jeeves Information Systems AB and Soho House Bond Ltd. We did not have any unrealized appreciation on foreign currency forward contracts for the three months ended September 30, 2014. For the three and nine months ended September 30, 2014, we had unrealized depreciation on interest rate swaps of $1.0 million and $0.2 million, respectively, due to fluctuations in interest rates.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Cash Flow Realized Gross Internal Rate of Return</w:t>
      </w:r>
    </w:p>
    <w:p>
      <w:pPr>
        <w:spacing w:after="0" w:line="121" w:lineRule="exact"/>
        <w:rPr>
          <w:sz w:val="20"/>
          <w:szCs w:val="20"/>
          <w:color w:val="auto"/>
        </w:rPr>
      </w:pPr>
    </w:p>
    <w:p>
      <w:pPr>
        <w:jc w:val="both"/>
        <w:ind w:right="60" w:firstLine="259"/>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September 30, 2015, our exited investments have resulted in an aggregate cash flow realized gross internal rate of return to us of 16.4% (based on cash invested of $1.1 billion and total proceeds from these exited investments of $1.3 billion). Eighty nine percent of these exited investments resulted in an aggregate cash flow realized gross internal rate of return to us of 10% or greater.</w:t>
      </w:r>
    </w:p>
    <w:p>
      <w:pPr>
        <w:spacing w:after="0" w:line="176"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76"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76"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80"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1" w:name="page52"/>
    <w:bookmarkEnd w:id="51"/>
    <w:p>
      <w:pPr>
        <w:ind w:right="440" w:firstLine="259"/>
        <w:spacing w:after="0" w:line="282" w:lineRule="auto"/>
        <w:rPr>
          <w:sz w:val="20"/>
          <w:szCs w:val="20"/>
          <w:color w:val="auto"/>
        </w:rPr>
      </w:pPr>
      <w:r>
        <w:rPr>
          <w:rFonts w:ascii="Times New Roman" w:cs="Times New Roman" w:eastAsia="Times New Roman" w:hAnsi="Times New Roman"/>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21"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necessary local currency under our Revolving Credit Facility to fund these investments. For the three and nine months ended September 30, 2015, we had $1.3 million and $4.5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2015. See Note 2 for additional disclosure regarding our accounting for foreign currency. See Note 7 for additional disclosure regarding the amounts of outstanding debt denominated in each foreign currency at September 30, 2015. See our consolidated schedule of investments for additional disclosure regarding the foreign currency amounts (in both par and fair value) of our non-U.S. dollar denominated investments.</w:t>
      </w:r>
    </w:p>
    <w:p>
      <w:pPr>
        <w:spacing w:after="0" w:line="189"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2015 and 2014, we entered into foreign currency forward contracts related to our non-USD denominated investments. As of September 30, 2015 and 2014, we did not have any open foreign currency forward contracts. We bear the costs incurred in connection with entering into, administering and settling derivative contracts. There can be no assurance any hedging strategy we employ will be successful.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5"/>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to the holders of our shares.</w:t>
      </w:r>
    </w:p>
    <w:p>
      <w:pPr>
        <w:spacing w:after="0" w:line="225"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September 30, 2015 and December 31, 2014, our asset coverage ratio was 256.7% and 311.0%, respectively. We carefully consider our unfunded commitments for the purpose of planning our ongoing financial leverage. Further, we maintain sufficient borrowing capacity within the 200% asset coverage limitation to cover any outstanding unfunded commitments we are required to fund.</w:t>
      </w:r>
    </w:p>
    <w:p>
      <w:pPr>
        <w:spacing w:after="0" w:line="189" w:lineRule="exact"/>
        <w:rPr>
          <w:sz w:val="20"/>
          <w:szCs w:val="20"/>
          <w:color w:val="auto"/>
        </w:rPr>
      </w:pPr>
    </w:p>
    <w:p>
      <w:pPr>
        <w:jc w:val="both"/>
        <w:ind w:right="340" w:firstLine="259"/>
        <w:spacing w:after="0" w:line="266" w:lineRule="auto"/>
        <w:rPr>
          <w:sz w:val="20"/>
          <w:szCs w:val="20"/>
          <w:color w:val="auto"/>
        </w:rPr>
      </w:pPr>
      <w:r>
        <w:rPr>
          <w:rFonts w:ascii="Times New Roman" w:cs="Times New Roman" w:eastAsia="Times New Roman" w:hAnsi="Times New Roman"/>
          <w:sz w:val="18"/>
          <w:szCs w:val="18"/>
          <w:color w:val="auto"/>
        </w:rPr>
        <w:t>Cash and cash equivalents as of September 30, 2015, taken together with cash available under our credit facilities, is expected to be sufficient for our investing activities and to conduct our operations in the near term. As of September 30, 2015, we had approximately $350.8 million of availability on our Revolving Credit Facility.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2015, we had $3.8 million in cash and cash equivalents, an increase of $1.4 million from December 31, 2014. During the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2015, we used $86.5 million in cash for operating activities, primarily as a result of funding portfolio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$441.0 million and other operating activity of $23.9 million, which was partially offset by proceeds from investments of $16.7 million, repayments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of $293.8 million, and an increase in net assets resulting from operations of $67.9 million. Lastly, cash provided by financing activities was</w:t>
      </w:r>
    </w:p>
    <w:p>
      <w:pPr>
        <w:spacing w:after="0" w:line="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$87.8 million during the period, primarily due to borrowings of $559.3 million, partially offset by repayments on debt of $412.2 million, debt issuance costs of $0.1 million and dividends paid of $59.2 million.</w:t>
      </w:r>
    </w:p>
    <w:p>
      <w:pPr>
        <w:spacing w:after="0" w:line="180"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2015, we had $1.9 million of restricted cash pledged as collateral under our interest rate swap agreements, a decrease of $0.3 million from December 31, 2014.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ind w:right="760" w:firstLine="259"/>
        <w:spacing w:after="0" w:line="282" w:lineRule="auto"/>
        <w:rPr>
          <w:sz w:val="20"/>
          <w:szCs w:val="20"/>
          <w:color w:val="auto"/>
        </w:rPr>
      </w:pPr>
      <w:r>
        <w:rPr>
          <w:rFonts w:ascii="Times New Roman" w:cs="Times New Roman" w:eastAsia="Times New Roman" w:hAnsi="Times New Roman"/>
          <w:sz w:val="18"/>
          <w:szCs w:val="18"/>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62" w:lineRule="exact"/>
        <w:rPr>
          <w:sz w:val="20"/>
          <w:szCs w:val="20"/>
          <w:color w:val="auto"/>
        </w:rPr>
      </w:pPr>
    </w:p>
    <w:p>
      <w:pPr>
        <w:jc w:val="both"/>
        <w:ind w:right="160" w:firstLine="259"/>
        <w:spacing w:after="0" w:line="282" w:lineRule="auto"/>
        <w:rPr>
          <w:sz w:val="20"/>
          <w:szCs w:val="20"/>
          <w:color w:val="auto"/>
        </w:rPr>
      </w:pPr>
      <w:r>
        <w:rPr>
          <w:rFonts w:ascii="Times New Roman" w:cs="Times New Roman" w:eastAsia="Times New Roman" w:hAnsi="Times New Roman"/>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62" w:lineRule="exact"/>
        <w:rPr>
          <w:sz w:val="20"/>
          <w:szCs w:val="20"/>
          <w:color w:val="auto"/>
        </w:rPr>
      </w:pPr>
    </w:p>
    <w:p>
      <w:pPr>
        <w:jc w:val="both"/>
        <w:ind w:right="160" w:firstLine="259"/>
        <w:spacing w:after="0" w:line="266" w:lineRule="auto"/>
        <w:rPr>
          <w:sz w:val="20"/>
          <w:szCs w:val="20"/>
          <w:color w:val="auto"/>
        </w:rPr>
      </w:pPr>
      <w:r>
        <w:rPr>
          <w:rFonts w:ascii="Times New Roman" w:cs="Times New Roman" w:eastAsia="Times New Roman" w:hAnsi="Times New Roman"/>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76"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2014, we did not deliver any drawdown notices to our private phase investors. On December 31, 2013, we delivered a capital drawdown notice to our private phase investors relating to the sale of 4,234,501 shares of our common stock for an aggregate offering price of $65.0 million. The sale closed on January 15, 2014. This capital drawdown notice is reflected in the number of shares issued for the nine months ended September 30, 2014 below and in the consolidated financial statements for the nine months ended September 30, 2014.</w:t>
      </w:r>
    </w:p>
    <w:p>
      <w:pPr>
        <w:spacing w:after="0" w:line="180" w:lineRule="exact"/>
        <w:rPr>
          <w:sz w:val="20"/>
          <w:szCs w:val="20"/>
          <w:color w:val="auto"/>
        </w:rPr>
      </w:pPr>
    </w:p>
    <w:p>
      <w:pPr>
        <w:jc w:val="both"/>
        <w:ind w:right="120" w:firstLine="259"/>
        <w:spacing w:after="0" w:line="266" w:lineRule="auto"/>
        <w:rPr>
          <w:sz w:val="20"/>
          <w:szCs w:val="20"/>
          <w:color w:val="auto"/>
        </w:rPr>
      </w:pPr>
      <w:r>
        <w:rPr>
          <w:rFonts w:ascii="Times New Roman" w:cs="Times New Roman" w:eastAsia="Times New Roman" w:hAnsi="Times New Roman"/>
          <w:sz w:val="18"/>
          <w:szCs w:val="18"/>
          <w:color w:val="auto"/>
        </w:rPr>
        <w:t>From inception through March 26, 2014, we had drawn down a total of $0.6 billion of capital and issued 38.9 million shares, excluding equity and shares issued through our dividend reinvestment plan. The remaining unfunded commitments under the subscription agreements terminated upon the completion of our IPO in March 2014, and hence as of September 30, 2015 no longer remain in effect.</w:t>
      </w:r>
    </w:p>
    <w:p>
      <w:pPr>
        <w:spacing w:after="0" w:line="176" w:lineRule="exact"/>
        <w:rPr>
          <w:sz w:val="20"/>
          <w:szCs w:val="20"/>
          <w:color w:val="auto"/>
        </w:rPr>
      </w:pPr>
    </w:p>
    <w:p>
      <w:pPr>
        <w:ind w:right="340" w:firstLine="25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2015 and 2014, we issued 230,189 and 1,131,275 shares of our common stock, respectively, to investors who have not opted out of our dividend reinvestment plan for proceeds of $3.9 million and $18.9 million, respectively. On November 2, 2015, we issued 138,413 shares of our common stock through our dividend reinvestment plan for proceeds of $2.2 million, which is not reflected in the number of shares issued for the nine months ended September 30, 2015 in this section or the consolidated financial statements for the three and nine months ended September 30, 2015.</w:t>
      </w:r>
    </w:p>
    <w:p>
      <w:pPr>
        <w:spacing w:after="0" w:line="184"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80"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62"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The Company 10b5-1 Plan expired in accordance with its terms on June 30, 2015. On August 4, 2015, the Board authorized us to enter into a new stock repurchase plan, on substantially the same terms as the prior stock repurchase plan. Unless extended or terminated by the Board, the Company 10b5-1 Plan will be in effect through the earlier of February 29, 2016 or such time as the approved $50 million repurchase amount has been fully utilized, subject to certain conditions.</w:t>
      </w:r>
    </w:p>
    <w:p>
      <w:pPr>
        <w:spacing w:after="0" w:line="180" w:lineRule="exact"/>
        <w:rPr>
          <w:sz w:val="20"/>
          <w:szCs w:val="20"/>
          <w:color w:val="auto"/>
        </w:rPr>
      </w:pPr>
    </w:p>
    <w:p>
      <w:pPr>
        <w:ind w:right="900" w:firstLine="25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2015, 2,000 shares were repurchased under the Company 10b5-1 Plan. No shares were repurchased under the Company 10b5-1 Plan during the three or nine months ended September 30, 2014.</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consisted of the following as of September 30, 2015 and December 31, 2014:</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446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7"/>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57"/>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r>
      <w:tr>
        <w:trPr>
          <w:trHeight w:val="173"/>
        </w:trPr>
        <w:tc>
          <w:tcPr>
            <w:tcW w:w="44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426,278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350,770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112,341</w:t>
            </w:r>
          </w:p>
        </w:tc>
        <w:tc>
          <w:tcPr>
            <w:tcW w:w="120" w:type="dxa"/>
            <w:vAlign w:val="bottom"/>
            <w:tcBorders>
              <w:bottom w:val="single" w:sz="8" w:color="CFF0FC"/>
            </w:tcBorders>
          </w:tcPr>
          <w:p>
            <w:pPr>
              <w:spacing w:after="0"/>
              <w:rPr>
                <w:sz w:val="19"/>
                <w:szCs w:val="19"/>
                <w:color w:val="auto"/>
              </w:rPr>
            </w:pPr>
          </w:p>
        </w:tc>
      </w:tr>
      <w:tr>
        <w:trPr>
          <w:trHeight w:val="223"/>
        </w:trPr>
        <w:tc>
          <w:tcPr>
            <w:tcW w:w="4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896,250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541,278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350,770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46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7"/>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57"/>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r>
      <w:tr>
        <w:trPr>
          <w:trHeight w:val="173"/>
        </w:trPr>
        <w:tc>
          <w:tcPr>
            <w:tcW w:w="44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SPV Asset Facility </w:t>
            </w:r>
            <w:r>
              <w:rPr>
                <w:rFonts w:ascii="Times New Roman" w:cs="Times New Roman" w:eastAsia="Times New Roman" w:hAnsi="Times New Roman"/>
                <w:sz w:val="15"/>
                <w:szCs w:val="15"/>
                <w:color w:val="auto"/>
              </w:rPr>
              <w:t>(2)</w:t>
            </w: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45,279</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12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111,923</w:t>
            </w:r>
          </w:p>
        </w:tc>
        <w:tc>
          <w:tcPr>
            <w:tcW w:w="12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1,071,250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398,941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511,468</w:t>
            </w:r>
          </w:p>
        </w:tc>
        <w:tc>
          <w:tcPr>
            <w:tcW w:w="200" w:type="dxa"/>
            <w:vAlign w:val="bottom"/>
            <w:gridSpan w:val="2"/>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395,864</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reinvestment period under the SPV Asset Facility terminated on January 21, 2015 and accordingly any undrawn availability under the facility also terminated. TPG SL SPV prepaid all loans under the SPV Asset Facility and terminated the facility on September 25, 2015.</w:t>
      </w:r>
    </w:p>
    <w:p>
      <w:pPr>
        <w:spacing w:after="0" w:line="180"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2015 and December 31, 2014, we were in compliance with the terms of our debt arrangements. We intend to continue to utilize our credit facilities to fund investments and for other general corporate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88" w:lineRule="exact"/>
        <w:rPr>
          <w:sz w:val="20"/>
          <w:szCs w:val="20"/>
          <w:color w:val="auto"/>
        </w:rPr>
      </w:pPr>
    </w:p>
    <w:p>
      <w:pPr>
        <w:ind w:right="420" w:firstLine="259"/>
        <w:spacing w:after="0" w:line="282" w:lineRule="auto"/>
        <w:rPr>
          <w:sz w:val="20"/>
          <w:szCs w:val="20"/>
          <w:color w:val="auto"/>
        </w:rPr>
      </w:pPr>
      <w:r>
        <w:rPr>
          <w:rFonts w:ascii="Times New Roman" w:cs="Times New Roman" w:eastAsia="Times New Roman" w:hAnsi="Times New Roman"/>
          <w:sz w:val="18"/>
          <w:szCs w:val="18"/>
          <w:color w:val="auto"/>
        </w:rPr>
        <w:t>On February 27, 2014, we further amended and restated the agreement. The second amended and restated agreement (the Revolving Credit Facility), among other things:</w:t>
      </w:r>
    </w:p>
    <w:p>
      <w:pPr>
        <w:spacing w:after="0" w:line="54" w:lineRule="exact"/>
        <w:rPr>
          <w:sz w:val="20"/>
          <w:szCs w:val="20"/>
          <w:color w:val="auto"/>
        </w:rPr>
      </w:pPr>
    </w:p>
    <w:p>
      <w:pPr>
        <w:ind w:left="520" w:hanging="255"/>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17" w:lineRule="exact"/>
        <w:rPr>
          <w:rFonts w:ascii="Times New Roman" w:cs="Times New Roman" w:eastAsia="Times New Roman" w:hAnsi="Times New Roman"/>
          <w:sz w:val="18"/>
          <w:szCs w:val="18"/>
          <w:color w:val="auto"/>
        </w:rPr>
      </w:pPr>
    </w:p>
    <w:p>
      <w:pPr>
        <w:ind w:left="520" w:right="500" w:hanging="255"/>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us, under certain circumstances, to increase the size of the facility up to $956.3 million;</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17" w:lineRule="exact"/>
        <w:rPr>
          <w:rFonts w:ascii="Times New Roman" w:cs="Times New Roman" w:eastAsia="Times New Roman" w:hAnsi="Times New Roman"/>
          <w:sz w:val="18"/>
          <w:szCs w:val="18"/>
          <w:color w:val="auto"/>
        </w:rPr>
      </w:pPr>
    </w:p>
    <w:p>
      <w:pPr>
        <w:ind w:left="520" w:right="180" w:hanging="255"/>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we, subject to certain conditions, may make borrowings under the facility;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4" w:name="page55"/>
    <w:bookmarkEnd w:id="54"/>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October 17, 2014, we entered into a third amendment to the Revolving Credit Facility:</w:t>
      </w:r>
    </w:p>
    <w:p>
      <w:pPr>
        <w:spacing w:after="0" w:line="117" w:lineRule="exact"/>
        <w:rPr>
          <w:sz w:val="20"/>
          <w:szCs w:val="20"/>
          <w:color w:val="auto"/>
        </w:rPr>
      </w:pPr>
    </w:p>
    <w:p>
      <w:pPr>
        <w:ind w:left="520" w:right="80" w:hanging="255"/>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aggregate commitments from $781.3 million to $766.3 million;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revolving period from February 27, 2018 to October 17, 2018;</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date from February 27, 2019 to October 17, 2019;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sublimit applicable to letters of credit from $20 million to $100 million.</w:t>
      </w:r>
    </w:p>
    <w:p>
      <w:pPr>
        <w:spacing w:after="0" w:line="225"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October 2, 2015, we entered into a fourth amendment to the Revolving Credit Facility:</w:t>
      </w:r>
    </w:p>
    <w:p>
      <w:pPr>
        <w:spacing w:after="0" w:line="117" w:lineRule="exact"/>
        <w:rPr>
          <w:sz w:val="20"/>
          <w:szCs w:val="20"/>
          <w:color w:val="auto"/>
        </w:rPr>
      </w:pPr>
    </w:p>
    <w:p>
      <w:pPr>
        <w:ind w:left="520" w:right="80" w:hanging="255"/>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aggregate commitments from $781.3 million to $821.3 million;</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revolving period from October 17, 2018 to October 2, 2019;</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date from October 17, 2019 to October 2, 2020; and</w:t>
      </w:r>
    </w:p>
    <w:p>
      <w:pPr>
        <w:spacing w:after="0" w:line="117" w:lineRule="exact"/>
        <w:rPr>
          <w:rFonts w:ascii="Times New Roman" w:cs="Times New Roman" w:eastAsia="Times New Roman" w:hAnsi="Times New Roman"/>
          <w:sz w:val="18"/>
          <w:szCs w:val="18"/>
          <w:color w:val="auto"/>
        </w:rPr>
      </w:pPr>
    </w:p>
    <w:p>
      <w:pPr>
        <w:ind w:left="520" w:right="60" w:hanging="255"/>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accordion feature, which allows us, under certain circumstances, to increase the size of the Revolving Credit Facility, from a maximum of $956.3 million to a maximum of $1.25 billion.</w:t>
      </w:r>
    </w:p>
    <w:p>
      <w:pPr>
        <w:spacing w:after="0" w:line="162"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September 30, 2015, we had outstanding debt denominated in Swedish Krona (SEK) of 197.9 million, Euro (EUR) of 35.7 million and Pound Sterling (GBP) of 21.0 million on our Revolving Credit Facility, included in the Outstanding Principal amount in the table above.</w:t>
      </w:r>
    </w:p>
    <w:p>
      <w:pPr>
        <w:spacing w:after="0" w:line="176" w:lineRule="exact"/>
        <w:rPr>
          <w:sz w:val="20"/>
          <w:szCs w:val="20"/>
          <w:color w:val="auto"/>
        </w:rPr>
      </w:pPr>
    </w:p>
    <w:p>
      <w:pPr>
        <w:jc w:val="both"/>
        <w:ind w:right="20" w:firstLine="259"/>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0"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54" w:lineRule="exact"/>
        <w:rPr>
          <w:sz w:val="20"/>
          <w:szCs w:val="20"/>
          <w:color w:val="auto"/>
        </w:rPr>
      </w:pPr>
    </w:p>
    <w:p>
      <w:pPr>
        <w:ind w:left="520" w:hanging="255"/>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520" w:hanging="255"/>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55" w:name="page56"/>
    <w:bookmarkEnd w:id="55"/>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SPV Asset Facility</w:t>
      </w:r>
    </w:p>
    <w:p>
      <w:pPr>
        <w:spacing w:after="0" w:line="119"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On May 8, 2012, the Closing Date, our wholly owned subsidiary TPG SL SPV, LLC, a Delaware limited liability company, which we refer to as TPG SL SPV,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85"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9"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After giving effect to amendments to the credit and security agreement in January 2014 and March 2015, the facility had commitments of $175 million and the pricing ranged from cost of funds + 2.25% to LIBOR + 2.35% and the facility was scheduled to mature on January 21, 2021.</w:t>
      </w:r>
    </w:p>
    <w:p>
      <w:pPr>
        <w:spacing w:after="0" w:line="162" w:lineRule="exact"/>
        <w:rPr>
          <w:sz w:val="20"/>
          <w:szCs w:val="20"/>
          <w:color w:val="auto"/>
        </w:rPr>
      </w:pPr>
    </w:p>
    <w:p>
      <w:pPr>
        <w:ind w:right="340" w:firstLine="259"/>
        <w:spacing w:after="0" w:line="258" w:lineRule="auto"/>
        <w:rPr>
          <w:sz w:val="20"/>
          <w:szCs w:val="20"/>
          <w:color w:val="auto"/>
        </w:rPr>
      </w:pPr>
      <w:r>
        <w:rPr>
          <w:rFonts w:ascii="Times New Roman" w:cs="Times New Roman" w:eastAsia="Times New Roman" w:hAnsi="Times New Roman"/>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4"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62"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As of September 30, 2015 and December 31, 2014, TPG SL SPV had $285.4 million and $334.0 million, respectively, in investments at fair value. As of December 31, 2014 TPG SL SPV had $108.8 million in liabilities, including the outstanding borrowings, on its balance sheet. As of September 30, 2015, TPG SL SPV’s liabilities had been fully prepaid. As of December 31, 2014, TPG SL SPV had $10.2 million in restricted cash, a component of prepaid expenses and other assets, in the accompanying consolidated financial statements. TPG SL SPV did not have restricted cash as of September 30, 2015.</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Borrowings of TPG SL SPV are considered our borrowings for purposes of complying with the asset coverage requirements of the 1940 Act.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6" w:name="page57"/>
    <w:bookmarkEnd w:id="56"/>
    <w:p>
      <w:pPr>
        <w:ind w:right="120"/>
        <w:spacing w:after="0" w:line="258" w:lineRule="auto"/>
        <w:rPr>
          <w:sz w:val="20"/>
          <w:szCs w:val="20"/>
          <w:color w:val="auto"/>
        </w:rPr>
      </w:pPr>
      <w:r>
        <w:rPr>
          <w:rFonts w:ascii="Times New Roman" w:cs="Times New Roman" w:eastAsia="Times New Roman" w:hAnsi="Times New Roman"/>
          <w:sz w:val="18"/>
          <w:szCs w:val="18"/>
          <w:color w:val="auto"/>
        </w:rPr>
        <w:t>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interest rate swaps to continue to align the interest rates of our liabilities with our investment portfolio, which consists of predominately floating rate loans. As a result of the swaps, our effective interest rate on the Convertible Senior Notes is three-month LIBOR plus 286 basis points.</w:t>
      </w:r>
    </w:p>
    <w:p>
      <w:pPr>
        <w:spacing w:after="0" w:line="184"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9"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0"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2015, the principal amount of the Convertible Senior Notes exceeded the value of the underlying shares multiplied by the per share closing price of our common stock.</w:t>
      </w:r>
    </w:p>
    <w:p>
      <w:pPr>
        <w:spacing w:after="0" w:line="162"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September 30, 2015, we were in compliance with the terms of the Convertible Senior Notes Indenture.</w:t>
      </w:r>
    </w:p>
    <w:p>
      <w:pPr>
        <w:spacing w:after="0" w:line="180"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September 30, 2015 and December 31, 2014, we had the following commitments to fund investments: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24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5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300" w:firstLine="259"/>
        <w:spacing w:after="0" w:line="261" w:lineRule="auto"/>
        <w:rPr>
          <w:sz w:val="20"/>
          <w:szCs w:val="20"/>
          <w:color w:val="auto"/>
        </w:rPr>
      </w:pPr>
      <w:r>
        <w:rPr>
          <w:rFonts w:ascii="Times New Roman" w:cs="Times New Roman" w:eastAsia="Times New Roman" w:hAnsi="Times New Roman"/>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September 30, 2015 and December 31, 2014, we had outstanding commitments to fund investments totaling $90.2 million and $48.0 million, respectively.</w:t>
      </w:r>
    </w:p>
    <w:p>
      <w:pPr>
        <w:spacing w:after="0" w:line="180"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September 30, 2015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After 5 years</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0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60" w:hanging="255"/>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 exempt interest income over certain disallowed deductions) for such taxable year.</w:t>
      </w:r>
    </w:p>
    <w:p>
      <w:pPr>
        <w:spacing w:after="0" w:line="225"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jc w:val="both"/>
        <w:ind w:right="360" w:firstLine="259"/>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20" w:firstLine="259"/>
        <w:spacing w:after="0" w:line="313" w:lineRule="auto"/>
        <w:rPr>
          <w:sz w:val="20"/>
          <w:szCs w:val="20"/>
          <w:color w:val="auto"/>
        </w:rPr>
      </w:pPr>
      <w:r>
        <w:rPr>
          <w:rFonts w:ascii="Times New Roman" w:cs="Times New Roman" w:eastAsia="Times New Roman" w:hAnsi="Times New Roman"/>
          <w:sz w:val="17"/>
          <w:szCs w:val="17"/>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30" w:lineRule="exact"/>
        <w:rPr>
          <w:sz w:val="20"/>
          <w:szCs w:val="20"/>
          <w:color w:val="auto"/>
        </w:rPr>
      </w:pPr>
    </w:p>
    <w:p>
      <w:pPr>
        <w:ind w:left="520" w:hanging="255"/>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60" w:hanging="255"/>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0"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17" w:lineRule="exact"/>
        <w:rPr>
          <w:rFonts w:ascii="Times New Roman" w:cs="Times New Roman" w:eastAsia="Times New Roman" w:hAnsi="Times New Roman"/>
          <w:sz w:val="18"/>
          <w:szCs w:val="18"/>
          <w:color w:val="auto"/>
        </w:rPr>
      </w:pPr>
    </w:p>
    <w:p>
      <w:pPr>
        <w:ind w:left="520" w:right="40" w:hanging="255"/>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2014, filed with the SEC on February 24, 2015, and elsewhere in our filings with the SEC.</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6" w:lineRule="exact"/>
        <w:rPr>
          <w:sz w:val="20"/>
          <w:szCs w:val="20"/>
          <w:color w:val="auto"/>
        </w:rPr>
      </w:pPr>
    </w:p>
    <w:p>
      <w:pPr>
        <w:ind w:right="700" w:firstLine="259"/>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As of September 30, 2015, 94.9% of our debt investments in our portfolio bore interest at floating rates,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76"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September 30, 2015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6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4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46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gridSpan w:val="2"/>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4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r>
    </w:tbl>
    <w:p>
      <w:pPr>
        <w:spacing w:after="0" w:line="193"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firstLine="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0" w:lineRule="exact"/>
        <w:rPr>
          <w:sz w:val="20"/>
          <w:szCs w:val="20"/>
          <w:color w:val="auto"/>
        </w:rPr>
      </w:pPr>
    </w:p>
    <w:p>
      <w:pPr>
        <w:ind w:right="120"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fiscal year ended December 31, 2014 and the risk factor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67" w:lineRule="exact"/>
        <w:rPr>
          <w:sz w:val="20"/>
          <w:szCs w:val="20"/>
          <w:color w:val="auto"/>
        </w:rPr>
      </w:pPr>
    </w:p>
    <w:p>
      <w:pPr>
        <w:ind w:right="40" w:firstLine="259"/>
        <w:spacing w:after="0" w:line="253"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3"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acquisitions or strategic investments that we pursue are subject to risks and uncertainties.</w:t>
      </w:r>
    </w:p>
    <w:p>
      <w:pPr>
        <w:spacing w:after="0" w:line="116"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2" w:name="page63"/>
    <w:bookmarkEnd w:id="62"/>
    <w:p>
      <w:pPr>
        <w:ind w:right="140" w:firstLine="259"/>
        <w:spacing w:after="0" w:line="274" w:lineRule="auto"/>
        <w:rPr>
          <w:sz w:val="20"/>
          <w:szCs w:val="20"/>
          <w:color w:val="auto"/>
        </w:rPr>
      </w:pPr>
      <w:r>
        <w:rPr>
          <w:rFonts w:ascii="Times New Roman" w:cs="Times New Roman" w:eastAsia="Times New Roman" w:hAnsi="Times New Roman"/>
          <w:sz w:val="17"/>
          <w:szCs w:val="17"/>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74" w:lineRule="exact"/>
        <w:rPr>
          <w:sz w:val="20"/>
          <w:szCs w:val="20"/>
          <w:color w:val="auto"/>
        </w:rPr>
      </w:pPr>
    </w:p>
    <w:p>
      <w:pPr>
        <w:jc w:val="both"/>
        <w:ind w:right="160" w:firstLine="259"/>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shares of our common stock repurchased by the Company for each month in the three month period ended September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thousands, except share and per share amounts)</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3"/>
        </w:trPr>
        <w:tc>
          <w:tcPr>
            <w:tcW w:w="2160" w:type="dxa"/>
            <w:vAlign w:val="bottom"/>
            <w:gridSpan w:val="2"/>
            <w:vMerge w:val="continue"/>
          </w:tcPr>
          <w:p>
            <w:pPr>
              <w:spacing w:after="0"/>
              <w:rPr>
                <w:sz w:val="15"/>
                <w:szCs w:val="15"/>
                <w:color w:val="auto"/>
              </w:rPr>
            </w:pPr>
          </w:p>
        </w:tc>
        <w:tc>
          <w:tcPr>
            <w:tcW w:w="16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5"/>
                <w:szCs w:val="15"/>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2015</w:t>
            </w:r>
          </w:p>
        </w:tc>
        <w:tc>
          <w:tcPr>
            <w:tcW w:w="10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2015</w:t>
            </w:r>
          </w:p>
        </w:tc>
        <w:tc>
          <w:tcPr>
            <w:tcW w:w="16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2015</w:t>
            </w:r>
          </w:p>
        </w:tc>
        <w:tc>
          <w:tcPr>
            <w:tcW w:w="16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280" w:type="dxa"/>
            <w:vAlign w:val="bottom"/>
          </w:tcPr>
          <w:p>
            <w:pPr>
              <w:spacing w:after="0"/>
              <w:rPr>
                <w:sz w:val="19"/>
                <w:szCs w:val="19"/>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20" w:right="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4, 2015, the Board of Directors authorized the Company to enter into a purchase agreement, the Company 10b5-1 Plan, in accordance with Rules 10b5-1 and 10b-18 under the Exchange Act. Unless extended or terminated by the Board, the Company 10b5-1 Plan will be in effect through the earlier of February 29, 2016 or such time as the approved $50 million repurchase amount has been fully utilized, subject to certain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29" w:lineRule="exact"/>
        <w:rPr>
          <w:sz w:val="20"/>
          <w:szCs w:val="20"/>
          <w:color w:val="auto"/>
        </w:rPr>
      </w:pPr>
    </w:p>
    <w:p>
      <w:pPr>
        <w:ind w:left="580" w:right="120" w:hanging="508"/>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10.1</w:t>
        <w:tab/>
        <w:t>Fourth Amendment to Second Amended and Restated Senior Secured Revolving Credit Agreement, dated October 2, 2015, among TPG Specialty Lending, Inc., as Borrower, the Lenders party thereto and Suntrust Bank, as Administrative Agent</w:t>
      </w:r>
    </w:p>
    <w:p>
      <w:pPr>
        <w:spacing w:after="0" w:line="67"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18"/>
          <w:szCs w:val="18"/>
          <w:color w:val="auto"/>
        </w:rPr>
        <w:t>31.1</w:t>
        <w:tab/>
        <w:t>Certification of Co-Chief Executive Officer Pursuant to 18 U.S.C. Section 1350, as Adopted Pursuant to Section 302 of the Sarbanes-Oxley Act of</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2002</w:t>
      </w:r>
    </w:p>
    <w:p>
      <w:pPr>
        <w:spacing w:after="0" w:line="112"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18"/>
          <w:szCs w:val="18"/>
          <w:color w:val="auto"/>
        </w:rPr>
        <w:t>31.2</w:t>
        <w:tab/>
        <w:t>Certification of Co-Chief Executive Officer Pursuant to 18 U.S.C. Section 1350, as Adopted Pursuant to Section 302 of the Sarbanes-Oxley Act of</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2002</w:t>
      </w:r>
    </w:p>
    <w:p>
      <w:pPr>
        <w:spacing w:after="0" w:line="112"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18"/>
          <w:szCs w:val="18"/>
          <w:color w:val="auto"/>
        </w:rPr>
        <w:t>31.3</w:t>
        <w:tab/>
        <w:t>Certification of Chief Financial Officer Pursuant to 18 U.S.C. Section 1350, as Adopted Pursuant to Section 302 of the Sarbanes-Oxley Act of 2002</w:t>
      </w:r>
    </w:p>
    <w:p>
      <w:pPr>
        <w:spacing w:after="0" w:line="131" w:lineRule="exact"/>
        <w:rPr>
          <w:sz w:val="20"/>
          <w:szCs w:val="20"/>
          <w:color w:val="auto"/>
        </w:rPr>
      </w:pPr>
    </w:p>
    <w:p>
      <w:pPr>
        <w:ind w:left="580" w:hanging="432"/>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Co-CEOs and CFO Pursuant to 18 U.S.C. Section 1350, as Adopted Pursuant to Section 906 of the Sarbanes-Oxley Act of 2002</w:t>
      </w: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657" w:right="4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2015</w:t>
            </w:r>
          </w:p>
        </w:tc>
        <w:tc>
          <w:tcPr>
            <w:tcW w:w="362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r>
      <w:tr>
        <w:trPr>
          <w:trHeight w:val="191"/>
        </w:trPr>
        <w:tc>
          <w:tcPr>
            <w:tcW w:w="3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34"/>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2015</w:t>
            </w:r>
          </w:p>
        </w:tc>
        <w:tc>
          <w:tcPr>
            <w:tcW w:w="362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Fishman</w:t>
            </w:r>
          </w:p>
        </w:tc>
      </w:tr>
      <w:tr>
        <w:trPr>
          <w:trHeight w:val="191"/>
        </w:trPr>
        <w:tc>
          <w:tcPr>
            <w:tcW w:w="3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Fishman</w:t>
            </w:r>
          </w:p>
        </w:tc>
      </w:tr>
      <w:tr>
        <w:trPr>
          <w:trHeight w:val="234"/>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2015</w:t>
            </w:r>
          </w:p>
        </w:tc>
        <w:tc>
          <w:tcPr>
            <w:tcW w:w="362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Ollwerther</w:t>
            </w:r>
          </w:p>
        </w:tc>
      </w:tr>
      <w:tr>
        <w:trPr>
          <w:trHeight w:val="191"/>
        </w:trPr>
        <w:tc>
          <w:tcPr>
            <w:tcW w:w="3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Ollwerther</w:t>
            </w:r>
          </w:p>
        </w:tc>
      </w:tr>
      <w:tr>
        <w:trPr>
          <w:trHeight w:val="234"/>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700" w:type="dxa"/>
            <w:vAlign w:val="bottom"/>
          </w:tcPr>
          <w:p>
            <w:pPr>
              <w:spacing w:after="0"/>
              <w:rPr>
                <w:sz w:val="24"/>
                <w:szCs w:val="24"/>
                <w:color w:val="auto"/>
              </w:rPr>
            </w:pPr>
          </w:p>
        </w:tc>
        <w:tc>
          <w:tcPr>
            <w:tcW w:w="36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65</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FOURTH AMENDMENT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SECOND AMENDED AND RESTATED SENIOR SECURED REVOLVING CREDIT AGREEMENT</w:t>
      </w:r>
    </w:p>
    <w:p>
      <w:pPr>
        <w:spacing w:after="0" w:line="182"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21"/>
          <w:szCs w:val="21"/>
          <w:color w:val="auto"/>
        </w:rPr>
        <w:t>THIS FOURTH AMENDMENT TO SECOND AMENDED AND RESTATED SENIOR SECURED REVOLVING CREDIT AGREEMENT, dated as of October 2, 2015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xml:space="preserve">”), to the Existing Credit Agreement (capitalized terms used herein and not otherwise defined shall have the meanings given to such terms in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is among TPG SPECIALTY LENDING,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the LENDERS party hereto and SUNTRUST BANK, as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518"/>
        <w:spacing w:after="0" w:line="235" w:lineRule="auto"/>
        <w:rPr>
          <w:sz w:val="20"/>
          <w:szCs w:val="20"/>
          <w:color w:val="auto"/>
        </w:rPr>
      </w:pPr>
      <w:r>
        <w:rPr>
          <w:rFonts w:ascii="Times New Roman" w:cs="Times New Roman" w:eastAsia="Times New Roman" w:hAnsi="Times New Roman"/>
          <w:sz w:val="22"/>
          <w:szCs w:val="22"/>
          <w:color w:val="auto"/>
        </w:rPr>
        <w:t>WHEREAS, the Borrower, the Lenders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and the Third Amendment to Second Amended and Restated Senior Secured Revolving Credit Agreement, dated as of October 17, 2014 (the “</w:t>
      </w:r>
      <w:r>
        <w:rPr>
          <w:rFonts w:ascii="Times New Roman" w:cs="Times New Roman" w:eastAsia="Times New Roman" w:hAnsi="Times New Roman"/>
          <w:sz w:val="22"/>
          <w:szCs w:val="22"/>
          <w:u w:val="single" w:color="auto"/>
          <w:color w:val="auto"/>
        </w:rPr>
        <w:t>Existing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by this Amendment and as the same may be further amended, supplemented, amended and restated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and</w:t>
      </w:r>
    </w:p>
    <w:p>
      <w:pPr>
        <w:spacing w:after="0" w:line="184"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2"/>
          <w:szCs w:val="22"/>
          <w:color w:val="auto"/>
        </w:rPr>
        <w:t>WHEREAS, the Borrower has requested that the Lenders agree to amend the Existing Credit Agreement, and the Lenders are willing, on the terms and subject to the conditions hereinafter set forth, to agree to the amendment set forth below and the other terms hereof;</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NOW, THEREFORE, the parties hereto hereby covenant and agree as follows: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The following terms when used in this Amendment shall have the following meanings (such meanings to be equally applicable to the singular and plural forms thereof):</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Other Definitions</w:t>
      </w:r>
      <w:r>
        <w:rPr>
          <w:rFonts w:ascii="Times New Roman" w:cs="Times New Roman" w:eastAsia="Times New Roman" w:hAnsi="Times New Roman"/>
          <w:sz w:val="22"/>
          <w:szCs w:val="22"/>
          <w:color w:val="auto"/>
        </w:rPr>
        <w:t>. Capitalized terms for which meanings are provided in the Existing Credit Agreement are, unless otherwise defined herein or the context otherwise requires, used in this Amendment with such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TO EXISTING CREDIT AGREEMENT</w:t>
      </w:r>
    </w:p>
    <w:p>
      <w:pPr>
        <w:spacing w:after="0" w:line="20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22"/>
          <w:szCs w:val="22"/>
          <w:color w:val="auto"/>
        </w:rPr>
        <w:t xml:space="preserve">Subject to the occurrence of the Fourth Amendment Effective Date (as hereinafter defined), the Existing Credit Agreement is amended in accordance with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 xml:space="preserve">The Existing Credit Agreement is hereby amended in its entirety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TO EFFECTIVENESS</w:t>
      </w:r>
    </w:p>
    <w:p>
      <w:pPr>
        <w:spacing w:after="0" w:line="206" w:lineRule="exact"/>
        <w:rPr>
          <w:sz w:val="20"/>
          <w:szCs w:val="20"/>
          <w:color w:val="auto"/>
        </w:rPr>
      </w:pPr>
    </w:p>
    <w:p>
      <w:pPr>
        <w:jc w:val="both"/>
        <w:ind w:firstLine="518"/>
        <w:spacing w:after="0" w:line="234"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Amendment shall become effective on the date (the “</w:t>
      </w:r>
      <w:r>
        <w:rPr>
          <w:rFonts w:ascii="Times New Roman" w:cs="Times New Roman" w:eastAsia="Times New Roman" w:hAnsi="Times New Roman"/>
          <w:sz w:val="22"/>
          <w:szCs w:val="22"/>
          <w:u w:val="single" w:color="auto"/>
          <w:color w:val="auto"/>
        </w:rPr>
        <w:t>Fourth Amendment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when the Administrative Agent shall have received (a) counterparts of this Amendment duly executed and delivered on behalf of the Borrower and each of the Lenders party hereto, (b) a favorable written opinion (addressed to the Administrative Agent and the Lenders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as applicable, fees and expenses owing by the Borrower in connection with this Amendment as of the date hereof.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jc w:val="both"/>
        <w:ind w:firstLine="518"/>
        <w:spacing w:after="0" w:line="247"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73"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Cross-References</w:t>
      </w:r>
      <w:r>
        <w:rPr>
          <w:rFonts w:ascii="Times New Roman" w:cs="Times New Roman" w:eastAsia="Times New Roman" w:hAnsi="Times New Roman"/>
          <w:sz w:val="22"/>
          <w:szCs w:val="22"/>
          <w:color w:val="auto"/>
        </w:rPr>
        <w:t>. References in this Amendment to any Article or Section are, unless otherwise specified, to such Article or Section of this Amendment.</w:t>
      </w:r>
    </w:p>
    <w:p>
      <w:pPr>
        <w:spacing w:after="0" w:line="158" w:lineRule="exact"/>
        <w:rPr>
          <w:sz w:val="20"/>
          <w:szCs w:val="20"/>
          <w:color w:val="auto"/>
        </w:rPr>
      </w:pPr>
    </w:p>
    <w:p>
      <w:pPr>
        <w:jc w:val="both"/>
        <w:ind w:firstLine="518"/>
        <w:spacing w:after="0" w:line="239"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Loan Document Pursuant to Existing Credit Agreement</w:t>
      </w:r>
      <w:r>
        <w:rPr>
          <w:rFonts w:ascii="Times New Roman" w:cs="Times New Roman" w:eastAsia="Times New Roman" w:hAnsi="Times New Roman"/>
          <w:sz w:val="22"/>
          <w:szCs w:val="22"/>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7" w:name="page68"/>
    <w:bookmarkEnd w:id="67"/>
    <w:p>
      <w:pPr>
        <w:jc w:val="both"/>
        <w:ind w:firstLine="518"/>
        <w:spacing w:after="0" w:line="258"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Amendment shall be binding upon and inure to the benefit of the parties hereto and their respective successors and assigns.</w:t>
      </w:r>
    </w:p>
    <w:p>
      <w:pPr>
        <w:spacing w:after="0" w:line="158" w:lineRule="exact"/>
        <w:rPr>
          <w:sz w:val="20"/>
          <w:szCs w:val="20"/>
          <w:color w:val="auto"/>
        </w:rPr>
      </w:pPr>
    </w:p>
    <w:p>
      <w:pPr>
        <w:jc w:val="both"/>
        <w:ind w:firstLine="518"/>
        <w:spacing w:after="0" w:line="239"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8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laws of the State of New York.</w:t>
      </w:r>
    </w:p>
    <w:p>
      <w:pPr>
        <w:spacing w:after="0" w:line="158" w:lineRule="exact"/>
        <w:rPr>
          <w:sz w:val="20"/>
          <w:szCs w:val="20"/>
          <w:color w:val="auto"/>
        </w:rPr>
      </w:pPr>
    </w:p>
    <w:p>
      <w:pPr>
        <w:jc w:val="both"/>
        <w:ind w:firstLine="518"/>
        <w:spacing w:after="0" w:line="234"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Full Force and Effect; Limited Amendment</w:t>
      </w:r>
      <w:r>
        <w:rPr>
          <w:rFonts w:ascii="Times New Roman" w:cs="Times New Roman" w:eastAsia="Times New Roman" w:hAnsi="Times New Roman"/>
          <w:sz w:val="22"/>
          <w:szCs w:val="22"/>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80"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Each of TSL MR, LLC and TC Lending,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8" w:name="page69"/>
    <w:bookmarkEnd w:id="68"/>
    <w:p>
      <w:pPr>
        <w:ind w:left="1040"/>
        <w:spacing w:after="0"/>
        <w:rPr>
          <w:sz w:val="20"/>
          <w:szCs w:val="20"/>
          <w:color w:val="auto"/>
        </w:rPr>
      </w:pPr>
      <w:r>
        <w:rPr>
          <w:rFonts w:ascii="Times New Roman" w:cs="Times New Roman" w:eastAsia="Times New Roman" w:hAnsi="Times New Roman"/>
          <w:sz w:val="22"/>
          <w:szCs w:val="22"/>
          <w:color w:val="auto"/>
        </w:rPr>
        <w:t>IN WITNESS WHEREOF, the parties hereto have executed and delivered this Amendment as of the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78"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TPG SPECIALTY LENDING, INC.</w:t>
      </w:r>
    </w:p>
    <w:p>
      <w:pPr>
        <w:spacing w:after="0" w:line="210" w:lineRule="exact"/>
        <w:rPr>
          <w:sz w:val="20"/>
          <w:szCs w:val="20"/>
          <w:color w:val="auto"/>
        </w:rPr>
      </w:pPr>
    </w:p>
    <w:p>
      <w:pPr>
        <w:ind w:left="5720"/>
        <w:spacing w:after="0"/>
        <w:tabs>
          <w:tab w:leader="none" w:pos="63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11430</wp:posOffset>
            </wp:positionV>
            <wp:extent cx="31813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22"/>
          <w:szCs w:val="22"/>
          <w:color w:val="auto"/>
        </w:rPr>
        <w:t>Name: Alan Kirshenbaum</w:t>
      </w:r>
    </w:p>
    <w:p>
      <w:pPr>
        <w:ind w:left="5720"/>
        <w:spacing w:after="0"/>
        <w:tabs>
          <w:tab w:leader="none" w:pos="638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3"/>
        </w:trPr>
        <w:tc>
          <w:tcPr>
            <w:tcW w:w="3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LENDERS:</w:t>
            </w:r>
          </w:p>
        </w:tc>
        <w:tc>
          <w:tcPr>
            <w:tcW w:w="8040" w:type="dxa"/>
            <w:vAlign w:val="bottom"/>
            <w:gridSpan w:val="2"/>
          </w:tcPr>
          <w:p>
            <w:pPr>
              <w:ind w:left="2340"/>
              <w:spacing w:after="0"/>
              <w:rPr>
                <w:sz w:val="20"/>
                <w:szCs w:val="20"/>
                <w:color w:val="auto"/>
              </w:rPr>
            </w:pPr>
            <w:r>
              <w:rPr>
                <w:rFonts w:ascii="Times New Roman" w:cs="Times New Roman" w:eastAsia="Times New Roman" w:hAnsi="Times New Roman"/>
                <w:sz w:val="22"/>
                <w:szCs w:val="22"/>
                <w:b w:val="1"/>
                <w:bCs w:val="1"/>
                <w:color w:val="auto"/>
              </w:rPr>
              <w:t>SUNTRUST BANK</w:t>
            </w:r>
          </w:p>
        </w:tc>
      </w:tr>
      <w:tr>
        <w:trPr>
          <w:trHeight w:val="236"/>
        </w:trPr>
        <w:tc>
          <w:tcPr>
            <w:tcW w:w="980" w:type="dxa"/>
            <w:vAlign w:val="bottom"/>
            <w:tcBorders>
              <w:top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8040" w:type="dxa"/>
            <w:vAlign w:val="bottom"/>
            <w:gridSpan w:val="2"/>
          </w:tcPr>
          <w:p>
            <w:pPr>
              <w:ind w:left="2340"/>
              <w:spacing w:after="0" w:line="237" w:lineRule="exact"/>
              <w:rPr>
                <w:sz w:val="20"/>
                <w:szCs w:val="20"/>
                <w:color w:val="auto"/>
              </w:rPr>
            </w:pPr>
            <w:r>
              <w:rPr>
                <w:rFonts w:ascii="Times New Roman" w:cs="Times New Roman" w:eastAsia="Times New Roman" w:hAnsi="Times New Roman"/>
                <w:sz w:val="22"/>
                <w:szCs w:val="22"/>
                <w:color w:val="auto"/>
                <w:w w:val="99"/>
              </w:rPr>
              <w:t>as Administrative Agent, Swingline Lender, Issuing Bank and as</w:t>
            </w:r>
          </w:p>
        </w:tc>
      </w:tr>
      <w:tr>
        <w:trPr>
          <w:trHeight w:val="283"/>
        </w:trPr>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40" w:type="dxa"/>
            <w:vAlign w:val="bottom"/>
            <w:gridSpan w:val="2"/>
          </w:tcPr>
          <w:p>
            <w:pPr>
              <w:ind w:left="2340"/>
              <w:spacing w:after="0"/>
              <w:rPr>
                <w:sz w:val="20"/>
                <w:szCs w:val="20"/>
                <w:color w:val="auto"/>
              </w:rPr>
            </w:pPr>
            <w:r>
              <w:rPr>
                <w:rFonts w:ascii="Times New Roman" w:cs="Times New Roman" w:eastAsia="Times New Roman" w:hAnsi="Times New Roman"/>
                <w:sz w:val="22"/>
                <w:szCs w:val="22"/>
                <w:color w:val="auto"/>
              </w:rPr>
              <w:t>a Lender</w:t>
            </w:r>
          </w:p>
        </w:tc>
      </w:tr>
      <w:tr>
        <w:trPr>
          <w:trHeight w:val="447"/>
        </w:trPr>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20" w:type="dxa"/>
            <w:vAlign w:val="bottom"/>
          </w:tcPr>
          <w:p>
            <w:pPr>
              <w:ind w:left="2340"/>
              <w:spacing w:after="0"/>
              <w:rPr>
                <w:sz w:val="20"/>
                <w:szCs w:val="20"/>
                <w:color w:val="auto"/>
              </w:rPr>
            </w:pPr>
            <w:r>
              <w:rPr>
                <w:rFonts w:ascii="Times New Roman" w:cs="Times New Roman" w:eastAsia="Times New Roman" w:hAnsi="Times New Roman"/>
                <w:sz w:val="22"/>
                <w:szCs w:val="22"/>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Doug Kennedy</w:t>
            </w:r>
          </w:p>
        </w:tc>
      </w:tr>
      <w:tr>
        <w:trPr>
          <w:trHeight w:val="209"/>
        </w:trPr>
        <w:tc>
          <w:tcPr>
            <w:tcW w:w="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20" w:type="dxa"/>
            <w:vAlign w:val="bottom"/>
          </w:tcPr>
          <w:p>
            <w:pPr>
              <w:ind w:left="234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Doug Kennedy</w:t>
            </w:r>
          </w:p>
        </w:tc>
      </w:tr>
      <w:tr>
        <w:trPr>
          <w:trHeight w:val="283"/>
        </w:trPr>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20" w:type="dxa"/>
            <w:vAlign w:val="bottom"/>
          </w:tcPr>
          <w:p>
            <w:pPr>
              <w:ind w:left="2340"/>
              <w:spacing w:after="0"/>
              <w:rPr>
                <w:sz w:val="20"/>
                <w:szCs w:val="20"/>
                <w:color w:val="auto"/>
              </w:rPr>
            </w:pPr>
            <w:r>
              <w:rPr>
                <w:rFonts w:ascii="Times New Roman" w:cs="Times New Roman" w:eastAsia="Times New Roman" w:hAnsi="Times New Roman"/>
                <w:sz w:val="22"/>
                <w:szCs w:val="22"/>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70" w:name="page71"/>
    <w:bookmarkEnd w:id="70"/>
    <w:p>
      <w:pPr>
        <w:ind w:left="5720"/>
        <w:spacing w:after="0"/>
        <w:rPr>
          <w:sz w:val="20"/>
          <w:szCs w:val="20"/>
          <w:color w:val="auto"/>
        </w:rPr>
      </w:pPr>
      <w:r>
        <w:rPr>
          <w:rFonts w:ascii="Times New Roman" w:cs="Times New Roman" w:eastAsia="Times New Roman" w:hAnsi="Times New Roman"/>
          <w:sz w:val="22"/>
          <w:szCs w:val="22"/>
          <w:b w:val="1"/>
          <w:bCs w:val="1"/>
          <w:color w:val="auto"/>
        </w:rPr>
        <w:t xml:space="preserve">JPMORGAN CHASE BANK, N.A., </w:t>
      </w:r>
      <w:r>
        <w:rPr>
          <w:rFonts w:ascii="Times New Roman" w:cs="Times New Roman" w:eastAsia="Times New Roman" w:hAnsi="Times New Roman"/>
          <w:sz w:val="22"/>
          <w:szCs w:val="22"/>
          <w:color w:val="auto"/>
        </w:rPr>
        <w:t>as Swingline Lender,</w:t>
      </w:r>
    </w:p>
    <w:p>
      <w:pPr>
        <w:spacing w:after="0" w:line="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Issuing Bank and as a Lender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Michael Kusner</w:t>
            </w:r>
          </w:p>
        </w:tc>
      </w:tr>
      <w:tr>
        <w:trPr>
          <w:trHeight w:val="209"/>
        </w:trPr>
        <w:tc>
          <w:tcPr>
            <w:tcW w:w="6400" w:type="dxa"/>
            <w:vAlign w:val="bottom"/>
          </w:tcPr>
          <w:p>
            <w:pPr>
              <w:ind w:left="5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Michael Kusner</w:t>
            </w:r>
          </w:p>
        </w:tc>
        <w:tc>
          <w:tcPr>
            <w:tcW w:w="20" w:type="dxa"/>
            <w:vAlign w:val="bottom"/>
          </w:tcPr>
          <w:p>
            <w:pPr>
              <w:spacing w:after="0"/>
              <w:rPr>
                <w:sz w:val="18"/>
                <w:szCs w:val="18"/>
                <w:color w:val="auto"/>
              </w:rPr>
            </w:pPr>
          </w:p>
        </w:tc>
      </w:tr>
      <w:tr>
        <w:trPr>
          <w:trHeight w:val="283"/>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Vice President</w:t>
            </w:r>
          </w:p>
        </w:tc>
      </w:tr>
      <w:tr>
        <w:trPr>
          <w:trHeight w:val="617"/>
        </w:trPr>
        <w:tc>
          <w:tcPr>
            <w:tcW w:w="6400" w:type="dxa"/>
            <w:vAlign w:val="bottom"/>
          </w:tcPr>
          <w:p>
            <w:pPr>
              <w:spacing w:after="0"/>
              <w:rPr>
                <w:sz w:val="24"/>
                <w:szCs w:val="24"/>
                <w:color w:val="auto"/>
              </w:rPr>
            </w:pPr>
          </w:p>
        </w:tc>
        <w:tc>
          <w:tcPr>
            <w:tcW w:w="5040" w:type="dxa"/>
            <w:vAlign w:val="bottom"/>
            <w:gridSpan w:val="2"/>
          </w:tcPr>
          <w:p>
            <w:pPr>
              <w:ind w:left="1260"/>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tc>
      </w:tr>
      <w:tr>
        <w:trPr>
          <w:trHeight w:val="121"/>
        </w:trPr>
        <w:tc>
          <w:tcPr>
            <w:tcW w:w="640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71" w:name="page72"/>
    <w:bookmarkEnd w:id="71"/>
    <w:p>
      <w:pPr>
        <w:ind w:left="4520"/>
        <w:spacing w:after="0"/>
        <w:rPr>
          <w:sz w:val="20"/>
          <w:szCs w:val="20"/>
          <w:color w:val="auto"/>
        </w:rPr>
      </w:pPr>
      <w:r>
        <w:rPr>
          <w:rFonts w:ascii="Times New Roman" w:cs="Times New Roman" w:eastAsia="Times New Roman" w:hAnsi="Times New Roman"/>
          <w:sz w:val="22"/>
          <w:szCs w:val="22"/>
          <w:b w:val="1"/>
          <w:bCs w:val="1"/>
          <w:color w:val="auto"/>
        </w:rPr>
        <w:t>State Street Bank and Trust</w:t>
      </w:r>
      <w:r>
        <w:rPr>
          <w:rFonts w:ascii="Times New Roman" w:cs="Times New Roman" w:eastAsia="Times New Roman" w:hAnsi="Times New Roman"/>
          <w:sz w:val="22"/>
          <w:szCs w:val="22"/>
          <w:color w:val="auto"/>
        </w:rPr>
        <w:t>, 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Janet B. Nolin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Janet B. Nolin</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72" w:name="page73"/>
    <w:bookmarkEnd w:id="72"/>
    <w:p>
      <w:pPr>
        <w:ind w:left="4520"/>
        <w:spacing w:after="0"/>
        <w:rPr>
          <w:sz w:val="20"/>
          <w:szCs w:val="20"/>
          <w:color w:val="auto"/>
        </w:rPr>
      </w:pPr>
      <w:r>
        <w:rPr>
          <w:rFonts w:ascii="Times New Roman" w:cs="Times New Roman" w:eastAsia="Times New Roman" w:hAnsi="Times New Roman"/>
          <w:sz w:val="22"/>
          <w:szCs w:val="22"/>
          <w:b w:val="1"/>
          <w:bCs w:val="1"/>
          <w:color w:val="auto"/>
        </w:rPr>
        <w:t xml:space="preserve">Bank of America N.A.,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Jacob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Jacob Garcia</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73" w:name="page74"/>
    <w:bookmarkEnd w:id="73"/>
    <w:p>
      <w:pPr>
        <w:ind w:left="4520"/>
        <w:spacing w:after="0"/>
        <w:rPr>
          <w:sz w:val="20"/>
          <w:szCs w:val="20"/>
          <w:color w:val="auto"/>
        </w:rPr>
      </w:pPr>
      <w:r>
        <w:rPr>
          <w:rFonts w:ascii="Times New Roman" w:cs="Times New Roman" w:eastAsia="Times New Roman" w:hAnsi="Times New Roman"/>
          <w:sz w:val="22"/>
          <w:szCs w:val="22"/>
          <w:b w:val="1"/>
          <w:bCs w:val="1"/>
          <w:color w:val="auto"/>
        </w:rPr>
        <w:t xml:space="preserve">HSBC Bank USA, N.A.,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Edwin Soogrim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Edwin Soogrim</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74" w:name="page75"/>
    <w:bookmarkEnd w:id="74"/>
    <w:p>
      <w:pPr>
        <w:ind w:left="4520"/>
        <w:spacing w:after="0"/>
        <w:rPr>
          <w:sz w:val="20"/>
          <w:szCs w:val="20"/>
          <w:color w:val="auto"/>
        </w:rPr>
      </w:pPr>
      <w:r>
        <w:rPr>
          <w:rFonts w:ascii="Times New Roman" w:cs="Times New Roman" w:eastAsia="Times New Roman" w:hAnsi="Times New Roman"/>
          <w:sz w:val="22"/>
          <w:szCs w:val="22"/>
          <w:b w:val="1"/>
          <w:bCs w:val="1"/>
          <w:color w:val="auto"/>
        </w:rPr>
        <w:t xml:space="preserve">BARCLAYS BANK PLC,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Vanessa Kurbatskiy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Vanessa Kurbatskiy</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75" w:name="page76"/>
    <w:bookmarkEnd w:id="75"/>
    <w:p>
      <w:pPr>
        <w:ind w:left="5720"/>
        <w:spacing w:after="0"/>
        <w:rPr>
          <w:sz w:val="20"/>
          <w:szCs w:val="20"/>
          <w:color w:val="auto"/>
        </w:rPr>
      </w:pPr>
      <w:r>
        <w:rPr>
          <w:rFonts w:ascii="Times New Roman" w:cs="Times New Roman" w:eastAsia="Times New Roman" w:hAnsi="Times New Roman"/>
          <w:sz w:val="22"/>
          <w:szCs w:val="22"/>
          <w:b w:val="1"/>
          <w:bCs w:val="1"/>
          <w:color w:val="auto"/>
        </w:rPr>
        <w:t xml:space="preserve">CITIBANK, N.A.,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Erik Andersen</w:t>
            </w:r>
          </w:p>
        </w:tc>
      </w:tr>
      <w:tr>
        <w:trPr>
          <w:trHeight w:val="209"/>
        </w:trPr>
        <w:tc>
          <w:tcPr>
            <w:tcW w:w="6400" w:type="dxa"/>
            <w:vAlign w:val="bottom"/>
          </w:tcPr>
          <w:p>
            <w:pPr>
              <w:ind w:left="5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Erik Andersen, CFA</w:t>
            </w:r>
          </w:p>
        </w:tc>
        <w:tc>
          <w:tcPr>
            <w:tcW w:w="20" w:type="dxa"/>
            <w:vAlign w:val="bottom"/>
          </w:tcPr>
          <w:p>
            <w:pPr>
              <w:spacing w:after="0"/>
              <w:rPr>
                <w:sz w:val="18"/>
                <w:szCs w:val="18"/>
                <w:color w:val="auto"/>
              </w:rPr>
            </w:pPr>
          </w:p>
        </w:tc>
      </w:tr>
      <w:tr>
        <w:trPr>
          <w:trHeight w:val="243"/>
        </w:trPr>
        <w:tc>
          <w:tcPr>
            <w:tcW w:w="6400" w:type="dxa"/>
            <w:vAlign w:val="bottom"/>
          </w:tcPr>
          <w:p>
            <w:pPr>
              <w:ind w:left="5720"/>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5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Vice President, Financial Institutions,</w:t>
            </w:r>
          </w:p>
        </w:tc>
      </w:tr>
      <w:tr>
        <w:trPr>
          <w:trHeight w:val="283"/>
        </w:trPr>
        <w:tc>
          <w:tcPr>
            <w:tcW w:w="64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Corporate Banking</w:t>
            </w:r>
          </w:p>
        </w:tc>
      </w:tr>
      <w:tr>
        <w:trPr>
          <w:trHeight w:val="617"/>
        </w:trPr>
        <w:tc>
          <w:tcPr>
            <w:tcW w:w="6400" w:type="dxa"/>
            <w:vAlign w:val="bottom"/>
          </w:tcPr>
          <w:p>
            <w:pPr>
              <w:spacing w:after="0"/>
              <w:rPr>
                <w:sz w:val="24"/>
                <w:szCs w:val="24"/>
                <w:color w:val="auto"/>
              </w:rPr>
            </w:pPr>
          </w:p>
        </w:tc>
        <w:tc>
          <w:tcPr>
            <w:tcW w:w="5040" w:type="dxa"/>
            <w:vAlign w:val="bottom"/>
            <w:gridSpan w:val="2"/>
          </w:tcPr>
          <w:p>
            <w:pPr>
              <w:ind w:left="1260"/>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tc>
      </w:tr>
      <w:tr>
        <w:trPr>
          <w:trHeight w:val="121"/>
        </w:trPr>
        <w:tc>
          <w:tcPr>
            <w:tcW w:w="640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76" w:name="page77"/>
    <w:bookmarkEnd w:id="76"/>
    <w:p>
      <w:pPr>
        <w:ind w:left="4520"/>
        <w:spacing w:after="0"/>
        <w:rPr>
          <w:sz w:val="20"/>
          <w:szCs w:val="20"/>
          <w:color w:val="auto"/>
        </w:rPr>
      </w:pPr>
      <w:r>
        <w:rPr>
          <w:rFonts w:ascii="Times New Roman" w:cs="Times New Roman" w:eastAsia="Times New Roman" w:hAnsi="Times New Roman"/>
          <w:sz w:val="22"/>
          <w:szCs w:val="22"/>
          <w:b w:val="1"/>
          <w:bCs w:val="1"/>
          <w:color w:val="auto"/>
        </w:rPr>
        <w:t xml:space="preserve">GOLDMAN SACHS BANK USA,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Ryan Durkin</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77" w:name="page78"/>
    <w:bookmarkEnd w:id="77"/>
    <w:p>
      <w:pPr>
        <w:ind w:left="5720"/>
        <w:spacing w:after="0"/>
        <w:rPr>
          <w:sz w:val="20"/>
          <w:szCs w:val="20"/>
          <w:color w:val="auto"/>
        </w:rPr>
      </w:pPr>
      <w:r>
        <w:rPr>
          <w:rFonts w:ascii="Times New Roman" w:cs="Times New Roman" w:eastAsia="Times New Roman" w:hAnsi="Times New Roman"/>
          <w:sz w:val="22"/>
          <w:szCs w:val="22"/>
          <w:b w:val="1"/>
          <w:bCs w:val="1"/>
          <w:color w:val="auto"/>
        </w:rPr>
        <w:t xml:space="preserve">Mizuho Bank, Ltd.,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James Fayen</w:t>
            </w:r>
          </w:p>
        </w:tc>
      </w:tr>
      <w:tr>
        <w:trPr>
          <w:trHeight w:val="209"/>
        </w:trPr>
        <w:tc>
          <w:tcPr>
            <w:tcW w:w="6400" w:type="dxa"/>
            <w:vAlign w:val="bottom"/>
          </w:tcPr>
          <w:p>
            <w:pPr>
              <w:ind w:left="5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James Fayen</w:t>
            </w:r>
          </w:p>
        </w:tc>
        <w:tc>
          <w:tcPr>
            <w:tcW w:w="20" w:type="dxa"/>
            <w:vAlign w:val="bottom"/>
          </w:tcPr>
          <w:p>
            <w:pPr>
              <w:spacing w:after="0"/>
              <w:rPr>
                <w:sz w:val="18"/>
                <w:szCs w:val="18"/>
                <w:color w:val="auto"/>
              </w:rPr>
            </w:pPr>
          </w:p>
        </w:tc>
      </w:tr>
      <w:tr>
        <w:trPr>
          <w:trHeight w:val="283"/>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Deputy General Manager</w:t>
            </w:r>
          </w:p>
        </w:tc>
      </w:tr>
      <w:tr>
        <w:trPr>
          <w:trHeight w:val="617"/>
        </w:trPr>
        <w:tc>
          <w:tcPr>
            <w:tcW w:w="6400" w:type="dxa"/>
            <w:vAlign w:val="bottom"/>
          </w:tcPr>
          <w:p>
            <w:pPr>
              <w:spacing w:after="0"/>
              <w:rPr>
                <w:sz w:val="24"/>
                <w:szCs w:val="24"/>
                <w:color w:val="auto"/>
              </w:rPr>
            </w:pPr>
          </w:p>
        </w:tc>
        <w:tc>
          <w:tcPr>
            <w:tcW w:w="5040" w:type="dxa"/>
            <w:vAlign w:val="bottom"/>
            <w:gridSpan w:val="2"/>
          </w:tcPr>
          <w:p>
            <w:pPr>
              <w:ind w:left="1260"/>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tc>
      </w:tr>
      <w:tr>
        <w:trPr>
          <w:trHeight w:val="121"/>
        </w:trPr>
        <w:tc>
          <w:tcPr>
            <w:tcW w:w="640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78" w:name="page79"/>
    <w:bookmarkEnd w:id="78"/>
    <w:p>
      <w:pPr>
        <w:ind w:left="5720"/>
        <w:spacing w:after="0"/>
        <w:rPr>
          <w:sz w:val="20"/>
          <w:szCs w:val="20"/>
          <w:color w:val="auto"/>
        </w:rPr>
      </w:pPr>
      <w:r>
        <w:rPr>
          <w:rFonts w:ascii="Times New Roman" w:cs="Times New Roman" w:eastAsia="Times New Roman" w:hAnsi="Times New Roman"/>
          <w:sz w:val="22"/>
          <w:szCs w:val="22"/>
          <w:b w:val="1"/>
          <w:bCs w:val="1"/>
          <w:color w:val="auto"/>
        </w:rPr>
        <w:t xml:space="preserve">Lloyds Bank PLC,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Erin Doherty</w:t>
            </w:r>
          </w:p>
        </w:tc>
      </w:tr>
      <w:tr>
        <w:trPr>
          <w:trHeight w:val="209"/>
        </w:trPr>
        <w:tc>
          <w:tcPr>
            <w:tcW w:w="6400" w:type="dxa"/>
            <w:vAlign w:val="bottom"/>
          </w:tcPr>
          <w:p>
            <w:pPr>
              <w:ind w:left="5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Erin Doherty – D006</w:t>
            </w:r>
          </w:p>
        </w:tc>
        <w:tc>
          <w:tcPr>
            <w:tcW w:w="20" w:type="dxa"/>
            <w:vAlign w:val="bottom"/>
          </w:tcPr>
          <w:p>
            <w:pPr>
              <w:spacing w:after="0"/>
              <w:rPr>
                <w:sz w:val="18"/>
                <w:szCs w:val="18"/>
                <w:color w:val="auto"/>
              </w:rPr>
            </w:pPr>
          </w:p>
        </w:tc>
      </w:tr>
      <w:tr>
        <w:trPr>
          <w:trHeight w:val="283"/>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Assistant Vice President</w:t>
            </w:r>
          </w:p>
        </w:tc>
      </w:tr>
      <w:tr>
        <w:trPr>
          <w:trHeight w:val="447"/>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Daven Popat</w:t>
            </w:r>
          </w:p>
        </w:tc>
      </w:tr>
      <w:tr>
        <w:trPr>
          <w:trHeight w:val="209"/>
        </w:trPr>
        <w:tc>
          <w:tcPr>
            <w:tcW w:w="6400" w:type="dxa"/>
            <w:vAlign w:val="bottom"/>
          </w:tcPr>
          <w:p>
            <w:pPr>
              <w:ind w:left="5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Daven Popat – P003</w:t>
            </w:r>
          </w:p>
        </w:tc>
        <w:tc>
          <w:tcPr>
            <w:tcW w:w="20" w:type="dxa"/>
            <w:vAlign w:val="bottom"/>
          </w:tcPr>
          <w:p>
            <w:pPr>
              <w:spacing w:after="0"/>
              <w:rPr>
                <w:sz w:val="18"/>
                <w:szCs w:val="18"/>
                <w:color w:val="auto"/>
              </w:rPr>
            </w:pPr>
          </w:p>
        </w:tc>
      </w:tr>
      <w:tr>
        <w:trPr>
          <w:trHeight w:val="283"/>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Senior Vice President</w:t>
            </w:r>
          </w:p>
        </w:tc>
      </w:tr>
      <w:tr>
        <w:trPr>
          <w:trHeight w:val="617"/>
        </w:trPr>
        <w:tc>
          <w:tcPr>
            <w:tcW w:w="6400" w:type="dxa"/>
            <w:vAlign w:val="bottom"/>
          </w:tcPr>
          <w:p>
            <w:pPr>
              <w:spacing w:after="0"/>
              <w:rPr>
                <w:sz w:val="24"/>
                <w:szCs w:val="24"/>
                <w:color w:val="auto"/>
              </w:rPr>
            </w:pPr>
          </w:p>
        </w:tc>
        <w:tc>
          <w:tcPr>
            <w:tcW w:w="5040" w:type="dxa"/>
            <w:vAlign w:val="bottom"/>
            <w:gridSpan w:val="2"/>
          </w:tcPr>
          <w:p>
            <w:pPr>
              <w:ind w:left="1260"/>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tc>
      </w:tr>
      <w:tr>
        <w:trPr>
          <w:trHeight w:val="121"/>
        </w:trPr>
        <w:tc>
          <w:tcPr>
            <w:tcW w:w="640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79" w:name="page80"/>
    <w:bookmarkEnd w:id="79"/>
    <w:p>
      <w:pPr>
        <w:ind w:left="4520"/>
        <w:spacing w:after="0"/>
        <w:rPr>
          <w:sz w:val="20"/>
          <w:szCs w:val="20"/>
          <w:color w:val="auto"/>
        </w:rPr>
      </w:pPr>
      <w:r>
        <w:rPr>
          <w:rFonts w:ascii="Times New Roman" w:cs="Times New Roman" w:eastAsia="Times New Roman" w:hAnsi="Times New Roman"/>
          <w:sz w:val="22"/>
          <w:szCs w:val="22"/>
          <w:b w:val="1"/>
          <w:bCs w:val="1"/>
          <w:color w:val="auto"/>
        </w:rPr>
        <w:t xml:space="preserve">MORGAN STANLEY BANK, N.A.,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Michael King</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80" w:name="page81"/>
    <w:bookmarkEnd w:id="80"/>
    <w:p>
      <w:pPr>
        <w:ind w:left="4520"/>
        <w:spacing w:after="0"/>
        <w:rPr>
          <w:sz w:val="20"/>
          <w:szCs w:val="20"/>
          <w:color w:val="auto"/>
        </w:rPr>
      </w:pPr>
      <w:r>
        <w:rPr>
          <w:rFonts w:ascii="Times New Roman" w:cs="Times New Roman" w:eastAsia="Times New Roman" w:hAnsi="Times New Roman"/>
          <w:sz w:val="22"/>
          <w:szCs w:val="22"/>
          <w:b w:val="1"/>
          <w:bCs w:val="1"/>
          <w:color w:val="auto"/>
        </w:rPr>
        <w:t xml:space="preserve">Santander Bank, N.A.,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Gilbert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Gilbert Torres</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81" w:name="page82"/>
    <w:bookmarkEnd w:id="81"/>
    <w:p>
      <w:pPr>
        <w:ind w:left="5720"/>
        <w:spacing w:after="0"/>
        <w:rPr>
          <w:sz w:val="20"/>
          <w:szCs w:val="20"/>
          <w:color w:val="auto"/>
        </w:rPr>
      </w:pPr>
      <w:r>
        <w:rPr>
          <w:rFonts w:ascii="Times New Roman" w:cs="Times New Roman" w:eastAsia="Times New Roman" w:hAnsi="Times New Roman"/>
          <w:sz w:val="22"/>
          <w:szCs w:val="22"/>
          <w:b w:val="1"/>
          <w:bCs w:val="1"/>
          <w:color w:val="auto"/>
        </w:rPr>
        <w:t xml:space="preserve">CIT FINANCE LLC,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Christopher J. Esposito</w:t>
            </w:r>
          </w:p>
        </w:tc>
      </w:tr>
      <w:tr>
        <w:trPr>
          <w:trHeight w:val="209"/>
        </w:trPr>
        <w:tc>
          <w:tcPr>
            <w:tcW w:w="6400" w:type="dxa"/>
            <w:vAlign w:val="bottom"/>
          </w:tcPr>
          <w:p>
            <w:pPr>
              <w:ind w:left="5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Christopher J. Esposito</w:t>
            </w:r>
          </w:p>
        </w:tc>
        <w:tc>
          <w:tcPr>
            <w:tcW w:w="20" w:type="dxa"/>
            <w:vAlign w:val="bottom"/>
          </w:tcPr>
          <w:p>
            <w:pPr>
              <w:spacing w:after="0"/>
              <w:rPr>
                <w:sz w:val="18"/>
                <w:szCs w:val="18"/>
                <w:color w:val="auto"/>
              </w:rPr>
            </w:pPr>
          </w:p>
        </w:tc>
      </w:tr>
      <w:tr>
        <w:trPr>
          <w:trHeight w:val="283"/>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617"/>
        </w:trPr>
        <w:tc>
          <w:tcPr>
            <w:tcW w:w="6400" w:type="dxa"/>
            <w:vAlign w:val="bottom"/>
          </w:tcPr>
          <w:p>
            <w:pPr>
              <w:spacing w:after="0"/>
              <w:rPr>
                <w:sz w:val="24"/>
                <w:szCs w:val="24"/>
                <w:color w:val="auto"/>
              </w:rPr>
            </w:pPr>
          </w:p>
        </w:tc>
        <w:tc>
          <w:tcPr>
            <w:tcW w:w="5040" w:type="dxa"/>
            <w:vAlign w:val="bottom"/>
            <w:gridSpan w:val="2"/>
          </w:tcPr>
          <w:p>
            <w:pPr>
              <w:ind w:left="1260"/>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tc>
      </w:tr>
      <w:tr>
        <w:trPr>
          <w:trHeight w:val="121"/>
        </w:trPr>
        <w:tc>
          <w:tcPr>
            <w:tcW w:w="640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82" w:name="page83"/>
    <w:bookmarkEnd w:id="82"/>
    <w:p>
      <w:pPr>
        <w:ind w:left="5720"/>
        <w:spacing w:after="0"/>
        <w:rPr>
          <w:sz w:val="20"/>
          <w:szCs w:val="20"/>
          <w:color w:val="auto"/>
        </w:rPr>
      </w:pPr>
      <w:r>
        <w:rPr>
          <w:rFonts w:ascii="Times New Roman" w:cs="Times New Roman" w:eastAsia="Times New Roman" w:hAnsi="Times New Roman"/>
          <w:sz w:val="22"/>
          <w:szCs w:val="22"/>
          <w:b w:val="1"/>
          <w:bCs w:val="1"/>
          <w:color w:val="auto"/>
        </w:rPr>
        <w:t xml:space="preserve">BankUnited, N.A.,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Paul Ferrara</w:t>
            </w:r>
          </w:p>
        </w:tc>
      </w:tr>
      <w:tr>
        <w:trPr>
          <w:trHeight w:val="209"/>
        </w:trPr>
        <w:tc>
          <w:tcPr>
            <w:tcW w:w="6400" w:type="dxa"/>
            <w:vAlign w:val="bottom"/>
          </w:tcPr>
          <w:p>
            <w:pPr>
              <w:ind w:left="57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Paul Ferrara</w:t>
            </w:r>
          </w:p>
        </w:tc>
        <w:tc>
          <w:tcPr>
            <w:tcW w:w="20" w:type="dxa"/>
            <w:vAlign w:val="bottom"/>
          </w:tcPr>
          <w:p>
            <w:pPr>
              <w:spacing w:after="0"/>
              <w:rPr>
                <w:sz w:val="18"/>
                <w:szCs w:val="18"/>
                <w:color w:val="auto"/>
              </w:rPr>
            </w:pPr>
          </w:p>
        </w:tc>
      </w:tr>
      <w:tr>
        <w:trPr>
          <w:trHeight w:val="283"/>
        </w:trPr>
        <w:tc>
          <w:tcPr>
            <w:tcW w:w="6400" w:type="dxa"/>
            <w:vAlign w:val="bottom"/>
          </w:tcPr>
          <w:p>
            <w:pPr>
              <w:ind w:left="572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Vice President</w:t>
            </w:r>
          </w:p>
        </w:tc>
      </w:tr>
      <w:tr>
        <w:trPr>
          <w:trHeight w:val="617"/>
        </w:trPr>
        <w:tc>
          <w:tcPr>
            <w:tcW w:w="6400" w:type="dxa"/>
            <w:vAlign w:val="bottom"/>
          </w:tcPr>
          <w:p>
            <w:pPr>
              <w:spacing w:after="0"/>
              <w:rPr>
                <w:sz w:val="24"/>
                <w:szCs w:val="24"/>
                <w:color w:val="auto"/>
              </w:rPr>
            </w:pPr>
          </w:p>
        </w:tc>
        <w:tc>
          <w:tcPr>
            <w:tcW w:w="5040" w:type="dxa"/>
            <w:vAlign w:val="bottom"/>
            <w:gridSpan w:val="2"/>
          </w:tcPr>
          <w:p>
            <w:pPr>
              <w:ind w:left="1260"/>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tc>
      </w:tr>
      <w:tr>
        <w:trPr>
          <w:trHeight w:val="121"/>
        </w:trPr>
        <w:tc>
          <w:tcPr>
            <w:tcW w:w="640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83" w:name="page84"/>
    <w:bookmarkEnd w:id="83"/>
    <w:p>
      <w:pPr>
        <w:ind w:left="4520"/>
        <w:spacing w:after="0"/>
        <w:rPr>
          <w:sz w:val="20"/>
          <w:szCs w:val="20"/>
          <w:color w:val="auto"/>
        </w:rPr>
      </w:pPr>
      <w:r>
        <w:rPr>
          <w:rFonts w:ascii="Times New Roman" w:cs="Times New Roman" w:eastAsia="Times New Roman" w:hAnsi="Times New Roman"/>
          <w:sz w:val="22"/>
          <w:szCs w:val="22"/>
          <w:b w:val="1"/>
          <w:bCs w:val="1"/>
          <w:color w:val="auto"/>
        </w:rPr>
        <w:t xml:space="preserve">CITY NATIONAL BANK,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Brandon Feitelson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Brandon Feitelson</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84" w:name="page85"/>
    <w:bookmarkEnd w:id="84"/>
    <w:p>
      <w:pPr>
        <w:ind w:left="4520"/>
        <w:spacing w:after="0"/>
        <w:rPr>
          <w:sz w:val="20"/>
          <w:szCs w:val="20"/>
          <w:color w:val="auto"/>
        </w:rPr>
      </w:pPr>
      <w:r>
        <w:rPr>
          <w:rFonts w:ascii="Times New Roman" w:cs="Times New Roman" w:eastAsia="Times New Roman" w:hAnsi="Times New Roman"/>
          <w:sz w:val="22"/>
          <w:szCs w:val="22"/>
          <w:b w:val="1"/>
          <w:bCs w:val="1"/>
          <w:color w:val="auto"/>
        </w:rPr>
        <w:t xml:space="preserve">Comerica Bank, </w:t>
      </w:r>
      <w:r>
        <w:rPr>
          <w:rFonts w:ascii="Times New Roman" w:cs="Times New Roman" w:eastAsia="Times New Roman" w:hAnsi="Times New Roman"/>
          <w:sz w:val="22"/>
          <w:szCs w:val="22"/>
          <w:color w:val="auto"/>
        </w:rPr>
        <w:t>as a Lender</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Timothy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Timothy O’Rourke</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67" w:right="239" w:bottom="1440" w:gutter="0" w:footer="0" w:header="0"/>
        </w:sectPr>
      </w:pPr>
    </w:p>
    <w:bookmarkStart w:id="85" w:name="page86"/>
    <w:bookmarkEnd w:id="85"/>
    <w:p>
      <w:pPr>
        <w:ind w:left="4520"/>
        <w:spacing w:after="0"/>
        <w:rPr>
          <w:sz w:val="20"/>
          <w:szCs w:val="20"/>
          <w:color w:val="auto"/>
        </w:rPr>
      </w:pPr>
      <w:r>
        <w:rPr>
          <w:rFonts w:ascii="Times New Roman" w:cs="Times New Roman" w:eastAsia="Times New Roman" w:hAnsi="Times New Roman"/>
          <w:sz w:val="22"/>
          <w:szCs w:val="22"/>
          <w:color w:val="auto"/>
        </w:rPr>
        <w:t xml:space="preserve">Agreed and acknowledged solely with respect to </w:t>
      </w:r>
      <w:r>
        <w:rPr>
          <w:rFonts w:ascii="Times New Roman" w:cs="Times New Roman" w:eastAsia="Times New Roman" w:hAnsi="Times New Roman"/>
          <w:sz w:val="22"/>
          <w:szCs w:val="22"/>
          <w:u w:val="single" w:color="auto"/>
          <w:color w:val="auto"/>
        </w:rPr>
        <w:t>Section 4.8</w:t>
      </w:r>
    </w:p>
    <w:p>
      <w:pPr>
        <w:spacing w:after="0" w:line="20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TC LENDING, LLC</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Alan Kirshenbaum</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Vice President, Chief Financial Officer and Treasurer</w:t>
      </w:r>
    </w:p>
    <w:p>
      <w:pPr>
        <w:spacing w:after="0" w:line="17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TSL MR, LLC</w:t>
      </w:r>
    </w:p>
    <w:p>
      <w:pPr>
        <w:spacing w:after="0" w:line="210" w:lineRule="exact"/>
        <w:rPr>
          <w:sz w:val="20"/>
          <w:szCs w:val="20"/>
          <w:color w:val="auto"/>
        </w:rPr>
      </w:pP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11430</wp:posOffset>
            </wp:positionV>
            <wp:extent cx="31813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2"/>
          <w:szCs w:val="22"/>
          <w:color w:val="auto"/>
        </w:rPr>
        <w:t>Name: Alan Kirshenbaum</w:t>
      </w:r>
    </w:p>
    <w:p>
      <w:pPr>
        <w:ind w:left="4520"/>
        <w:spacing w:after="0"/>
        <w:tabs>
          <w:tab w:leader="none" w:pos="518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FIRST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77470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1"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SECOND AMENDED AND RESTATED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SENIOR SECURED</w:t>
      </w:r>
    </w:p>
    <w:p>
      <w:pPr>
        <w:jc w:val="center"/>
        <w:spacing w:after="0" w:line="230" w:lineRule="auto"/>
        <w:rPr>
          <w:sz w:val="20"/>
          <w:szCs w:val="20"/>
          <w:color w:val="auto"/>
        </w:rPr>
      </w:pPr>
      <w:r>
        <w:rPr>
          <w:rFonts w:ascii="Times New Roman" w:cs="Times New Roman" w:eastAsia="Times New Roman" w:hAnsi="Times New Roman"/>
          <w:sz w:val="22"/>
          <w:szCs w:val="22"/>
          <w:color w:val="auto"/>
        </w:rPr>
        <w:t>REVOLVING CREDIT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27, 2014</w:t>
      </w:r>
    </w:p>
    <w:p>
      <w:pPr>
        <w:spacing w:after="0" w:line="206"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color w:val="auto"/>
        </w:rPr>
        <w:t>as amended by the First Amendment to Second Amended and Restated Senior Secured Revolving Credit Agreement dated as of June 3, 2014, the Second Amendment to Second Amended and Restated Senior Secured Revolving Credit Agreement dated as of June 27, 2014, Third Amendment to Second Amended and Restated Senior Secured Revolving Credit Agreement dated as of October 17, 2014 and Fourth Amendment to Second Amended and Restated Senior Secured Revolving Credit Agreement dated as of October 2, 2015</w:t>
      </w:r>
    </w:p>
    <w:p>
      <w:pPr>
        <w:spacing w:after="0" w:line="1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TPG SPECIALTY LENDING, INC.</w:t>
      </w:r>
    </w:p>
    <w:p>
      <w:pPr>
        <w:spacing w:after="0" w:line="1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as Borrower</w:t>
      </w:r>
    </w:p>
    <w:p>
      <w:pPr>
        <w:spacing w:after="0" w:line="18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SUNTRUST BANK</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8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Syndication Agent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$781,250,000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165735</wp:posOffset>
            </wp:positionV>
            <wp:extent cx="18522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SUNTRUST ROBINSON HUMPHREY,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J.P. MORGAN SECURITIES LLC</w:t>
      </w:r>
    </w:p>
    <w:p>
      <w:pPr>
        <w:jc w:val="center"/>
        <w:spacing w:after="0"/>
        <w:rPr>
          <w:sz w:val="20"/>
          <w:szCs w:val="20"/>
          <w:color w:val="auto"/>
        </w:rPr>
      </w:pPr>
      <w:r>
        <w:rPr>
          <w:rFonts w:ascii="Times New Roman" w:cs="Times New Roman" w:eastAsia="Times New Roman" w:hAnsi="Times New Roman"/>
          <w:sz w:val="22"/>
          <w:szCs w:val="22"/>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141605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158750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909320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855" w:right="2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87"/>
        </w:trPr>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40" w:type="dxa"/>
            <w:vAlign w:val="bottom"/>
          </w:tcPr>
          <w:p>
            <w:pPr>
              <w:ind w:left="21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200" w:type="dxa"/>
            <w:vAlign w:val="bottom"/>
          </w:tcPr>
          <w:p>
            <w:pPr>
              <w:spacing w:after="0"/>
              <w:rPr>
                <w:sz w:val="24"/>
                <w:szCs w:val="24"/>
                <w:color w:val="auto"/>
              </w:rPr>
            </w:pPr>
          </w:p>
        </w:tc>
      </w:tr>
      <w:tr>
        <w:trPr>
          <w:trHeight w:val="459"/>
        </w:trPr>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6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8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DEFINITIONS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1.01.</w:t>
            </w:r>
          </w:p>
        </w:tc>
        <w:tc>
          <w:tcPr>
            <w:tcW w:w="78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Defined Terms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Classification of Loans and Borrowings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Terms Generally</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Accounting Terms; GAAP</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1.05.</w:t>
            </w:r>
          </w:p>
        </w:tc>
        <w:tc>
          <w:tcPr>
            <w:tcW w:w="78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Currencies; Currency Equivalents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6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8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THE CREDITS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2.01.</w:t>
            </w:r>
          </w:p>
        </w:tc>
        <w:tc>
          <w:tcPr>
            <w:tcW w:w="78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The Commitments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2.02.</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Loans and Borrowings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2.03.</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Requests for Syndicated Borrowings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2.04.</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Swingline Loans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2.05.</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Letters of Credit</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2.06.</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Funding of Borrowings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2.07.</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Interest Elections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2.08.</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Termination, Reduction or Increase of the Commitments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2.09.</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Repayment of Loans; Evidence of Debt</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2.10.</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Prepayment of Loans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2.11.</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2.12.</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Interest</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2.13.</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Alternate Rate of Interest</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2.14.</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Increased Costs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2.15.</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Break Funding Payments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2.16.</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2.17.</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Payments Generally; Pro Rata Treatment: Sharing of Set-offs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2.18.</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2.19.</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Defaulting Lenders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2.20.</w:t>
            </w:r>
          </w:p>
        </w:tc>
        <w:tc>
          <w:tcPr>
            <w:tcW w:w="78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Assignment and Reallocation of Existing Commitments and Existing Loans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365"/>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882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3.01.</w:t>
            </w:r>
          </w:p>
        </w:tc>
        <w:tc>
          <w:tcPr>
            <w:tcW w:w="78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Organization; Powers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3.02.</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Authorization; Enforceability</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3.03.</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Governmental Approvals; No Conflicts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3.04.</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Financial Condition; No Material Adverse Change</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3.05.</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3.06.</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Compliance with Laws and Agreements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3.07.</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3.08.</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ERISA</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3.09.</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Disclosure</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3.10.</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Investment Company Act; Margin Regulations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3.11.</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Material Agreements and Liens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3.12.</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Subsidiaries and Investments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3.13.</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Properties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3.14.</w:t>
            </w:r>
          </w:p>
        </w:tc>
        <w:tc>
          <w:tcPr>
            <w:tcW w:w="78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Affiliate Agreements</w:t>
            </w:r>
          </w:p>
        </w:tc>
        <w:tc>
          <w:tcPr>
            <w:tcW w:w="1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62</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3.15.</w:t>
            </w:r>
          </w:p>
        </w:tc>
        <w:tc>
          <w:tcPr>
            <w:tcW w:w="78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Sanctions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3.16.</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Patriot Act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3.17.</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Collateral Documents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65"/>
        </w:trPr>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IV</w:t>
            </w: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CONDITIONS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4.01.</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Effective Date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4.02.</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Each Credit Event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65"/>
        </w:trPr>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w:t>
            </w: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AFFIRMATIVE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5.01.</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Financial Statements and Other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5.02.</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Notices of Material Events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5.03.</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Existence: Conduct of Business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5.04.</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Payment of Obligations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66</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5.05.</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Maintenance of Properties; Insurance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5.06.</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Books and Records; Inspection and Audit Rights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5.07.</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5.08.</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Certain Obligations Respecting Subsidiaries; Further Assurances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5.09.</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Use of Proceeds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Status of RIC and BDC</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Investment Policies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Portfolio Valuation and Diversification Etc</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5.13.</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Calculation of Borrowing Base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365"/>
        </w:trPr>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VI</w:t>
            </w: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NEGATIVE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6.01.</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Indebtedness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6.02.</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6.03.</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Fundamental Changes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6.04.</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Investments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6.05.</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Restricted Payments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6.06.</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Certain Restrictions on Subsidiaries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6.07.</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Certain Financial Covenants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6.08.</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6.09.</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Lines of Business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6.10.</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No Further Negative Pledge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6.11.</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Modifications of Longer-Term Indebtedness Documents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6.12.</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Payments of Longer-Term Indebtedness and 2019 Convertible Notes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6.13.</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Accounting Changes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6.14.</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SBIC Guarantee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32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8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THE ADMINISTRATIVE AGENT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8.01.</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Appointment of the Administrative Agent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8.02.</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Capacity as Lender</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8.03.</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Limitation of Duties; Exculpation</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8.04.</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Reliance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8.05.</w:t>
            </w:r>
          </w:p>
        </w:tc>
        <w:tc>
          <w:tcPr>
            <w:tcW w:w="752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Sub-Agents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8.06.</w:t>
            </w:r>
          </w:p>
        </w:tc>
        <w:tc>
          <w:tcPr>
            <w:tcW w:w="75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Resignation; Successor Administrative Agent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(continued)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8.07.</w:t>
            </w:r>
          </w:p>
        </w:tc>
        <w:tc>
          <w:tcPr>
            <w:tcW w:w="77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Reliance by Lenders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8.08.</w:t>
            </w:r>
          </w:p>
        </w:tc>
        <w:tc>
          <w:tcPr>
            <w:tcW w:w="77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Modifications to Loan Documents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365"/>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866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MISCELLANEOUS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325"/>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9.01.</w:t>
            </w:r>
          </w:p>
        </w:tc>
        <w:tc>
          <w:tcPr>
            <w:tcW w:w="77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Notices; Electronic Communications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9.02.</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Waivers; Amendments</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9.03.</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Expenses; Indemnity; Damage Waiver</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9.04.</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Successors and Assigns</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94</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9.05.</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Survival</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9.06.</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Counterparts; Integration; Effectiveness; Electronic Execution</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9.07.</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9.08.</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Right of Setoff</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9.09.</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Governing Law; Jurisdiction; Etc</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9.10.</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WAIVER OF JURY TRIAL</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9.11.</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Judgment Currency</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9.12.</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9.13.</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Treatment of Certain Information; No Fiduciary Duty; Confidentiality</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101</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9.14.</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USA PATRIOT Act</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238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SECTION 9.15.</w:t>
            </w:r>
          </w:p>
        </w:tc>
        <w:tc>
          <w:tcPr>
            <w:tcW w:w="77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Effect of Amendment and Restatement of the Existing Credit Agreement</w:t>
            </w:r>
          </w:p>
        </w:tc>
        <w:tc>
          <w:tcPr>
            <w:tcW w:w="1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83"/>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SECTION 9.16.</w:t>
            </w:r>
          </w:p>
        </w:tc>
        <w:tc>
          <w:tcPr>
            <w:tcW w:w="77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Reaffirmation of Guarantee and Security Agreement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53"/>
        </w:trPr>
        <w:tc>
          <w:tcPr>
            <w:tcW w:w="2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1.01(a)</w:t>
            </w:r>
          </w:p>
        </w:tc>
        <w:tc>
          <w:tcPr>
            <w:tcW w:w="934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w w:val="98"/>
              </w:rPr>
              <w:t>—Approved Dealers and Approved Pricing Services</w:t>
            </w:r>
          </w:p>
        </w:tc>
      </w:tr>
      <w:tr>
        <w:trPr>
          <w:trHeight w:val="243"/>
        </w:trPr>
        <w:tc>
          <w:tcPr>
            <w:tcW w:w="21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1.01(b)</w:t>
            </w:r>
          </w:p>
        </w:tc>
        <w:tc>
          <w:tcPr>
            <w:tcW w:w="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Commitments</w:t>
            </w:r>
          </w:p>
        </w:tc>
      </w:tr>
      <w:tr>
        <w:trPr>
          <w:trHeight w:val="243"/>
        </w:trPr>
        <w:tc>
          <w:tcPr>
            <w:tcW w:w="21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1.01(c)</w:t>
            </w:r>
          </w:p>
        </w:tc>
        <w:tc>
          <w:tcPr>
            <w:tcW w:w="934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—Industry Classification Group List</w:t>
            </w:r>
          </w:p>
        </w:tc>
      </w:tr>
      <w:tr>
        <w:trPr>
          <w:trHeight w:val="243"/>
        </w:trPr>
        <w:tc>
          <w:tcPr>
            <w:tcW w:w="21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2.05</w:t>
            </w:r>
          </w:p>
        </w:tc>
        <w:tc>
          <w:tcPr>
            <w:tcW w:w="934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—Issuing Bank LC Exposure</w:t>
            </w:r>
          </w:p>
        </w:tc>
      </w:tr>
      <w:tr>
        <w:trPr>
          <w:trHeight w:val="243"/>
        </w:trPr>
        <w:tc>
          <w:tcPr>
            <w:tcW w:w="21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3.11</w:t>
            </w:r>
          </w:p>
        </w:tc>
        <w:tc>
          <w:tcPr>
            <w:tcW w:w="934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—Material Agreements and Liens</w:t>
            </w:r>
          </w:p>
        </w:tc>
      </w:tr>
      <w:tr>
        <w:trPr>
          <w:trHeight w:val="243"/>
        </w:trPr>
        <w:tc>
          <w:tcPr>
            <w:tcW w:w="21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3.12(a)</w:t>
            </w:r>
          </w:p>
        </w:tc>
        <w:tc>
          <w:tcPr>
            <w:tcW w:w="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Subsidiaries</w:t>
            </w:r>
          </w:p>
        </w:tc>
      </w:tr>
      <w:tr>
        <w:trPr>
          <w:trHeight w:val="243"/>
        </w:trPr>
        <w:tc>
          <w:tcPr>
            <w:tcW w:w="21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 3.12(b)</w:t>
            </w:r>
          </w:p>
        </w:tc>
        <w:tc>
          <w:tcPr>
            <w:tcW w:w="7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Investments</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6.08</w:t>
            </w:r>
          </w:p>
        </w:tc>
        <w:tc>
          <w:tcPr>
            <w:tcW w:w="7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w:t>
            </w:r>
          </w:p>
        </w:tc>
        <w:tc>
          <w:tcPr>
            <w:tcW w:w="86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Transactions with Affiliates</w:t>
            </w:r>
          </w:p>
        </w:tc>
      </w:tr>
      <w:tr>
        <w:trPr>
          <w:trHeight w:val="325"/>
        </w:trPr>
        <w:tc>
          <w:tcPr>
            <w:tcW w:w="2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A</w:t>
            </w:r>
          </w:p>
        </w:tc>
        <w:tc>
          <w:tcPr>
            <w:tcW w:w="934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w w:val="97"/>
              </w:rPr>
              <w:t>—Form of Assignment and Assumption</w:t>
            </w:r>
          </w:p>
        </w:tc>
      </w:tr>
      <w:tr>
        <w:trPr>
          <w:trHeight w:val="243"/>
        </w:trPr>
        <w:tc>
          <w:tcPr>
            <w:tcW w:w="21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934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—Form of Borrowing Base Certificate</w:t>
            </w:r>
          </w:p>
        </w:tc>
      </w:tr>
      <w:tr>
        <w:trPr>
          <w:trHeight w:val="283"/>
        </w:trPr>
        <w:tc>
          <w:tcPr>
            <w:tcW w:w="2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C</w:t>
            </w:r>
          </w:p>
        </w:tc>
        <w:tc>
          <w:tcPr>
            <w:tcW w:w="934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w w:val="98"/>
              </w:rPr>
              <w:t>—Form of Borrowing Request</w:t>
            </w:r>
          </w:p>
        </w:tc>
      </w:tr>
      <w:tr>
        <w:trPr>
          <w:trHeight w:val="1183"/>
        </w:trPr>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1" w:right="219" w:bottom="1440" w:gutter="0" w:footer="0" w:header="0"/>
        </w:sectPr>
      </w:pPr>
    </w:p>
    <w:bookmarkStart w:id="91" w:name="page92"/>
    <w:bookmarkEnd w:id="91"/>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SECOND AMENDED AND RESTATED SENIOR SECURED REVOLVING CREDIT AGREEMENT dated as of February 27, 2014, as amended as of June 3, 2014, as of June 27, 2014, as of October 17, 2014 and as of October 2, 2015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TPG SPECIALTY LENDING,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SUNTRUST BANK, as Administrative Agent.</w:t>
      </w:r>
    </w:p>
    <w:p>
      <w:pPr>
        <w:spacing w:after="0" w:line="181"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among the Borrower, the lenders party thereto (collectively,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and the Administrative Agent, the Existing Lenders agreed to make extensions of credit to the Borrower on the terms and conditions set forth therein, including making loans (the “</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to the Borrower.</w:t>
      </w:r>
    </w:p>
    <w:p>
      <w:pPr>
        <w:spacing w:after="0" w:line="182"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86"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The parties hereto hereby agree to amend and restate the Existing Credit Agreement, and the Existing Credit Agreement is hereby amended and restated in its entirety as follows:</w:t>
      </w:r>
    </w:p>
    <w:p>
      <w:pPr>
        <w:spacing w:after="0" w:line="1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ARTICLE I</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have the meanings specified below:</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2019 Convertible Notes</w:t>
      </w:r>
      <w:r>
        <w:rPr>
          <w:rFonts w:ascii="Times New Roman" w:cs="Times New Roman" w:eastAsia="Times New Roman" w:hAnsi="Times New Roman"/>
          <w:sz w:val="22"/>
          <w:szCs w:val="22"/>
          <w:color w:val="auto"/>
        </w:rPr>
        <w:t>” means the Borrower’s $115,000,000 aggregate principal amount convertible notes due December 2019 issued in June 2014.</w:t>
      </w:r>
    </w:p>
    <w:p>
      <w:pPr>
        <w:spacing w:after="0" w:line="158"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58"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Borrowing Base</w:t>
      </w:r>
      <w:r>
        <w:rPr>
          <w:rFonts w:ascii="Times New Roman" w:cs="Times New Roman" w:eastAsia="Times New Roman" w:hAnsi="Times New Roman"/>
          <w:sz w:val="22"/>
          <w:szCs w:val="22"/>
          <w:color w:val="auto"/>
        </w:rPr>
        <w:t xml:space="preserve">” means the Borrowing Base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2" w:name="page93"/>
    <w:bookmarkEnd w:id="92"/>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Covered Debt Balance</w:t>
      </w:r>
      <w:r>
        <w:rPr>
          <w:rFonts w:ascii="Times New Roman" w:cs="Times New Roman" w:eastAsia="Times New Roman" w:hAnsi="Times New Roman"/>
          <w:sz w:val="22"/>
          <w:szCs w:val="22"/>
          <w:color w:val="auto"/>
        </w:rPr>
        <w:t xml:space="preserve">” means, on any date, the aggregate Covered Debt Amount on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4"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LIBO Rate</w:t>
      </w:r>
      <w:r>
        <w:rPr>
          <w:rFonts w:ascii="Times New Roman" w:cs="Times New Roman" w:eastAsia="Times New Roman" w:hAnsi="Times New Roman"/>
          <w:sz w:val="22"/>
          <w:szCs w:val="22"/>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SunTrust, in its capacity as administrative agent for the Lenders hereunder.</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 Appraisal Testing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5.12(b)(ii)(E)(y)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Account</w:t>
      </w:r>
      <w:r>
        <w:rPr>
          <w:rFonts w:ascii="Times New Roman" w:cs="Times New Roman" w:eastAsia="Times New Roman" w:hAnsi="Times New Roman"/>
          <w:sz w:val="22"/>
          <w:szCs w:val="22"/>
          <w:color w:val="auto"/>
        </w:rPr>
        <w:t>” means, for each Currency, an account in respect of such Currency designated by the Administrative Agent in a notice to the Borrower and the Lenders.</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Currency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62"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81"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Foreign Currency</w:t>
      </w:r>
      <w:r>
        <w:rPr>
          <w:rFonts w:ascii="Times New Roman" w:cs="Times New Roman" w:eastAsia="Times New Roman" w:hAnsi="Times New Roman"/>
          <w:sz w:val="22"/>
          <w:szCs w:val="22"/>
          <w:color w:val="auto"/>
        </w:rPr>
        <w:t>” means, at any time, (i) any of Canadian Dollars, English Pounds Sterling, Euros, Japanese Yen, Australian Dollar, Swiss Franc, Swedish Krona and New Zealand Dollar,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3" w:name="page94"/>
    <w:bookmarkEnd w:id="93"/>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means, for any day, a rate per annum equal to the greatest of (a) zero, (b) the Prime Rate in effect on such day, (c) the Federal Funds Effective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1/2 of 1% and (d) the rate per annum equal to 1%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77"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Dollar Percentage</w:t>
      </w:r>
      <w:r>
        <w:rPr>
          <w:rFonts w:ascii="Times New Roman" w:cs="Times New Roman" w:eastAsia="Times New Roman" w:hAnsi="Times New Roman"/>
          <w:sz w:val="22"/>
          <w:szCs w:val="22"/>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81"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Financial Statements</w:t>
      </w:r>
      <w:r>
        <w:rPr>
          <w:rFonts w:ascii="Times New Roman" w:cs="Times New Roman" w:eastAsia="Times New Roman" w:hAnsi="Times New Roman"/>
          <w:sz w:val="22"/>
          <w:szCs w:val="22"/>
          <w:color w:val="auto"/>
        </w:rPr>
        <w:t xml:space="preserve">” means, as at any date, the most-recent audited financial statements of the Borrower delivered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immediately prior to the delivery to the Lenders of new audited financial statements of the Borrower a Material Adverse Change (the “</w:t>
      </w:r>
      <w:r>
        <w:rPr>
          <w:rFonts w:ascii="Times New Roman" w:cs="Times New Roman" w:eastAsia="Times New Roman" w:hAnsi="Times New Roman"/>
          <w:sz w:val="22"/>
          <w:szCs w:val="22"/>
          <w:u w:val="single" w:color="auto"/>
          <w:color w:val="auto"/>
        </w:rPr>
        <w:t>Pre-existing MAC</w:t>
      </w:r>
      <w:r>
        <w:rPr>
          <w:rFonts w:ascii="Times New Roman" w:cs="Times New Roman" w:eastAsia="Times New Roman" w:hAnsi="Times New Roman"/>
          <w:sz w:val="22"/>
          <w:szCs w:val="22"/>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7" w:lineRule="exact"/>
        <w:rPr>
          <w:sz w:val="20"/>
          <w:szCs w:val="20"/>
          <w:color w:val="auto"/>
        </w:rPr>
      </w:pPr>
    </w:p>
    <w:p>
      <w:pPr>
        <w:jc w:val="both"/>
        <w:ind w:firstLine="1034"/>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means: (a) if the Borrowing Base (as of the most recently delivered Borrowing Base Certificate) is equal to or greater than 1.85 times the Combined Debt Amount, (i) with respect to any ABR Loan, 0.75% per annum; and</w:t>
      </w:r>
    </w:p>
    <w:p>
      <w:pPr>
        <w:spacing w:after="0" w:line="1" w:lineRule="exact"/>
        <w:rPr>
          <w:sz w:val="20"/>
          <w:szCs w:val="20"/>
          <w:color w:val="auto"/>
        </w:rPr>
      </w:pPr>
    </w:p>
    <w:p>
      <w:pPr>
        <w:jc w:val="both"/>
        <w:ind w:firstLine="8"/>
        <w:spacing w:after="0" w:line="232" w:lineRule="auto"/>
        <w:tabs>
          <w:tab w:leader="none" w:pos="34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Eurocurrency Loan, 1.75% per annum and (b) if the Borrowing Base (as of the most recently delivered Borrowing Base Certificate) is less than 1.85 times the Combined Debt Amount (i) with respect to any ABR Loan, 1.00% per annum; and (ii) with respect to any Eurocurrency Loan, 2.00% per annum. Any change in the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Borrowing Base Certificate has not been delivered in accordance with </w:t>
      </w:r>
      <w:r>
        <w:rPr>
          <w:rFonts w:ascii="Times New Roman" w:cs="Times New Roman" w:eastAsia="Times New Roman" w:hAnsi="Times New Roman"/>
          <w:sz w:val="22"/>
          <w:szCs w:val="22"/>
          <w:u w:val="single" w:color="auto"/>
          <w:color w:val="auto"/>
        </w:rPr>
        <w:t>Section 5.01(d)</w:t>
      </w:r>
      <w:r>
        <w:rPr>
          <w:rFonts w:ascii="Times New Roman" w:cs="Times New Roman" w:eastAsia="Times New Roman" w:hAnsi="Times New Roman"/>
          <w:sz w:val="22"/>
          <w:szCs w:val="22"/>
          <w:color w:val="auto"/>
        </w:rPr>
        <w:t xml:space="preserve">, then from and including the day immediately succeeding the date on which such Borrowing Base Certificate was required to be delivered, the Applicable Margin shall be the Applicable Margin set forth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to and including the date on which the required Borrowing Base Certificate is delivered.</w:t>
      </w:r>
    </w:p>
    <w:p>
      <w:pPr>
        <w:spacing w:after="0" w:line="179"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Multicurrency Percentage</w:t>
      </w:r>
      <w:r>
        <w:rPr>
          <w:rFonts w:ascii="Times New Roman" w:cs="Times New Roman" w:eastAsia="Times New Roman" w:hAnsi="Times New Roman"/>
          <w:sz w:val="22"/>
          <w:szCs w:val="22"/>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4" w:name="page95"/>
    <w:bookmarkEnd w:id="94"/>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74" w:lineRule="exact"/>
        <w:rPr>
          <w:sz w:val="20"/>
          <w:szCs w:val="20"/>
          <w:color w:val="auto"/>
        </w:rPr>
      </w:pPr>
    </w:p>
    <w:p>
      <w:pPr>
        <w:jc w:val="both"/>
        <w:ind w:firstLine="1034"/>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Dealer</w:t>
      </w:r>
      <w:r>
        <w:rPr>
          <w:rFonts w:ascii="Times New Roman" w:cs="Times New Roman" w:eastAsia="Times New Roman" w:hAnsi="Times New Roman"/>
          <w:sz w:val="22"/>
          <w:szCs w:val="22"/>
          <w:color w:val="auto"/>
        </w:rPr>
        <w:t>” means (a) in the case of any Portfolio Investment that is not a U.S. Government Security, a bank or a broker-dealer registered under the Securities Exchange Act of 1934 of nationally recognized standing or an Affiliate thereof,</w:t>
      </w:r>
    </w:p>
    <w:p>
      <w:pPr>
        <w:jc w:val="both"/>
        <w:ind w:firstLine="8"/>
        <w:spacing w:after="0" w:line="234" w:lineRule="auto"/>
        <w:tabs>
          <w:tab w:leader="none" w:pos="30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as set forth on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or any other bank or broker-dealer acceptable to the Administrative Agent in its reasonable determination.</w:t>
      </w:r>
    </w:p>
    <w:p>
      <w:pPr>
        <w:spacing w:after="0" w:line="17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Pricing Service</w:t>
      </w:r>
      <w:r>
        <w:rPr>
          <w:rFonts w:ascii="Times New Roman" w:cs="Times New Roman" w:eastAsia="Times New Roman" w:hAnsi="Times New Roman"/>
          <w:sz w:val="22"/>
          <w:szCs w:val="22"/>
          <w:color w:val="auto"/>
        </w:rPr>
        <w:t xml:space="preserve">” means a pricing or quotation service as set forth in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81" w:lineRule="exact"/>
        <w:rPr>
          <w:sz w:val="20"/>
          <w:szCs w:val="20"/>
          <w:color w:val="auto"/>
        </w:rPr>
      </w:pPr>
    </w:p>
    <w:p>
      <w:pPr>
        <w:jc w:val="both"/>
        <w:ind w:firstLine="1034"/>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Third-Party Appraiser</w:t>
      </w:r>
      <w:r>
        <w:rPr>
          <w:rFonts w:ascii="Times New Roman" w:cs="Times New Roman" w:eastAsia="Times New Roman" w:hAnsi="Times New Roman"/>
          <w:sz w:val="21"/>
          <w:szCs w:val="21"/>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72"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Coverage Ratio</w:t>
      </w:r>
      <w:r>
        <w:rPr>
          <w:rFonts w:ascii="Times New Roman" w:cs="Times New Roman" w:eastAsia="Times New Roman" w:hAnsi="Times New Roman"/>
          <w:sz w:val="22"/>
          <w:szCs w:val="22"/>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82"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accepted by the Administrative Agent,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Commitment Termination Date and the date of termination of the Commitments.</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5" w:name="page96"/>
    <w:bookmarkEnd w:id="95"/>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assigned to such term in the preamble to this Agreement.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all Syndicated ABR Loans of the same Class made, converted or continued on the same date,</w:t>
      </w:r>
    </w:p>
    <w:p>
      <w:pPr>
        <w:spacing w:after="0" w:line="14" w:lineRule="exact"/>
        <w:rPr>
          <w:sz w:val="20"/>
          <w:szCs w:val="20"/>
          <w:color w:val="auto"/>
        </w:rPr>
      </w:pPr>
    </w:p>
    <w:p>
      <w:pPr>
        <w:ind w:firstLine="8"/>
        <w:spacing w:after="0" w:line="237" w:lineRule="auto"/>
        <w:tabs>
          <w:tab w:leader="none" w:pos="34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Eurocurrency Loans of the same Class denominated in the same Currency that have the same Interest Period or (c) a Swingline Loan.</w:t>
      </w:r>
    </w:p>
    <w:p>
      <w:pPr>
        <w:spacing w:after="0" w:line="1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means a certificate of a Financial Officer of the Borrower,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appropriately completed.</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Deficiency</w:t>
      </w:r>
      <w:r>
        <w:rPr>
          <w:rFonts w:ascii="Times New Roman" w:cs="Times New Roman" w:eastAsia="Times New Roman" w:hAnsi="Times New Roman"/>
          <w:sz w:val="22"/>
          <w:szCs w:val="22"/>
          <w:color w:val="auto"/>
        </w:rPr>
        <w:t>” means, at any date on which the same is determined, the amount, if any, that (a) the aggregate Covered Debt Amount as of such date exceeds (b) the Borrowing Base as of such date.</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means a request by the Borrower for a Syndicated Borrowing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034"/>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76"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Amount</w:t>
      </w:r>
      <w:r>
        <w:rPr>
          <w:rFonts w:ascii="Times New Roman" w:cs="Times New Roman" w:eastAsia="Times New Roman" w:hAnsi="Times New Roman"/>
          <w:sz w:val="22"/>
          <w:szCs w:val="22"/>
          <w:color w:val="auto"/>
        </w:rPr>
        <w:t xml:space="preserve">” shall mean, as of the end of any Testing Period, an amount equal to the greater of: (a) (i) 125% of the Adjusted Covered Debt Balance (as of the end of such Testing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more than 25% (or, if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applies, 10%, or as near thereto as reasonably practicable) of the aggregate Value of the Unquoted Investments in the Borrowing Base be tested in respect of any applicable Testing Period.</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w:t>
      </w:r>
      <w:r>
        <w:rPr>
          <w:rFonts w:ascii="Times New Roman" w:cs="Times New Roman" w:eastAsia="Times New Roman" w:hAnsi="Times New Roman"/>
          <w:sz w:val="22"/>
          <w:szCs w:val="22"/>
          <w:color w:val="auto"/>
        </w:rPr>
        <w:t xml:space="preserve">” means the exchange of the Lenders’ interests provided for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 Date</w:t>
      </w:r>
      <w:r>
        <w:rPr>
          <w:rFonts w:ascii="Times New Roman" w:cs="Times New Roman" w:eastAsia="Times New Roman" w:hAnsi="Times New Roman"/>
          <w:sz w:val="22"/>
          <w:szCs w:val="22"/>
          <w:color w:val="auto"/>
        </w:rPr>
        <w:t xml:space="preserve">” means the date on which any Event of Default referred to in </w:t>
      </w:r>
      <w:r>
        <w:rPr>
          <w:rFonts w:ascii="Times New Roman" w:cs="Times New Roman" w:eastAsia="Times New Roman" w:hAnsi="Times New Roman"/>
          <w:sz w:val="22"/>
          <w:szCs w:val="22"/>
          <w:u w:val="single" w:color="auto"/>
          <w:color w:val="auto"/>
        </w:rPr>
        <w:t>clause (j)</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occur or the date on which the Company receives written notice from the Administrative Agent that any Event of Default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has occurred.</w:t>
      </w:r>
    </w:p>
    <w:p>
      <w:pPr>
        <w:spacing w:after="0" w:line="17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Percentage</w:t>
      </w:r>
      <w:r>
        <w:rPr>
          <w:rFonts w:ascii="Times New Roman" w:cs="Times New Roman" w:eastAsia="Times New Roman" w:hAnsi="Times New Roman"/>
          <w:sz w:val="22"/>
          <w:szCs w:val="22"/>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22"/>
          <w:szCs w:val="22"/>
          <w:color w:val="auto"/>
        </w:rPr>
        <w:t>denominator shall be the aggregate Dollar Equivalent amount of the Designated Obligations owed to all the Lenders (whether or not at the time due and payable) immediately prior to the CAM Exchange Date.</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1"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any immediately available funds in Dollars or in any currency other than Dollars (measured in terms of the Dollar Equivalent thereof) which is a freely convertible currency.</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xml:space="preserve">” means, in respect of a Letter of Credit or any obligation hereunder, to provide and pledge cash collateral pursuant to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at a location and pursuant to documentation in form and substance reasonably satisfactory to Administrative Agent and each Issuing Bank.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investments (other than Cash) that are one or more of the following obligations:</w:t>
      </w:r>
    </w:p>
    <w:p>
      <w:pPr>
        <w:spacing w:after="0" w:line="206" w:lineRule="exact"/>
        <w:rPr>
          <w:sz w:val="20"/>
          <w:szCs w:val="20"/>
          <w:color w:val="auto"/>
        </w:rPr>
      </w:pPr>
    </w:p>
    <w:p>
      <w:pPr>
        <w:ind w:left="1340" w:hanging="298"/>
        <w:spacing w:after="0"/>
        <w:tabs>
          <w:tab w:leader="none" w:pos="13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Government Securities, in each case maturing within one year from the date of acquisition thereof;</w:t>
      </w:r>
    </w:p>
    <w:p>
      <w:pPr>
        <w:spacing w:after="0" w:line="206" w:lineRule="exact"/>
        <w:rPr>
          <w:rFonts w:ascii="Times New Roman" w:cs="Times New Roman" w:eastAsia="Times New Roman" w:hAnsi="Times New Roman"/>
          <w:sz w:val="22"/>
          <w:szCs w:val="22"/>
          <w:color w:val="auto"/>
        </w:rPr>
      </w:pPr>
    </w:p>
    <w:p>
      <w:pPr>
        <w:ind w:firstLine="1042"/>
        <w:spacing w:after="0" w:line="281" w:lineRule="exact"/>
        <w:tabs>
          <w:tab w:leader="none" w:pos="13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w:t>
      </w:r>
    </w:p>
    <w:p>
      <w:pPr>
        <w:spacing w:after="0" w:line="155" w:lineRule="exact"/>
        <w:rPr>
          <w:rFonts w:ascii="Times New Roman" w:cs="Times New Roman" w:eastAsia="Times New Roman" w:hAnsi="Times New Roman"/>
          <w:sz w:val="22"/>
          <w:szCs w:val="22"/>
          <w:color w:val="auto"/>
        </w:rPr>
      </w:pPr>
    </w:p>
    <w:p>
      <w:pPr>
        <w:jc w:val="both"/>
        <w:ind w:firstLine="1042"/>
        <w:spacing w:after="0" w:line="253" w:lineRule="exact"/>
        <w:tabs>
          <w:tab w:leader="none" w:pos="135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w:t>
      </w:r>
    </w:p>
    <w:p>
      <w:pPr>
        <w:spacing w:after="0" w:line="160" w:lineRule="exact"/>
        <w:rPr>
          <w:rFonts w:ascii="Times New Roman" w:cs="Times New Roman" w:eastAsia="Times New Roman" w:hAnsi="Times New Roman"/>
          <w:sz w:val="22"/>
          <w:szCs w:val="22"/>
          <w:color w:val="auto"/>
        </w:rPr>
      </w:pPr>
    </w:p>
    <w:p>
      <w:pPr>
        <w:jc w:val="both"/>
        <w:ind w:firstLine="1042"/>
        <w:spacing w:after="0" w:line="262" w:lineRule="exact"/>
        <w:tabs>
          <w:tab w:leader="none" w:pos="134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and</w:t>
      </w:r>
    </w:p>
    <w:p>
      <w:pPr>
        <w:spacing w:after="0" w:line="156"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3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money market funds that invest solely, and which are restricted by their respective charters to invest solely, in investments of the type described in the immediately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(including as to credit quality and maturity).</w:t>
      </w:r>
    </w:p>
    <w:p>
      <w:pPr>
        <w:spacing w:after="0" w:line="17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7" w:name="page98"/>
    <w:bookmarkEnd w:id="97"/>
    <w:p>
      <w:pPr>
        <w:jc w:val="both"/>
        <w:spacing w:after="0" w:line="244" w:lineRule="auto"/>
        <w:rPr>
          <w:sz w:val="20"/>
          <w:szCs w:val="20"/>
          <w:color w:val="auto"/>
        </w:rPr>
      </w:pPr>
      <w:r>
        <w:rPr>
          <w:rFonts w:ascii="Times New Roman" w:cs="Times New Roman" w:eastAsia="Times New Roman" w:hAnsi="Times New Roman"/>
          <w:sz w:val="22"/>
          <w:szCs w:val="22"/>
          <w:color w:val="auto"/>
        </w:rPr>
        <w:t>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74"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u w:val="single" w:color="auto"/>
          <w:color w:val="auto"/>
        </w:rPr>
        <w:t>“CDOR Rate” means, the rate per annum, equal to the average of the annual yield rates applicable to Canadian Dollar banker’s acceptances at or about 10:00a.m. (Toronto, Ontario time) on the first day of such Interest Period (or if such day is not a Business Day, then on the immediately preceding Business Day) as reported on the “CDOR Page” (or any display substituted therefor)</w:t>
      </w:r>
      <w:r>
        <w:rPr>
          <w:rFonts w:ascii="Times New Roman" w:cs="Times New Roman" w:eastAsia="Times New Roman" w:hAnsi="Times New Roman"/>
          <w:sz w:val="22"/>
          <w:szCs w:val="22"/>
          <w:color w:val="auto"/>
        </w:rPr>
        <w:t xml:space="preserve">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8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External Manager ceases to be Controlled by (a) (I) David Bonderman or James Coulter and (II) Alan Waxman, or any of their successors or (b) an Affiliate of TPG Holdings II, L.P. (but, for the avoidance of doubt, excluding Controlled portfolio investment companies of TPG Holdings II, L.P.).</w:t>
      </w:r>
    </w:p>
    <w:p>
      <w:pPr>
        <w:spacing w:after="0" w:line="174"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79"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any Loan or Borrowing, refers to whether such Loan,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of a Letter of Credit refers to whether such Letter of Credit is a Dollar Letter of Credit or a Multicurrency Letter of Credit.</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assigned to such term in the Guarantee and Security Agreement.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SunTrust in its capacity as Collateral Agent under the Guarantee and Security Agreement, and includes any successor Collateral Agent thereunder.</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8" w:name="page99"/>
    <w:bookmarkEnd w:id="98"/>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Pool</w:t>
      </w:r>
      <w:r>
        <w:rPr>
          <w:rFonts w:ascii="Times New Roman" w:cs="Times New Roman" w:eastAsia="Times New Roman" w:hAnsi="Times New Roman"/>
          <w:sz w:val="22"/>
          <w:szCs w:val="22"/>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79"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Combined Debt Amount</w:t>
      </w:r>
      <w:r>
        <w:rPr>
          <w:rFonts w:ascii="Times New Roman" w:cs="Times New Roman" w:eastAsia="Times New Roman" w:hAnsi="Times New Roman"/>
          <w:sz w:val="22"/>
          <w:szCs w:val="22"/>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collectively, the Dollar Commitments and the Multicurrency Commitments.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October 2, 2019.</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Group</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7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Debt Amount</w:t>
      </w:r>
      <w:r>
        <w:rPr>
          <w:rFonts w:ascii="Times New Roman" w:cs="Times New Roman" w:eastAsia="Times New Roman" w:hAnsi="Times New Roman"/>
          <w:sz w:val="21"/>
          <w:szCs w:val="21"/>
          <w:color w:val="auto"/>
        </w:rPr>
        <w:t xml:space="preserve">” means, on any date, the sum of (x) all of the Revolving Credit Exposures of all Lenders on such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(y) the aggregate amount of Other Covered Indebtedness, the 2019 Convertible Notes, Special Unsecured Indebtedness and Unsecured Longer Term Indebtedness on such date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(z) the LC Exposures fully Cash Collateralized on such date pursuant to </w:t>
      </w:r>
      <w:r>
        <w:rPr>
          <w:rFonts w:ascii="Times New Roman" w:cs="Times New Roman" w:eastAsia="Times New Roman" w:hAnsi="Times New Roman"/>
          <w:sz w:val="21"/>
          <w:szCs w:val="21"/>
          <w:u w:val="single" w:color="auto"/>
          <w:color w:val="auto"/>
        </w:rPr>
        <w:t>Section 2.05(k)</w:t>
      </w:r>
      <w:r>
        <w:rPr>
          <w:rFonts w:ascii="Times New Roman" w:cs="Times New Roman" w:eastAsia="Times New Roman" w:hAnsi="Times New Roman"/>
          <w:sz w:val="21"/>
          <w:szCs w:val="21"/>
          <w:color w:val="auto"/>
        </w:rPr>
        <w:t xml:space="preserve"> and the last paragraph of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2019 Convertible Notes, Special Unsecured Indebtedness and Unsecured Longer-Term Indebtedness shall be excluded from the calculation of the Covered Debt Amount, in each case, until the date that is nine (9) months prior to the scheduled maturity date of the 2019 Convertible Notes, Special Unsecured Indebtedness or such Unsecured Longer-Term Indebtedness, as applicable (provided that, to the extent, but only to the extent, any portion of the 2019 Convertible Notes, Special Unsecured Indebtedness or Unsecured Longer-Term Indebtedness is subject to a contractually scheduled amortization payment or other principal payment or mandatory redemption (other than in common stock of the Borrower) earlier than six (6) months after the Final Maturity Date (in the case of the 2019 Convertible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9" w:name="page100"/>
    <w:bookmarkEnd w:id="99"/>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means Dollars or any Foreign Currency.</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58" w:lineRule="exact"/>
        <w:rPr>
          <w:sz w:val="20"/>
          <w:szCs w:val="20"/>
          <w:color w:val="auto"/>
        </w:rPr>
      </w:pPr>
    </w:p>
    <w:p>
      <w:pPr>
        <w:jc w:val="both"/>
        <w:ind w:firstLine="1034"/>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2.19(b)</w:t>
      </w:r>
      <w:r>
        <w:rPr>
          <w:rFonts w:ascii="Times New Roman" w:cs="Times New Roman" w:eastAsia="Times New Roman" w:hAnsi="Times New Roman"/>
          <w:sz w:val="21"/>
          <w:szCs w:val="21"/>
          <w:color w:val="auto"/>
        </w:rPr>
        <w:t>, any Lender that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any Issuing Bank, any Swingline Lender or any Lender any other amount required to be paid by it hereunder (including in respect of its participation in Letters of Credit or Swingline Loans) within two Business Days of the date when due,</w:t>
      </w:r>
    </w:p>
    <w:p>
      <w:pPr>
        <w:jc w:val="both"/>
        <w:ind w:firstLine="8"/>
        <w:spacing w:after="0" w:line="231" w:lineRule="auto"/>
        <w:tabs>
          <w:tab w:leader="none" w:pos="3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or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 upon such determination (and the Administrative Agent shall deliver written notice of such determination to the Borrower, each Issuing Bank and each Lender and each Swingline Lender).</w:t>
      </w:r>
    </w:p>
    <w:p>
      <w:pPr>
        <w:spacing w:after="0" w:line="183"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Obligations</w:t>
      </w:r>
      <w:r>
        <w:rPr>
          <w:rFonts w:ascii="Times New Roman" w:cs="Times New Roman" w:eastAsia="Times New Roman" w:hAnsi="Times New Roman"/>
          <w:sz w:val="22"/>
          <w:szCs w:val="22"/>
          <w:color w:val="auto"/>
        </w:rPr>
        <w:t>” means all obligations of the Borrower with respect to (a) principal of and interest on the Loans and (b) accrued and unpaid fees under the Loan Documents.</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w:t>
      </w:r>
    </w:p>
    <w:p>
      <w:pPr>
        <w:spacing w:after="0" w:line="18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22"/>
          <w:szCs w:val="22"/>
          <w:color w:val="auto"/>
        </w:rPr>
        <w:t>“Disposition” or “Dispose” shall not include the disposition of Portfolio Investments originated by the Borrower and immediately transferred to a Financing Subsidiary pursuant to a transaction not prohibited hereunder.</w:t>
      </w:r>
    </w:p>
    <w:p>
      <w:pPr>
        <w:spacing w:after="0" w:line="158"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Commitment</w:t>
      </w:r>
      <w:r>
        <w:rPr>
          <w:rFonts w:ascii="Times New Roman" w:cs="Times New Roman" w:eastAsia="Times New Roman" w:hAnsi="Times New Roman"/>
          <w:sz w:val="22"/>
          <w:szCs w:val="22"/>
          <w:color w:val="auto"/>
        </w:rPr>
        <w:t xml:space="preserve">”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from time to time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(b)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amount of each Lender’s Dollar Commitment as of the Fourth Amendment Effective Date is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or in the Assignment and Assumption pursuant to which such Lender shall have assumed its Dollar Commitment, as applicable. The aggregate amount of the Lenders’ Dollar Commitments as of the Fourth Amendment Effective Date is $76,250,000.</w:t>
      </w:r>
    </w:p>
    <w:p>
      <w:pPr>
        <w:spacing w:after="0" w:line="179"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77"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LC Exposure</w:t>
      </w:r>
      <w:r>
        <w:rPr>
          <w:rFonts w:ascii="Times New Roman" w:cs="Times New Roman" w:eastAsia="Times New Roman" w:hAnsi="Times New Roman"/>
          <w:sz w:val="22"/>
          <w:szCs w:val="22"/>
          <w:color w:val="auto"/>
        </w:rPr>
        <w:t xml:space="preserve">” means, at any time, the sum of (a) the aggregate undrawn amount of all outstanding Dollar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1"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Letters of Credit</w:t>
      </w:r>
      <w:r>
        <w:rPr>
          <w:rFonts w:ascii="Times New Roman" w:cs="Times New Roman" w:eastAsia="Times New Roman" w:hAnsi="Times New Roman"/>
          <w:sz w:val="22"/>
          <w:szCs w:val="22"/>
          <w:color w:val="auto"/>
        </w:rPr>
        <w:t>” means Letters of Credit that utilize the Dollar Commitments.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Loan</w:t>
      </w:r>
      <w:r>
        <w:rPr>
          <w:rFonts w:ascii="Times New Roman" w:cs="Times New Roman" w:eastAsia="Times New Roman" w:hAnsi="Times New Roman"/>
          <w:sz w:val="22"/>
          <w:szCs w:val="22"/>
          <w:color w:val="auto"/>
        </w:rPr>
        <w:t>” means a Loan denominated in Dollars.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 of America.</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on which the conditions specified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1" w:name="page102"/>
    <w:bookmarkEnd w:id="101"/>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4"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means a single currency of the Participating Member States.</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w:t>
      </w:r>
      <w:r>
        <w:rPr>
          <w:rFonts w:ascii="Times New Roman" w:cs="Times New Roman" w:eastAsia="Times New Roman" w:hAnsi="Times New Roman"/>
          <w:sz w:val="22"/>
          <w:szCs w:val="22"/>
          <w:color w:val="auto"/>
        </w:rPr>
        <w:t>”, when used in reference to any Loan or Borrowing, refers to whether such Loan, or the Loans constituting such Borrowing, are bearing interest at a rate determined by reference to the Adjusted LIBO Rate.</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Times New Roman" w:cs="Times New Roman" w:eastAsia="Times New Roman" w:hAnsi="Times New Roman"/>
          <w:sz w:val="22"/>
          <w:szCs w:val="22"/>
          <w:u w:val="single" w:color="auto"/>
          <w:color w:val="auto"/>
        </w:rPr>
        <w:t>Section 2.16(f)</w:t>
      </w:r>
      <w:r>
        <w:rPr>
          <w:rFonts w:ascii="Times New Roman" w:cs="Times New Roman" w:eastAsia="Times New Roman" w:hAnsi="Times New Roman"/>
          <w:sz w:val="22"/>
          <w:szCs w:val="22"/>
          <w:color w:val="auto"/>
        </w:rPr>
        <w:t>, (d) any U.S. federal, state or local backup withholding Taxes imposed on payments made under any Loan Document, and (e) any Taxes that are imposed under FATCA.</w:t>
      </w:r>
    </w:p>
    <w:p>
      <w:pPr>
        <w:spacing w:after="0" w:line="1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2" w:name="page103"/>
    <w:bookmarkEnd w:id="102"/>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External Manager</w:t>
      </w:r>
      <w:r>
        <w:rPr>
          <w:rFonts w:ascii="Times New Roman" w:cs="Times New Roman" w:eastAsia="Times New Roman" w:hAnsi="Times New Roman"/>
          <w:sz w:val="22"/>
          <w:szCs w:val="22"/>
          <w:color w:val="auto"/>
        </w:rPr>
        <w:t>” means TSL Advisers, LLC.</w:t>
      </w:r>
    </w:p>
    <w:p>
      <w:pPr>
        <w:spacing w:after="0" w:line="206"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Receipts</w:t>
      </w:r>
      <w:r>
        <w:rPr>
          <w:rFonts w:ascii="Times New Roman" w:cs="Times New Roman" w:eastAsia="Times New Roman" w:hAnsi="Times New Roman"/>
          <w:sz w:val="22"/>
          <w:szCs w:val="22"/>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Extraordinary Receipts shall not include any (x) amounts that the Borrower receives from the Administrative Agent or any Lender pursuant to </w:t>
      </w:r>
      <w:r>
        <w:rPr>
          <w:rFonts w:ascii="Times New Roman" w:cs="Times New Roman" w:eastAsia="Times New Roman" w:hAnsi="Times New Roman"/>
          <w:sz w:val="22"/>
          <w:szCs w:val="22"/>
          <w:u w:val="single" w:color="auto"/>
          <w:color w:val="auto"/>
        </w:rPr>
        <w:t>Section 2.16(f)</w:t>
      </w:r>
      <w:r>
        <w:rPr>
          <w:rFonts w:ascii="Times New Roman" w:cs="Times New Roman" w:eastAsia="Times New Roman" w:hAnsi="Times New Roman"/>
          <w:sz w:val="22"/>
          <w:szCs w:val="22"/>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86" w:lineRule="exact"/>
        <w:rPr>
          <w:sz w:val="20"/>
          <w:szCs w:val="20"/>
          <w:color w:val="auto"/>
        </w:rPr>
      </w:pPr>
    </w:p>
    <w:p>
      <w:pPr>
        <w:jc w:val="both"/>
        <w:ind w:firstLine="1034"/>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62"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means October 2, 2020.</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the chief financial officer, principal accounting officer, treasurer or controller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Subsidiary</w:t>
      </w:r>
      <w:r>
        <w:rPr>
          <w:rFonts w:ascii="Times New Roman" w:cs="Times New Roman" w:eastAsia="Times New Roman" w:hAnsi="Times New Roman"/>
          <w:sz w:val="22"/>
          <w:szCs w:val="22"/>
          <w:color w:val="auto"/>
        </w:rPr>
        <w:t>” means an SPE Subsidiary or an SBIC Subsidiary.</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w:t>
      </w:r>
      <w:r>
        <w:rPr>
          <w:rFonts w:ascii="Times New Roman" w:cs="Times New Roman" w:eastAsia="Times New Roman" w:hAnsi="Times New Roman"/>
          <w:sz w:val="22"/>
          <w:szCs w:val="22"/>
          <w:color w:val="auto"/>
        </w:rPr>
        <w:t>” means at any time any Currency other than Dollars.</w:t>
      </w:r>
    </w:p>
    <w:p>
      <w:pPr>
        <w:spacing w:after="0" w:line="206"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Equivalent</w:t>
      </w:r>
      <w:r>
        <w:rPr>
          <w:rFonts w:ascii="Times New Roman" w:cs="Times New Roman" w:eastAsia="Times New Roman" w:hAnsi="Times New Roman"/>
          <w:sz w:val="22"/>
          <w:szCs w:val="22"/>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not a “United States person” as defined under Section 7701(a)(30)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3" w:name="page104"/>
    <w:bookmarkEnd w:id="103"/>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Fourth Amendment Effective Date</w:t>
      </w:r>
      <w:r>
        <w:rPr>
          <w:rFonts w:ascii="Times New Roman" w:cs="Times New Roman" w:eastAsia="Times New Roman" w:hAnsi="Times New Roman"/>
          <w:sz w:val="22"/>
          <w:szCs w:val="22"/>
          <w:color w:val="auto"/>
        </w:rPr>
        <w:t>” means October 2, 2015.</w:t>
      </w:r>
    </w:p>
    <w:p>
      <w:pPr>
        <w:spacing w:after="0" w:line="206"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81"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2"/>
          <w:szCs w:val="22"/>
          <w:u w:val="single" w:color="auto"/>
          <w:color w:val="auto"/>
        </w:rPr>
        <w:t>primary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84"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and Security Agreement</w:t>
      </w:r>
      <w:r>
        <w:rPr>
          <w:rFonts w:ascii="Times New Roman" w:cs="Times New Roman" w:eastAsia="Times New Roman" w:hAnsi="Times New Roman"/>
          <w:sz w:val="22"/>
          <w:szCs w:val="22"/>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77"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Assumption Agreement</w:t>
      </w:r>
      <w:r>
        <w:rPr>
          <w:rFonts w:ascii="Times New Roman" w:cs="Times New Roman" w:eastAsia="Times New Roman" w:hAnsi="Times New Roman"/>
          <w:sz w:val="22"/>
          <w:szCs w:val="22"/>
          <w:color w:val="auto"/>
        </w:rPr>
        <w:t xml:space="preserve">” means a Guarantee Assumption Agreement substantially in the form of Exhibit B to the Guarantee and Security Agreement between the Collateral Agent and an entity that pursuant to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xml:space="preserve"> is required to become a “Subsidiary Guarantor” under the Guarantee and Security Agreement (with such changes as the Administrative Agent shall request consistent with the requirements of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4" w:name="page105"/>
    <w:bookmarkEnd w:id="104"/>
    <w:p>
      <w:pPr>
        <w:jc w:val="both"/>
        <w:ind w:firstLine="1034"/>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Hedging Agreement</w:t>
      </w:r>
      <w:r>
        <w:rPr>
          <w:rFonts w:ascii="Times New Roman" w:cs="Times New Roman" w:eastAsia="Times New Roman" w:hAnsi="Times New Roman"/>
          <w:sz w:val="21"/>
          <w:szCs w:val="21"/>
          <w:color w:val="auto"/>
        </w:rPr>
        <w:t>” means any interest rate protection agreement, foreign currency exchange protection agreement, commodity price protection agreement or other interest or currency exchange rate or commodity price hedging arrangement.</w:t>
      </w:r>
    </w:p>
    <w:p>
      <w:pPr>
        <w:spacing w:after="0" w:line="135"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Subsidiaries</w:t>
      </w:r>
      <w:r>
        <w:rPr>
          <w:rFonts w:ascii="Times New Roman" w:cs="Times New Roman" w:eastAsia="Times New Roman" w:hAnsi="Times New Roman"/>
          <w:sz w:val="22"/>
          <w:szCs w:val="22"/>
          <w:color w:val="auto"/>
        </w:rPr>
        <w:t xml:space="preserve">” means those Subsidiaries of the Borrower that are “designated” as Immaterial Subsidiaries by the Borrower from time to time (it being understood that the Borrower may at any time change any such designation);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designated Immaterial Subsidiaries shall collectively meet all of the following criteria as of the date of the most recent balance sheet required to be delivered pursuant to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93"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 imposed on or with respect to any payment made by or on account of any obligation of the Borrower under this Agreement.</w:t>
      </w:r>
    </w:p>
    <w:p>
      <w:pPr>
        <w:spacing w:after="0" w:line="158"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w:t>
      </w:r>
      <w:r>
        <w:rPr>
          <w:rFonts w:ascii="Times New Roman" w:cs="Times New Roman" w:eastAsia="Times New Roman" w:hAnsi="Times New Roman"/>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77"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Industry Classification Group</w:t>
      </w:r>
      <w:r>
        <w:rPr>
          <w:rFonts w:ascii="Times New Roman" w:cs="Times New Roman" w:eastAsia="Times New Roman" w:hAnsi="Times New Roman"/>
          <w:sz w:val="22"/>
          <w:szCs w:val="22"/>
          <w:color w:val="auto"/>
        </w:rPr>
        <w:t xml:space="preserve">” means (a) any of the classification groups set forth in </w:t>
      </w:r>
      <w:r>
        <w:rPr>
          <w:rFonts w:ascii="Times New Roman" w:cs="Times New Roman" w:eastAsia="Times New Roman" w:hAnsi="Times New Roman"/>
          <w:sz w:val="22"/>
          <w:szCs w:val="22"/>
          <w:u w:val="single" w:color="auto"/>
          <w:color w:val="auto"/>
        </w:rPr>
        <w:t>Schedule 1.01(c)</w:t>
      </w:r>
      <w:r>
        <w:rPr>
          <w:rFonts w:ascii="Times New Roman" w:cs="Times New Roman" w:eastAsia="Times New Roman" w:hAnsi="Times New Roman"/>
          <w:sz w:val="22"/>
          <w:szCs w:val="22"/>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5" w:name="page106"/>
    <w:bookmarkEnd w:id="105"/>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the Borrower to convert or continue a Syndicated Borrowing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1" w:lineRule="exact"/>
        <w:rPr>
          <w:sz w:val="20"/>
          <w:szCs w:val="20"/>
          <w:color w:val="auto"/>
        </w:rPr>
      </w:pPr>
    </w:p>
    <w:p>
      <w:pPr>
        <w:jc w:val="both"/>
        <w:ind w:firstLine="1034"/>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2" w:lineRule="exact"/>
        <w:rPr>
          <w:sz w:val="20"/>
          <w:szCs w:val="20"/>
          <w:color w:val="auto"/>
        </w:rPr>
      </w:pPr>
    </w:p>
    <w:p>
      <w:pPr>
        <w:jc w:val="both"/>
        <w:ind w:firstLine="8"/>
        <w:spacing w:after="0" w:line="232" w:lineRule="auto"/>
        <w:tabs>
          <w:tab w:leader="none" w:pos="29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78"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 as amended from time to time.</w:t>
      </w:r>
    </w:p>
    <w:p>
      <w:pPr>
        <w:spacing w:after="0" w:line="206"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means SunTrust, JPMorgan Chase Bank, N.A., and any other Issuing Bank designated pursuant to </w:t>
      </w:r>
      <w:r>
        <w:rPr>
          <w:rFonts w:ascii="Times New Roman" w:cs="Times New Roman" w:eastAsia="Times New Roman" w:hAnsi="Times New Roman"/>
          <w:sz w:val="22"/>
          <w:szCs w:val="22"/>
          <w:u w:val="single" w:color="auto"/>
          <w:color w:val="auto"/>
        </w:rPr>
        <w:t>Section 2.05(l)</w:t>
      </w:r>
      <w:r>
        <w:rPr>
          <w:rFonts w:ascii="Times New Roman" w:cs="Times New Roman" w:eastAsia="Times New Roman" w:hAnsi="Times New Roman"/>
          <w:sz w:val="22"/>
          <w:szCs w:val="22"/>
          <w:color w:val="auto"/>
        </w:rPr>
        <w:t xml:space="preserve">, in their capacity as the issuers of Letters of Credit hereunder, and their respective successors in such capacity as provided in </w:t>
      </w:r>
      <w:r>
        <w:rPr>
          <w:rFonts w:ascii="Times New Roman" w:cs="Times New Roman" w:eastAsia="Times New Roman" w:hAnsi="Times New Roman"/>
          <w:sz w:val="22"/>
          <w:szCs w:val="22"/>
          <w:u w:val="single" w:color="auto"/>
          <w:color w:val="auto"/>
        </w:rPr>
        <w:t>Section 2.05(j)</w:t>
      </w:r>
      <w:r>
        <w:rPr>
          <w:rFonts w:ascii="Times New Roman" w:cs="Times New Roman" w:eastAsia="Times New Roman" w:hAnsi="Times New Roman"/>
          <w:sz w:val="22"/>
          <w:szCs w:val="22"/>
          <w:color w:val="auto"/>
        </w:rPr>
        <w:t>. In the case of any Letter of Credit to be issued in an Agreed Foreign Currency, SunTrust and JPMorgan Chase Bank, N.A., respectively, may designate any of their respective affiliates as the “Issuing Bank” for purposes of such Letter of Credit.</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6" w:name="page107"/>
    <w:bookmarkEnd w:id="106"/>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any Issuing Bank pursuant to a Letter of Credit.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means, at any time, the sum of the Dollar LC Exposure and the Multicurrency LC Exposure.</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the Dollar Lenders and the Multicurrency Lenders. Unless the context otherwise requires, the term “Lenders” includes each Swingline Lender.</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Collateral Account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Documents</w:t>
      </w:r>
      <w:r>
        <w:rPr>
          <w:rFonts w:ascii="Times New Roman" w:cs="Times New Roman" w:eastAsia="Times New Roman" w:hAnsi="Times New Roman"/>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77"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Quoted Currency</w:t>
      </w:r>
      <w:r>
        <w:rPr>
          <w:rFonts w:ascii="Times New Roman" w:cs="Times New Roman" w:eastAsia="Times New Roman" w:hAnsi="Times New Roman"/>
          <w:sz w:val="22"/>
          <w:szCs w:val="22"/>
          <w:color w:val="auto"/>
        </w:rPr>
        <w:t>” means each of the following currencies: Dollars; Euro; English Pounds Sterling; Japanese Yen; and Swiss Franc; in each case as long as there is a published LIBO rate with respect thereto.</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w:t>
      </w:r>
      <w:r>
        <w:rPr>
          <w:rFonts w:ascii="Times New Roman" w:cs="Times New Roman" w:eastAsia="Times New Roman" w:hAnsi="Times New Roman"/>
          <w:sz w:val="22"/>
          <w:szCs w:val="22"/>
          <w:color w:val="auto"/>
        </w:rPr>
        <w:t>” means, for any Interest Period:</w:t>
      </w:r>
    </w:p>
    <w:p>
      <w:pPr>
        <w:spacing w:after="0" w:line="206" w:lineRule="exact"/>
        <w:rPr>
          <w:sz w:val="20"/>
          <w:szCs w:val="20"/>
          <w:color w:val="auto"/>
        </w:rPr>
      </w:pPr>
    </w:p>
    <w:p>
      <w:pPr>
        <w:jc w:val="both"/>
        <w:ind w:firstLine="1042"/>
        <w:spacing w:after="0" w:line="233" w:lineRule="auto"/>
        <w:tabs>
          <w:tab w:leader="none" w:pos="14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provided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181"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Canadian Dollars, the CDOR Rate per annum;</w:t>
      </w:r>
    </w:p>
    <w:p>
      <w:pPr>
        <w:spacing w:after="0" w:line="206"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189"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7" w:name="page108"/>
    <w:bookmarkEnd w:id="107"/>
    <w:p>
      <w:pPr>
        <w:jc w:val="both"/>
        <w:ind w:firstLine="1042"/>
        <w:spacing w:after="0" w:line="236" w:lineRule="auto"/>
        <w:tabs>
          <w:tab w:leader="none" w:pos="134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to time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182"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3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and</w:t>
      </w:r>
    </w:p>
    <w:p>
      <w:pPr>
        <w:spacing w:after="0" w:line="182" w:lineRule="exact"/>
        <w:rPr>
          <w:rFonts w:ascii="Times New Roman" w:cs="Times New Roman" w:eastAsia="Times New Roman" w:hAnsi="Times New Roman"/>
          <w:sz w:val="22"/>
          <w:szCs w:val="22"/>
          <w:color w:val="auto"/>
        </w:rPr>
      </w:pPr>
    </w:p>
    <w:p>
      <w:pPr>
        <w:ind w:firstLine="1042"/>
        <w:spacing w:after="0" w:line="258" w:lineRule="auto"/>
        <w:tabs>
          <w:tab w:leader="none" w:pos="133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in each case, if such rate is less than zero, such rate shall be deemed to be zero for purposes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82"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and the Fourth Amendment to this Agreement dated as of October 2, 2015.</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within the meaning of Regulations T, U and X.</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8" w:name="page109"/>
    <w:bookmarkEnd w:id="108"/>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(a) Indebtedness (other than the Loans, Letters of Credit and Hedging Agreements), of any one or more of the Borrower and its Subsidiaries in an aggregate principal amount exceeding $25,000,000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$25,000,000.</w:t>
      </w:r>
    </w:p>
    <w:p>
      <w:pPr>
        <w:spacing w:after="0" w:line="177"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06"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Commitment</w:t>
      </w:r>
      <w:r>
        <w:rPr>
          <w:rFonts w:ascii="Times New Roman" w:cs="Times New Roman" w:eastAsia="Times New Roman" w:hAnsi="Times New Roman"/>
          <w:sz w:val="22"/>
          <w:szCs w:val="22"/>
          <w:color w:val="auto"/>
        </w:rPr>
        <w:t xml:space="preserve">”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from time to time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(b)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amount of each Lender’s Multicurrency Commitment as of the Fourth Amendment Effective Date is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or in the Assignment and Assumption pursuant to which such Lender shall have assumed its Multicurrency commitment, as applicable. The aggregate amount of the Lenders’ Multicurrency Commitments as of the Fourth Amendment Effective Date is $745,000,000.</w:t>
      </w:r>
    </w:p>
    <w:p>
      <w:pPr>
        <w:spacing w:after="0" w:line="184"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LC Exposure</w:t>
      </w:r>
      <w:r>
        <w:rPr>
          <w:rFonts w:ascii="Times New Roman" w:cs="Times New Roman" w:eastAsia="Times New Roman" w:hAnsi="Times New Roman"/>
          <w:sz w:val="22"/>
          <w:szCs w:val="22"/>
          <w:color w:val="auto"/>
        </w:rPr>
        <w:t xml:space="preserve">” means, at any time, the sum of (a) the aggregate undrawn amount of all outstanding Multicurrency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1"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81" w:lineRule="exact"/>
        <w:rPr>
          <w:sz w:val="20"/>
          <w:szCs w:val="20"/>
          <w:color w:val="auto"/>
        </w:rPr>
      </w:pPr>
    </w:p>
    <w:p>
      <w:pPr>
        <w:ind w:left="1040" w:right="146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Letters of Credit</w:t>
      </w:r>
      <w:r>
        <w:rPr>
          <w:rFonts w:ascii="Times New Roman" w:cs="Times New Roman" w:eastAsia="Times New Roman" w:hAnsi="Times New Roman"/>
          <w:sz w:val="22"/>
          <w:szCs w:val="22"/>
          <w:color w:val="auto"/>
        </w:rPr>
        <w:t>” means Letters of Credit that utilize the Multicurrency Commitments. “</w:t>
      </w:r>
      <w:r>
        <w:rPr>
          <w:rFonts w:ascii="Times New Roman" w:cs="Times New Roman" w:eastAsia="Times New Roman" w:hAnsi="Times New Roman"/>
          <w:sz w:val="22"/>
          <w:szCs w:val="22"/>
          <w:u w:val="single" w:color="auto"/>
          <w:color w:val="auto"/>
        </w:rPr>
        <w:t>Multicurrency Loan</w:t>
      </w:r>
      <w:r>
        <w:rPr>
          <w:rFonts w:ascii="Times New Roman" w:cs="Times New Roman" w:eastAsia="Times New Roman" w:hAnsi="Times New Roman"/>
          <w:sz w:val="22"/>
          <w:szCs w:val="22"/>
          <w:color w:val="auto"/>
        </w:rPr>
        <w:t>” means a Loan denominated in Dollars or an Agreed Foreign Currency. “</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t>
      </w:r>
      <w:r>
        <w:rPr>
          <w:rFonts w:ascii="Times New Roman" w:cs="Times New Roman" w:eastAsia="Times New Roman" w:hAnsi="Times New Roman"/>
          <w:sz w:val="22"/>
          <w:szCs w:val="22"/>
          <w:u w:val="single" w:color="auto"/>
          <w:color w:val="auto"/>
        </w:rPr>
        <w:t>National Currency</w:t>
      </w:r>
      <w:r>
        <w:rPr>
          <w:rFonts w:ascii="Times New Roman" w:cs="Times New Roman" w:eastAsia="Times New Roman" w:hAnsi="Times New Roman"/>
          <w:sz w:val="22"/>
          <w:szCs w:val="22"/>
          <w:color w:val="auto"/>
        </w:rPr>
        <w:t>” means the currency, other than the Euro, of a Participating Member State. “</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3" w:lineRule="exact"/>
        <w:rPr>
          <w:sz w:val="20"/>
          <w:szCs w:val="20"/>
          <w:color w:val="auto"/>
        </w:rPr>
      </w:pPr>
    </w:p>
    <w:p>
      <w:pPr>
        <w:jc w:val="both"/>
        <w:ind w:firstLine="1042"/>
        <w:spacing w:after="0" w:line="244" w:lineRule="auto"/>
        <w:tabs>
          <w:tab w:leader="none" w:pos="134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9" w:name="page110"/>
    <w:bookmarkEnd w:id="109"/>
    <w:p>
      <w:pPr>
        <w:jc w:val="both"/>
        <w:spacing w:after="0" w:line="246" w:lineRule="auto"/>
        <w:rPr>
          <w:sz w:val="20"/>
          <w:szCs w:val="20"/>
          <w:color w:val="auto"/>
        </w:rPr>
      </w:pP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amount of any estimated taxes pursuant to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72" w:lineRule="exact"/>
        <w:rPr>
          <w:sz w:val="20"/>
          <w:szCs w:val="20"/>
          <w:color w:val="auto"/>
        </w:rPr>
      </w:pPr>
    </w:p>
    <w:p>
      <w:pPr>
        <w:jc w:val="both"/>
        <w:ind w:firstLine="1042"/>
        <w:spacing w:after="0" w:line="234" w:lineRule="auto"/>
        <w:tabs>
          <w:tab w:leader="none" w:pos="13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an amount equal to (i) the sum of the cash and Cash Equivalents received in connection with such transaction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sum of (1) reasonable out-of-pocket fees, costs and expenses, incurred by the Borrower or such Subsidiary in connection therewith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any reasonable costs, fees, commissions, premiums, expenses, or underwriting discounts or commissions incurred by the Borrower or any of its Subsidiaries in connection with such sale or issuance.</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 Lender that is not a Defaulting Lender at such time.</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Non-LIBO Quoted Currency</w:t>
      </w:r>
      <w:r>
        <w:rPr>
          <w:rFonts w:ascii="Times New Roman" w:cs="Times New Roman" w:eastAsia="Times New Roman" w:hAnsi="Times New Roman"/>
          <w:sz w:val="22"/>
          <w:szCs w:val="22"/>
          <w:color w:val="auto"/>
        </w:rPr>
        <w:t>” means any currency other than a LIBO Quoted Currency.</w:t>
      </w:r>
    </w:p>
    <w:p>
      <w:pPr>
        <w:spacing w:after="0" w:line="206"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means material non-public information (within the meaning of United States federal, state or other applicable securities laws) with respect to Borrower or its Affiliates or their Securities.</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collectively, the Borrower and the Subsidiary Guarantors.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Effective Date</w:t>
      </w:r>
      <w:r>
        <w:rPr>
          <w:rFonts w:ascii="Times New Roman" w:cs="Times New Roman" w:eastAsia="Times New Roman" w:hAnsi="Times New Roman"/>
          <w:sz w:val="22"/>
          <w:szCs w:val="22"/>
          <w:color w:val="auto"/>
        </w:rPr>
        <w:t>” means July 3, 2013.</w:t>
      </w:r>
    </w:p>
    <w:p>
      <w:pPr>
        <w:spacing w:after="0" w:line="206"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Covered Indebtedness</w:t>
      </w:r>
      <w:r>
        <w:rPr>
          <w:rFonts w:ascii="Times New Roman" w:cs="Times New Roman" w:eastAsia="Times New Roman" w:hAnsi="Times New Roman"/>
          <w:sz w:val="22"/>
          <w:szCs w:val="22"/>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 w:cs="Times New Roman" w:eastAsia="Times New Roman" w:hAnsi="Times New Roman"/>
          <w:sz w:val="22"/>
          <w:szCs w:val="22"/>
          <w:u w:val="single" w:color="auto"/>
          <w:color w:val="auto"/>
        </w:rPr>
        <w:t>Section 6.02(e)</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Permitted Indebtedness</w:t>
      </w:r>
      <w:r>
        <w:rPr>
          <w:rFonts w:ascii="Times New Roman" w:cs="Times New Roman" w:eastAsia="Times New Roman" w:hAnsi="Times New Roman"/>
          <w:sz w:val="22"/>
          <w:szCs w:val="22"/>
          <w:color w:val="auto"/>
        </w:rPr>
        <w:t>”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0" w:name="page111"/>
    <w:bookmarkEnd w:id="110"/>
    <w:p>
      <w:pPr>
        <w:jc w:val="both"/>
        <w:spacing w:after="0" w:line="238" w:lineRule="auto"/>
        <w:rPr>
          <w:sz w:val="20"/>
          <w:szCs w:val="20"/>
          <w:color w:val="auto"/>
        </w:rPr>
      </w:pPr>
      <w:r>
        <w:rPr>
          <w:rFonts w:ascii="Times New Roman" w:cs="Times New Roman" w:eastAsia="Times New Roman" w:hAnsi="Times New Roman"/>
          <w:sz w:val="22"/>
          <w:szCs w:val="22"/>
          <w:color w:val="auto"/>
        </w:rPr>
        <w:t>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w:t>
      </w:r>
    </w:p>
    <w:p>
      <w:pPr>
        <w:spacing w:after="0" w:line="1" w:lineRule="exact"/>
        <w:rPr>
          <w:sz w:val="20"/>
          <w:szCs w:val="20"/>
          <w:color w:val="auto"/>
        </w:rPr>
      </w:pPr>
    </w:p>
    <w:p>
      <w:pPr>
        <w:ind w:right="20" w:firstLine="8"/>
        <w:spacing w:after="0" w:line="237" w:lineRule="auto"/>
        <w:tabs>
          <w:tab w:leader="none" w:pos="30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respect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034"/>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hereof (unless such assignment is made pursuant to </w:t>
      </w:r>
      <w:r>
        <w:rPr>
          <w:rFonts w:ascii="Times New Roman" w:cs="Times New Roman" w:eastAsia="Times New Roman" w:hAnsi="Times New Roman"/>
          <w:sz w:val="21"/>
          <w:szCs w:val="21"/>
          <w:u w:val="single" w:color="auto"/>
          <w:color w:val="auto"/>
        </w:rPr>
        <w:t>Section 2.18(b)</w:t>
      </w:r>
      <w:r>
        <w:rPr>
          <w:rFonts w:ascii="Times New Roman" w:cs="Times New Roman" w:eastAsia="Times New Roman" w:hAnsi="Times New Roman"/>
          <w:sz w:val="21"/>
          <w:szCs w:val="21"/>
          <w:color w:val="auto"/>
        </w:rPr>
        <w:t>) or</w:t>
      </w:r>
    </w:p>
    <w:p>
      <w:pPr>
        <w:spacing w:after="0" w:line="2" w:lineRule="exact"/>
        <w:rPr>
          <w:sz w:val="20"/>
          <w:szCs w:val="20"/>
          <w:color w:val="auto"/>
        </w:rPr>
      </w:pPr>
    </w:p>
    <w:p>
      <w:pPr>
        <w:jc w:val="both"/>
        <w:ind w:firstLine="8"/>
        <w:spacing w:after="0" w:line="235" w:lineRule="auto"/>
        <w:tabs>
          <w:tab w:leader="none" w:pos="33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Community that adopts or has adopted the Euro as its lawful currency in accordance with the legislation of the European Union relating to the European Monetary Union.</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8"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Equity Interests</w:t>
      </w:r>
      <w:r>
        <w:rPr>
          <w:rFonts w:ascii="Times New Roman" w:cs="Times New Roman" w:eastAsia="Times New Roman" w:hAnsi="Times New Roman"/>
          <w:sz w:val="22"/>
          <w:szCs w:val="22"/>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74" w:lineRule="exact"/>
        <w:rPr>
          <w:sz w:val="20"/>
          <w:szCs w:val="20"/>
          <w:color w:val="auto"/>
        </w:rPr>
      </w:pPr>
    </w:p>
    <w:p>
      <w:pPr>
        <w:jc w:val="both"/>
        <w:ind w:firstLine="1034"/>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w:t>
      </w:r>
    </w:p>
    <w:p>
      <w:pPr>
        <w:spacing w:after="0" w:line="4" w:lineRule="exact"/>
        <w:rPr>
          <w:sz w:val="20"/>
          <w:szCs w:val="20"/>
          <w:color w:val="auto"/>
        </w:rPr>
      </w:pPr>
    </w:p>
    <w:p>
      <w:pPr>
        <w:jc w:val="both"/>
        <w:ind w:firstLine="8"/>
        <w:spacing w:after="0" w:line="235" w:lineRule="auto"/>
        <w:tabs>
          <w:tab w:leader="none" w:pos="27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out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(g) customary rights of setoff and liens upon (i) deposits of</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1" w:name="page112"/>
    <w:bookmarkEnd w:id="111"/>
    <w:p>
      <w:pPr>
        <w:jc w:val="both"/>
        <w:spacing w:after="0" w:line="233" w:lineRule="auto"/>
        <w:rPr>
          <w:sz w:val="20"/>
          <w:szCs w:val="20"/>
          <w:color w:val="auto"/>
        </w:rPr>
      </w:pPr>
      <w:r>
        <w:rPr>
          <w:rFonts w:ascii="Times New Roman" w:cs="Times New Roman" w:eastAsia="Times New Roman" w:hAnsi="Times New Roman"/>
          <w:sz w:val="22"/>
          <w:szCs w:val="22"/>
          <w:color w:val="auto"/>
        </w:rPr>
        <w:t>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86"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Policy Amendment</w:t>
      </w:r>
      <w:r>
        <w:rPr>
          <w:rFonts w:ascii="Times New Roman" w:cs="Times New Roman" w:eastAsia="Times New Roman" w:hAnsi="Times New Roman"/>
          <w:sz w:val="22"/>
          <w:szCs w:val="22"/>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82"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SBIC Guarantee</w:t>
      </w:r>
      <w:r>
        <w:rPr>
          <w:rFonts w:ascii="Times New Roman" w:cs="Times New Roman" w:eastAsia="Times New Roman" w:hAnsi="Times New Roman"/>
          <w:sz w:val="22"/>
          <w:szCs w:val="22"/>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 w:cs="Times New Roman" w:eastAsia="Times New Roman" w:hAnsi="Times New Roman"/>
          <w:sz w:val="22"/>
          <w:szCs w:val="22"/>
          <w:u w:val="single" w:color="auto"/>
          <w:color w:val="auto"/>
        </w:rPr>
        <w:t>clause (s)</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it shall be an Event of Default hereunder if any such event or condition giving rise to such recourse occurs).</w:t>
      </w:r>
    </w:p>
    <w:p>
      <w:pPr>
        <w:spacing w:after="0" w:line="177"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means has the meaning set forth in </w:t>
      </w:r>
      <w:r>
        <w:rPr>
          <w:rFonts w:ascii="Times New Roman" w:cs="Times New Roman" w:eastAsia="Times New Roman" w:hAnsi="Times New Roman"/>
          <w:sz w:val="22"/>
          <w:szCs w:val="22"/>
          <w:u w:val="single" w:color="auto"/>
          <w:color w:val="auto"/>
        </w:rPr>
        <w:t>Section 5.01(i)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Investment</w:t>
      </w:r>
      <w:r>
        <w:rPr>
          <w:rFonts w:ascii="Times New Roman" w:cs="Times New Roman" w:eastAsia="Times New Roman" w:hAnsi="Times New Roman"/>
          <w:sz w:val="22"/>
          <w:szCs w:val="22"/>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2" w:name="page113"/>
    <w:bookmarkEnd w:id="112"/>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the rate which is quoted in the print edition of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Money Rates Section.</w:t>
      </w:r>
    </w:p>
    <w:p>
      <w:pPr>
        <w:spacing w:after="0" w:line="210"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Financial Center</w:t>
      </w:r>
      <w:r>
        <w:rPr>
          <w:rFonts w:ascii="Times New Roman" w:cs="Times New Roman" w:eastAsia="Times New Roman" w:hAnsi="Times New Roman"/>
          <w:sz w:val="22"/>
          <w:szCs w:val="22"/>
          <w:color w:val="auto"/>
        </w:rPr>
        <w:t>” means, in the case of any Currency, the principal financial center where such Currency is cleared and settled, as determined by the Administrative Agent.</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means Lenders that do not wish to receive Non-Public Information with respect to the Borrower or any of its Subsidiaries or their Securities.</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Dates</w:t>
      </w:r>
      <w:r>
        <w:rPr>
          <w:rFonts w:ascii="Times New Roman" w:cs="Times New Roman" w:eastAsia="Times New Roman" w:hAnsi="Times New Roman"/>
          <w:sz w:val="22"/>
          <w:szCs w:val="22"/>
          <w:color w:val="auto"/>
        </w:rPr>
        <w:t>” means the last Business Day of March, June, September and December in each year, commencing on September 30, 2013.</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Quoted Investments</w:t>
      </w:r>
      <w:r>
        <w:rPr>
          <w:rFonts w:ascii="Times New Roman" w:cs="Times New Roman" w:eastAsia="Times New Roman" w:hAnsi="Times New Roman"/>
          <w:sz w:val="21"/>
          <w:szCs w:val="21"/>
          <w:color w:val="auto"/>
        </w:rPr>
        <w:t xml:space="preserve">” means a Portfolio Investment with a value assigned by the Borrower pursuant to </w:t>
      </w:r>
      <w:r>
        <w:rPr>
          <w:rFonts w:ascii="Times New Roman" w:cs="Times New Roman" w:eastAsia="Times New Roman" w:hAnsi="Times New Roman"/>
          <w:sz w:val="21"/>
          <w:szCs w:val="21"/>
          <w:u w:val="single" w:color="auto"/>
          <w:color w:val="auto"/>
        </w:rPr>
        <w:t>Section 5.12(b)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(ii)(A)</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the Registration Statement filed by the Borrower with the Securities and Exchange Commission on March 14, 2011.</w:t>
      </w:r>
    </w:p>
    <w:p>
      <w:pPr>
        <w:spacing w:after="0" w:line="158"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Regulations D, T, U and X</w:t>
      </w:r>
      <w:r>
        <w:rPr>
          <w:rFonts w:ascii="Times New Roman" w:cs="Times New Roman" w:eastAsia="Times New Roman" w:hAnsi="Times New Roman"/>
          <w:sz w:val="22"/>
          <w:szCs w:val="22"/>
          <w:color w:val="auto"/>
        </w:rPr>
        <w:t>” means, respectively, Regulations D, T, U and X of the Board of Governors of the Federal Reserve System (or any successor), as the same may be modified and supplemented and in effect from time to time.</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partners, directors, officers, employees, agents and advisors of such Person and such Person’s Affiliates.</w:t>
      </w:r>
    </w:p>
    <w:p>
      <w:pPr>
        <w:spacing w:after="0" w:line="154" w:lineRule="exact"/>
        <w:rPr>
          <w:sz w:val="20"/>
          <w:szCs w:val="20"/>
          <w:color w:val="auto"/>
        </w:rPr>
      </w:pPr>
    </w:p>
    <w:p>
      <w:pPr>
        <w:jc w:val="both"/>
        <w:ind w:firstLine="1034"/>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Relevant Available Funds</w:t>
      </w:r>
      <w:r>
        <w:rPr>
          <w:rFonts w:ascii="Times New Roman" w:cs="Times New Roman" w:eastAsia="Times New Roman" w:hAnsi="Times New Roman"/>
          <w:sz w:val="22"/>
          <w:szCs w:val="22"/>
          <w:color w:val="auto"/>
        </w:rPr>
        <w:t>” means the sum (without duplication) of (a) the aggregate undrawn capital commitments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Borrower’s equity holders to the Borrower,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76"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having Revolving Credit Exposures and unused Commitments representing more than 50% of the sum of the total Revolving Credit Exposures and unused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13" w:name="page114"/>
    <w:bookmarkEnd w:id="113"/>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84"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net of any fees, costs, expenses and taxes payable with respect thereto).</w:t>
      </w:r>
    </w:p>
    <w:p>
      <w:pPr>
        <w:spacing w:after="0" w:line="180"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with respect to any Lender at any time, the sum of the outstanding principal amount of such Lender’s Revolving Dollar Credit Exposure and Revolving Multicurrency Credit Exposure at such time.</w:t>
      </w:r>
    </w:p>
    <w:p>
      <w:pPr>
        <w:spacing w:after="0" w:line="158"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Dollar Credit Exposure</w:t>
      </w:r>
      <w:r>
        <w:rPr>
          <w:rFonts w:ascii="Times New Roman" w:cs="Times New Roman" w:eastAsia="Times New Roman" w:hAnsi="Times New Roman"/>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7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Multicurrency Credit Exposure</w:t>
      </w:r>
      <w:r>
        <w:rPr>
          <w:rFonts w:ascii="Times New Roman" w:cs="Times New Roman" w:eastAsia="Times New Roman" w:hAnsi="Times New Roman"/>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74"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Percentage</w:t>
      </w:r>
      <w:r>
        <w:rPr>
          <w:rFonts w:ascii="Times New Roman" w:cs="Times New Roman" w:eastAsia="Times New Roman" w:hAnsi="Times New Roman"/>
          <w:sz w:val="22"/>
          <w:szCs w:val="22"/>
          <w:color w:val="auto"/>
        </w:rPr>
        <w:t>” means, as of any date of determination, the result, expressed as a percentage, of the Revolving Credit Exposure on such date divided by the aggregate outstanding Covered Debt Amount on such date.</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RIC</w:t>
      </w:r>
      <w:r>
        <w:rPr>
          <w:rFonts w:ascii="Times New Roman" w:cs="Times New Roman" w:eastAsia="Times New Roman" w:hAnsi="Times New Roman"/>
          <w:sz w:val="22"/>
          <w:szCs w:val="22"/>
          <w:color w:val="auto"/>
        </w:rPr>
        <w:t>” means a person qualifying for treatment as a “regulated investment company” under the Code.</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 a division of The McGraw Hill Companies, Inc., a New York corporation, or any successor thereto.</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the subject or target of any Sanctions that broadly prohibit dealings with such country or territory (currently Cuba, Iran, North Korea, Sudan and Syria).</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SBA</w:t>
      </w:r>
      <w:r>
        <w:rPr>
          <w:rFonts w:ascii="Times New Roman" w:cs="Times New Roman" w:eastAsia="Times New Roman" w:hAnsi="Times New Roman"/>
          <w:sz w:val="22"/>
          <w:szCs w:val="22"/>
          <w:color w:val="auto"/>
        </w:rPr>
        <w:t>” means the United States Small Business Administration.</w:t>
      </w:r>
    </w:p>
    <w:p>
      <w:pPr>
        <w:spacing w:after="0" w:line="213"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4" w:name="page115"/>
    <w:bookmarkEnd w:id="114"/>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SBIC Equity Commitment</w:t>
      </w:r>
      <w:r>
        <w:rPr>
          <w:rFonts w:ascii="Times New Roman" w:cs="Times New Roman" w:eastAsia="Times New Roman" w:hAnsi="Times New Roman"/>
          <w:sz w:val="22"/>
          <w:szCs w:val="22"/>
          <w:color w:val="auto"/>
        </w:rPr>
        <w:t>” means a commitment by the Borrower to make one or more capital contributions to an SBIC Subsidiary.</w:t>
      </w:r>
    </w:p>
    <w:p>
      <w:pPr>
        <w:spacing w:after="0" w:line="158" w:lineRule="exact"/>
        <w:rPr>
          <w:sz w:val="20"/>
          <w:szCs w:val="20"/>
          <w:color w:val="auto"/>
        </w:rPr>
      </w:pPr>
    </w:p>
    <w:p>
      <w:pPr>
        <w:jc w:val="both"/>
        <w:ind w:firstLine="1034"/>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SBIC Subsidiary</w:t>
      </w:r>
      <w:r>
        <w:rPr>
          <w:rFonts w:ascii="Times New Roman" w:cs="Times New Roman" w:eastAsia="Times New Roman" w:hAnsi="Times New Roman"/>
          <w:sz w:val="21"/>
          <w:szCs w:val="21"/>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w:t>
      </w:r>
    </w:p>
    <w:p>
      <w:pPr>
        <w:spacing w:after="0" w:line="2" w:lineRule="exact"/>
        <w:rPr>
          <w:sz w:val="20"/>
          <w:szCs w:val="20"/>
          <w:color w:val="auto"/>
        </w:rPr>
      </w:pPr>
    </w:p>
    <w:p>
      <w:pPr>
        <w:jc w:val="both"/>
        <w:ind w:firstLine="8"/>
        <w:spacing w:after="0" w:line="232" w:lineRule="auto"/>
        <w:tabs>
          <w:tab w:leader="none" w:pos="30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80"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Debt Amount</w:t>
      </w:r>
      <w:r>
        <w:rPr>
          <w:rFonts w:ascii="Times New Roman" w:cs="Times New Roman" w:eastAsia="Times New Roman" w:hAnsi="Times New Roman"/>
          <w:sz w:val="22"/>
          <w:szCs w:val="22"/>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74"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Longer-Term Indebtedness</w:t>
      </w:r>
      <w:r>
        <w:rPr>
          <w:rFonts w:ascii="Times New Roman" w:cs="Times New Roman" w:eastAsia="Times New Roman" w:hAnsi="Times New Roman"/>
          <w:sz w:val="22"/>
          <w:szCs w:val="22"/>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Final Maturity Date (it being understood that none of: (w) the conversion features under convertible notes; (x) the triggering and/or settlement thereof; or (y) any cash payment made in respect thereof , shall constitute “amortization” for purposes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86"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Shorter-Term Indebtedness</w:t>
      </w:r>
      <w:r>
        <w:rPr>
          <w:rFonts w:ascii="Times New Roman" w:cs="Times New Roman" w:eastAsia="Times New Roman" w:hAnsi="Times New Roman"/>
          <w:sz w:val="22"/>
          <w:szCs w:val="22"/>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5" w:name="page116"/>
    <w:bookmarkEnd w:id="115"/>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2"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Equity</w:t>
      </w:r>
      <w:r>
        <w:rPr>
          <w:rFonts w:ascii="Times New Roman" w:cs="Times New Roman" w:eastAsia="Times New Roman" w:hAnsi="Times New Roman"/>
          <w:sz w:val="22"/>
          <w:szCs w:val="22"/>
          <w:color w:val="auto"/>
        </w:rPr>
        <w:t>” means, at any date, the amount determined on a consolidated basis, without duplication, in accordance with GAAP, of shareholders equity for the Borrower and its Subsidiaries at such date.</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 Subsidiary</w:t>
      </w:r>
      <w:r>
        <w:rPr>
          <w:rFonts w:ascii="Times New Roman" w:cs="Times New Roman" w:eastAsia="Times New Roman" w:hAnsi="Times New Roman"/>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an SPE Subsidiary:</w:t>
      </w:r>
    </w:p>
    <w:p>
      <w:pPr>
        <w:spacing w:after="0" w:line="181" w:lineRule="exact"/>
        <w:rPr>
          <w:sz w:val="20"/>
          <w:szCs w:val="20"/>
          <w:color w:val="auto"/>
        </w:rPr>
      </w:pPr>
    </w:p>
    <w:p>
      <w:pPr>
        <w:jc w:val="both"/>
        <w:ind w:firstLine="1042"/>
        <w:spacing w:after="0" w:line="238" w:lineRule="auto"/>
        <w:tabs>
          <w:tab w:leader="none" w:pos="133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77"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5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173" w:lineRule="exact"/>
        <w:rPr>
          <w:rFonts w:ascii="Times New Roman" w:cs="Times New Roman" w:eastAsia="Times New Roman" w:hAnsi="Times New Roman"/>
          <w:sz w:val="22"/>
          <w:szCs w:val="22"/>
          <w:color w:val="auto"/>
        </w:rPr>
      </w:pPr>
    </w:p>
    <w:p>
      <w:pPr>
        <w:ind w:firstLine="1042"/>
        <w:spacing w:after="0" w:line="258" w:lineRule="auto"/>
        <w:tabs>
          <w:tab w:leader="none" w:pos="133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no Obligor has any obligation to maintain or preserve such entity’s financial condition or cause such entity to achieve certain levels of operating results.</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1"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Equity Interest</w:t>
      </w:r>
      <w:r>
        <w:rPr>
          <w:rFonts w:ascii="Times New Roman" w:cs="Times New Roman" w:eastAsia="Times New Roman" w:hAnsi="Times New Roman"/>
          <w:sz w:val="22"/>
          <w:szCs w:val="22"/>
          <w:color w:val="auto"/>
        </w:rPr>
        <w:t xml:space="preserve">” means any Equity Interest that is subject to a Lien in favor of creditors of the issuer of such Equity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82"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Unsecured Indebtedness</w:t>
      </w:r>
      <w:r>
        <w:rPr>
          <w:rFonts w:ascii="Times New Roman" w:cs="Times New Roman" w:eastAsia="Times New Roman" w:hAnsi="Times New Roman"/>
          <w:sz w:val="22"/>
          <w:szCs w:val="22"/>
          <w:color w:val="auto"/>
        </w:rPr>
        <w:t xml:space="preserve">” means Indebtedness of an Obligor issued after the Fourth Amendment Effective Date (which may be Guaranteed by Subsidiary Guarantors) that (a) has no amortization prior to, and a final maturity date not earlier than, five years from the date such Indebtedness is issued (it being understood that none of: (w) the conversion features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(b) is incurred pursuant to documentation containing (i) covenants and events of default that</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6" w:name="page117"/>
    <w:bookmarkEnd w:id="116"/>
    <w:p>
      <w:pPr>
        <w:jc w:val="both"/>
        <w:spacing w:after="0" w:line="244" w:lineRule="auto"/>
        <w:rPr>
          <w:sz w:val="20"/>
          <w:szCs w:val="20"/>
          <w:color w:val="auto"/>
        </w:rPr>
      </w:pPr>
      <w:r>
        <w:rPr>
          <w:rFonts w:ascii="Times New Roman" w:cs="Times New Roman" w:eastAsia="Times New Roman" w:hAnsi="Times New Roman"/>
          <w:sz w:val="22"/>
          <w:szCs w:val="22"/>
          <w:color w:val="auto"/>
        </w:rPr>
        <w:t>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w:t>
      </w:r>
    </w:p>
    <w:p>
      <w:pPr>
        <w:spacing w:after="0" w:line="174"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2"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Reserve Rate</w:t>
      </w:r>
      <w:r>
        <w:rPr>
          <w:rFonts w:ascii="Times New Roman" w:cs="Times New Roman" w:eastAsia="Times New Roman" w:hAnsi="Times New Roman"/>
          <w:sz w:val="22"/>
          <w:szCs w:val="22"/>
          <w:color w:val="auto"/>
        </w:rPr>
        <w:t xml:space="preserve">” means, for the Interest Period for any Eurocurrency Borrowing, a fraction (expressed as a decimal), the numerator of which is the number one and the denominator of which is the number one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4" w:lineRule="exact"/>
        <w:rPr>
          <w:sz w:val="20"/>
          <w:szCs w:val="20"/>
          <w:color w:val="auto"/>
        </w:rPr>
      </w:pPr>
    </w:p>
    <w:p>
      <w:pPr>
        <w:jc w:val="both"/>
        <w:ind w:firstLine="1034"/>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any Person (the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72" w:lineRule="exact"/>
        <w:rPr>
          <w:sz w:val="20"/>
          <w:szCs w:val="20"/>
          <w:color w:val="auto"/>
        </w:rPr>
      </w:pPr>
    </w:p>
    <w:p>
      <w:pPr>
        <w:jc w:val="both"/>
        <w:ind w:firstLine="1034"/>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Guarantor</w:t>
      </w:r>
      <w:r>
        <w:rPr>
          <w:rFonts w:ascii="Times New Roman" w:cs="Times New Roman" w:eastAsia="Times New Roman" w:hAnsi="Times New Roman"/>
          <w:sz w:val="21"/>
          <w:szCs w:val="21"/>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3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SunTrust</w:t>
      </w:r>
      <w:r>
        <w:rPr>
          <w:rFonts w:ascii="Times New Roman" w:cs="Times New Roman" w:eastAsia="Times New Roman" w:hAnsi="Times New Roman"/>
          <w:sz w:val="22"/>
          <w:szCs w:val="22"/>
          <w:color w:val="auto"/>
        </w:rPr>
        <w:t>” means SunTrust Bank.</w:t>
      </w:r>
    </w:p>
    <w:p>
      <w:pPr>
        <w:spacing w:after="0" w:line="206"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81"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xml:space="preserve">” means any of SunTrust or JPMorgan Chase Bank, N.A., in its capacity as lender of Swingline Loans hereunder, and its successors in such capacity as provided in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7" w:name="page118"/>
    <w:bookmarkEnd w:id="117"/>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xml:space="preserve">” means a Loan made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Syndicated</w:t>
      </w:r>
      <w:r>
        <w:rPr>
          <w:rFonts w:ascii="Times New Roman" w:cs="Times New Roman" w:eastAsia="Times New Roman" w:hAnsi="Times New Roman"/>
          <w:sz w:val="22"/>
          <w:szCs w:val="22"/>
          <w:color w:val="auto"/>
        </w:rPr>
        <w:t xml:space="preserve">”, when used in reference to any Loan or Borrowing, refers to whether such Loan, or the Loans constituting such Borrowing, are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earliest to occur of (i) the Final Maturity Date, (ii) the date of the termination of the Commitments in full pursuant to </w:t>
      </w:r>
      <w:r>
        <w:rPr>
          <w:rFonts w:ascii="Times New Roman" w:cs="Times New Roman" w:eastAsia="Times New Roman" w:hAnsi="Times New Roman"/>
          <w:sz w:val="22"/>
          <w:szCs w:val="22"/>
          <w:u w:val="single" w:color="auto"/>
          <w:color w:val="auto"/>
        </w:rPr>
        <w:t>Section 2.08(c)</w:t>
      </w:r>
      <w:r>
        <w:rPr>
          <w:rFonts w:ascii="Times New Roman" w:cs="Times New Roman" w:eastAsia="Times New Roman" w:hAnsi="Times New Roman"/>
          <w:sz w:val="22"/>
          <w:szCs w:val="22"/>
          <w:color w:val="auto"/>
        </w:rPr>
        <w:t xml:space="preserve">, or (iii) the date on which the Commitments are terminated pursuant to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Testing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5.12(b)(ii)(E)(x)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Testing Quarter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this Agreement and the other Loan Documents, the borrowing of Loans, the use of the proceeds thereof and the issuance of Letters of Credit hereunder.</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5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Undisclosed Administration</w:t>
      </w:r>
      <w:r>
        <w:rPr>
          <w:rFonts w:ascii="Times New Roman" w:cs="Times New Roman" w:eastAsia="Times New Roman" w:hAnsi="Times New Roman"/>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Uniform Commercial Code</w:t>
      </w:r>
      <w:r>
        <w:rPr>
          <w:rFonts w:ascii="Times New Roman" w:cs="Times New Roman" w:eastAsia="Times New Roman" w:hAnsi="Times New Roman"/>
          <w:sz w:val="21"/>
          <w:szCs w:val="21"/>
          <w:color w:val="auto"/>
        </w:rPr>
        <w:t>” means the Uniform Commercial Code as in effect from time to time in the State of New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York.</w:t>
      </w:r>
    </w:p>
    <w:p>
      <w:pPr>
        <w:spacing w:after="0" w:line="182" w:lineRule="exact"/>
        <w:rPr>
          <w:sz w:val="20"/>
          <w:szCs w:val="20"/>
          <w:color w:val="auto"/>
        </w:rPr>
      </w:pPr>
    </w:p>
    <w:p>
      <w:pPr>
        <w:jc w:val="both"/>
        <w:ind w:firstLine="1034"/>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Longer-Term Indebtedness</w:t>
      </w:r>
      <w:r>
        <w:rPr>
          <w:rFonts w:ascii="Times New Roman" w:cs="Times New Roman" w:eastAsia="Times New Roman" w:hAnsi="Times New Roman"/>
          <w:sz w:val="21"/>
          <w:szCs w:val="21"/>
          <w:color w:val="auto"/>
        </w:rPr>
        <w:t xml:space="preserve">” means any Indebtedness of an Obligor (which may be Guaranteed by Subsidiary Guarantors) that (a) has no amortization prior to, and a final maturity date not earlier than, six months after the Final Maturity Date (it being understood that none of : (w) the conversion features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8"/>
        <w:spacing w:after="0" w:line="235" w:lineRule="auto"/>
        <w:tabs>
          <w:tab w:leader="none" w:pos="32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78"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Unsecured Shorter-Term Indebtedness</w:t>
      </w:r>
      <w:r>
        <w:rPr>
          <w:rFonts w:ascii="Times New Roman" w:cs="Times New Roman" w:eastAsia="Times New Roman" w:hAnsi="Times New Roman"/>
          <w:sz w:val="22"/>
          <w:szCs w:val="22"/>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Unquoted Investments</w:t>
      </w:r>
      <w:r>
        <w:rPr>
          <w:rFonts w:ascii="Times New Roman" w:cs="Times New Roman" w:eastAsia="Times New Roman" w:hAnsi="Times New Roman"/>
          <w:sz w:val="22"/>
          <w:szCs w:val="22"/>
          <w:color w:val="auto"/>
        </w:rPr>
        <w:t xml:space="preserve">” means a Portfolio Investment with a value assigned by the Borrower pursuant to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8" w:name="page119"/>
    <w:bookmarkEnd w:id="118"/>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w:t>
      </w:r>
      <w:r>
        <w:rPr>
          <w:rFonts w:ascii="Times New Roman" w:cs="Times New Roman" w:eastAsia="Times New Roman" w:hAnsi="Times New Roman"/>
          <w:sz w:val="22"/>
          <w:szCs w:val="22"/>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58"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2"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Terms Generally</w:t>
      </w:r>
      <w:r>
        <w:rPr>
          <w:rFonts w:ascii="Times New Roman" w:cs="Times New Roman" w:eastAsia="Times New Roman" w:hAnsi="Times New Roman"/>
          <w:sz w:val="22"/>
          <w:szCs w:val="22"/>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w:t>
      </w:r>
    </w:p>
    <w:p>
      <w:pPr>
        <w:spacing w:after="0" w:line="1" w:lineRule="exact"/>
        <w:rPr>
          <w:sz w:val="20"/>
          <w:szCs w:val="20"/>
          <w:color w:val="auto"/>
        </w:rPr>
      </w:pPr>
    </w:p>
    <w:p>
      <w:pPr>
        <w:jc w:val="both"/>
        <w:ind w:firstLine="8"/>
        <w:spacing w:after="0" w:line="234" w:lineRule="auto"/>
        <w:tabs>
          <w:tab w:leader="none" w:pos="32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78"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9" w:name="page120"/>
    <w:bookmarkEnd w:id="119"/>
    <w:p>
      <w:pPr>
        <w:jc w:val="both"/>
        <w:spacing w:after="0" w:line="249" w:lineRule="auto"/>
        <w:rPr>
          <w:sz w:val="20"/>
          <w:szCs w:val="20"/>
          <w:color w:val="auto"/>
        </w:rPr>
      </w:pPr>
      <w:r>
        <w:rPr>
          <w:rFonts w:ascii="Times New Roman" w:cs="Times New Roman" w:eastAsia="Times New Roman" w:hAnsi="Times New Roman"/>
          <w:sz w:val="21"/>
          <w:szCs w:val="21"/>
          <w:color w:val="auto"/>
        </w:rPr>
        <w:t>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7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Currencies; Currency Equivalents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5" w:lineRule="auto"/>
        <w:tabs>
          <w:tab w:leader="none" w:pos="1328"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Currencies Generally</w:t>
      </w:r>
      <w:r>
        <w:rPr>
          <w:rFonts w:ascii="Times New Roman" w:cs="Times New Roman" w:eastAsia="Times New Roman" w:hAnsi="Times New Roman"/>
          <w:sz w:val="21"/>
          <w:szCs w:val="21"/>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and the last sentence of </w:t>
      </w:r>
      <w:r>
        <w:rPr>
          <w:rFonts w:ascii="Times New Roman" w:cs="Times New Roman" w:eastAsia="Times New Roman" w:hAnsi="Times New Roman"/>
          <w:sz w:val="21"/>
          <w:szCs w:val="21"/>
          <w:u w:val="single" w:color="auto"/>
          <w:color w:val="auto"/>
        </w:rPr>
        <w:t>Section 2.17(a)</w:t>
      </w:r>
      <w:r>
        <w:rPr>
          <w:rFonts w:ascii="Times New Roman" w:cs="Times New Roman" w:eastAsia="Times New Roman" w:hAnsi="Times New Roman"/>
          <w:sz w:val="21"/>
          <w:szCs w:val="21"/>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w:t>
      </w:r>
    </w:p>
    <w:p>
      <w:pPr>
        <w:jc w:val="both"/>
        <w:ind w:firstLine="8"/>
        <w:spacing w:after="0" w:line="232" w:lineRule="auto"/>
        <w:tabs>
          <w:tab w:leader="none" w:pos="3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w:t>
      </w:r>
    </w:p>
    <w:p>
      <w:pPr>
        <w:spacing w:after="0" w:line="177" w:lineRule="exact"/>
        <w:rPr>
          <w:rFonts w:ascii="Times New Roman" w:cs="Times New Roman" w:eastAsia="Times New Roman" w:hAnsi="Times New Roman"/>
          <w:sz w:val="22"/>
          <w:szCs w:val="22"/>
          <w:color w:val="auto"/>
        </w:rPr>
      </w:pPr>
    </w:p>
    <w:p>
      <w:pPr>
        <w:jc w:val="both"/>
        <w:ind w:firstLine="1042"/>
        <w:spacing w:after="0" w:line="233" w:lineRule="auto"/>
        <w:tabs>
          <w:tab w:leader="none" w:pos="136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Provisions Relating to Euro</w:t>
      </w:r>
      <w:r>
        <w:rPr>
          <w:rFonts w:ascii="Times New Roman" w:cs="Times New Roman" w:eastAsia="Times New Roman" w:hAnsi="Times New Roman"/>
          <w:sz w:val="22"/>
          <w:szCs w:val="22"/>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Borrowing denominated in such currency that is outstanding immediately prior to such date, such replacement shall take effect at the end of the Interest Period therefor.</w:t>
      </w:r>
    </w:p>
    <w:p>
      <w:pPr>
        <w:spacing w:after="0" w:line="18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0" w:name="page121"/>
    <w:bookmarkEnd w:id="120"/>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Borrower, reasonably specify to be necessary or appropriate to reflect the introduction or changeover to the Euro in any country that becomes a Participating Member State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ARTICLE II</w:t>
      </w: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The Commitments</w:t>
      </w:r>
      <w:r>
        <w:rPr>
          <w:rFonts w:ascii="Times New Roman" w:cs="Times New Roman" w:eastAsia="Times New Roman" w:hAnsi="Times New Roman"/>
          <w:sz w:val="22"/>
          <w:szCs w:val="22"/>
          <w:color w:val="auto"/>
        </w:rPr>
        <w:t>. Subject to the terms and conditions set forth herein:</w:t>
      </w:r>
    </w:p>
    <w:p>
      <w:pPr>
        <w:spacing w:after="0" w:line="206" w:lineRule="exact"/>
        <w:rPr>
          <w:sz w:val="20"/>
          <w:szCs w:val="20"/>
          <w:color w:val="auto"/>
        </w:rPr>
      </w:pPr>
    </w:p>
    <w:p>
      <w:pPr>
        <w:jc w:val="both"/>
        <w:ind w:firstLine="1042"/>
        <w:spacing w:after="0" w:line="238" w:lineRule="auto"/>
        <w:tabs>
          <w:tab w:leader="none" w:pos="133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Dollar Lender severally agrees to make Syndicated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or (iii) the total Covered Debt Amount exceeding the Borrowing Base then in effect; and</w:t>
      </w:r>
    </w:p>
    <w:p>
      <w:pPr>
        <w:spacing w:after="0" w:line="177"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Multicurrency Lender severally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or (iii) the total Covered Debt Amount exceeding the Borrowing Base then in effect.</w:t>
      </w:r>
    </w:p>
    <w:p>
      <w:pPr>
        <w:spacing w:after="0" w:line="177" w:lineRule="exact"/>
        <w:rPr>
          <w:sz w:val="20"/>
          <w:szCs w:val="20"/>
          <w:color w:val="auto"/>
        </w:rPr>
      </w:pPr>
    </w:p>
    <w:p>
      <w:pPr>
        <w:ind w:right="20" w:firstLine="1034"/>
        <w:spacing w:after="0" w:line="258" w:lineRule="auto"/>
        <w:rPr>
          <w:sz w:val="20"/>
          <w:szCs w:val="20"/>
          <w:color w:val="auto"/>
        </w:rPr>
      </w:pPr>
      <w:r>
        <w:rPr>
          <w:rFonts w:ascii="Times New Roman" w:cs="Times New Roman" w:eastAsia="Times New Roman" w:hAnsi="Times New Roman"/>
          <w:sz w:val="22"/>
          <w:szCs w:val="22"/>
          <w:color w:val="auto"/>
        </w:rPr>
        <w:t>Within the foregoing limits and subject to the terms and conditions set forth herein, the Borrower may borrow, prepay and reborrow Syndicated Loans.</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Loans and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8" w:lineRule="auto"/>
        <w:tabs>
          <w:tab w:leader="none" w:pos="13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w:t>
      </w:r>
      <w:r>
        <w:rPr>
          <w:rFonts w:ascii="Times New Roman" w:cs="Times New Roman" w:eastAsia="Times New Roman" w:hAnsi="Times New Roman"/>
          <w:sz w:val="22"/>
          <w:szCs w:val="22"/>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177"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 of Loans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77"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6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Borrowings of more than one Class, Currency and Type may be outstanding at the same time.</w:t>
      </w:r>
    </w:p>
    <w:p>
      <w:pPr>
        <w:spacing w:after="0" w:line="189"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1" w:name="page122"/>
    <w:bookmarkEnd w:id="121"/>
    <w:p>
      <w:pPr>
        <w:jc w:val="both"/>
        <w:ind w:firstLine="1042"/>
        <w:spacing w:after="0" w:line="244" w:lineRule="auto"/>
        <w:tabs>
          <w:tab w:leader="none" w:pos="13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Interest Periods</w:t>
      </w:r>
      <w:r>
        <w:rPr>
          <w:rFonts w:ascii="Times New Roman" w:cs="Times New Roman" w:eastAsia="Times New Roman" w:hAnsi="Times New Roman"/>
          <w:sz w:val="22"/>
          <w:szCs w:val="22"/>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w:t>
      </w:r>
    </w:p>
    <w:p>
      <w:pPr>
        <w:spacing w:after="0" w:line="173"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Classes</w:t>
      </w:r>
      <w:r>
        <w:rPr>
          <w:rFonts w:ascii="Times New Roman" w:cs="Times New Roman" w:eastAsia="Times New Roman" w:hAnsi="Times New Roman"/>
          <w:sz w:val="22"/>
          <w:szCs w:val="22"/>
          <w:color w:val="auto"/>
        </w:rPr>
        <w:t>.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Syndicated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5" w:lineRule="auto"/>
        <w:tabs>
          <w:tab w:leader="none" w:pos="132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Borrower</w:t>
      </w:r>
      <w:r>
        <w:rPr>
          <w:rFonts w:ascii="Times New Roman" w:cs="Times New Roman" w:eastAsia="Times New Roman" w:hAnsi="Times New Roman"/>
          <w:sz w:val="22"/>
          <w:szCs w:val="22"/>
          <w:color w:val="auto"/>
        </w:rPr>
        <w:t>. To request a Syndicated Borrowing, the Borrower shall notify the Administrative Agent of such request by telephone (i) 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79" w:lineRule="exact"/>
        <w:rPr>
          <w:rFonts w:ascii="Times New Roman" w:cs="Times New Roman" w:eastAsia="Times New Roman" w:hAnsi="Times New Roman"/>
          <w:sz w:val="22"/>
          <w:szCs w:val="22"/>
          <w:color w:val="auto"/>
        </w:rPr>
      </w:pPr>
    </w:p>
    <w:p>
      <w:pPr>
        <w:ind w:firstLine="1042"/>
        <w:spacing w:after="0" w:line="258" w:lineRule="auto"/>
        <w:tabs>
          <w:tab w:leader="none" w:pos="138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Content of Borrowing Requests</w:t>
      </w:r>
      <w:r>
        <w:rPr>
          <w:rFonts w:ascii="Times New Roman" w:cs="Times New Roman" w:eastAsia="Times New Roman" w:hAnsi="Times New Roman"/>
          <w:sz w:val="22"/>
          <w:szCs w:val="22"/>
          <w:color w:val="auto"/>
        </w:rPr>
        <w:t xml:space="preserve">. Each telephonic and written Borrowing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280" w:hanging="259"/>
        <w:spacing w:after="0"/>
        <w:tabs>
          <w:tab w:leader="none" w:pos="12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made under the Dollar Commitments or the Multicurrency Commitments;</w:t>
      </w:r>
    </w:p>
    <w:p>
      <w:pPr>
        <w:spacing w:after="0" w:line="206" w:lineRule="exact"/>
        <w:rPr>
          <w:rFonts w:ascii="Times New Roman" w:cs="Times New Roman" w:eastAsia="Times New Roman" w:hAnsi="Times New Roman"/>
          <w:sz w:val="22"/>
          <w:szCs w:val="22"/>
          <w:color w:val="auto"/>
        </w:rPr>
      </w:pPr>
    </w:p>
    <w:p>
      <w:pPr>
        <w:ind w:left="1340" w:hanging="319"/>
        <w:spacing w:after="0"/>
        <w:tabs>
          <w:tab w:leader="none" w:pos="13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and Currency of the requested Borrowing;</w:t>
      </w:r>
    </w:p>
    <w:p>
      <w:pPr>
        <w:spacing w:after="0" w:line="206" w:lineRule="exact"/>
        <w:rPr>
          <w:rFonts w:ascii="Times New Roman" w:cs="Times New Roman" w:eastAsia="Times New Roman" w:hAnsi="Times New Roman"/>
          <w:sz w:val="22"/>
          <w:szCs w:val="22"/>
          <w:color w:val="auto"/>
        </w:rPr>
      </w:pPr>
    </w:p>
    <w:p>
      <w:pPr>
        <w:ind w:left="1400" w:hanging="379"/>
        <w:spacing w:after="0"/>
        <w:tabs>
          <w:tab w:leader="none" w:pos="14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6" w:lineRule="exact"/>
        <w:rPr>
          <w:rFonts w:ascii="Times New Roman" w:cs="Times New Roman" w:eastAsia="Times New Roman" w:hAnsi="Times New Roman"/>
          <w:sz w:val="22"/>
          <w:szCs w:val="22"/>
          <w:color w:val="auto"/>
        </w:rPr>
      </w:pPr>
    </w:p>
    <w:p>
      <w:pPr>
        <w:ind w:left="520" w:right="20" w:firstLine="501"/>
        <w:spacing w:after="0" w:line="258" w:lineRule="auto"/>
        <w:tabs>
          <w:tab w:leader="none" w:pos="143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Syndicated Borrowing denominated in Dollars, whether such Borrowing is to be an ABR Borrowing or a Eurocurrency Borrowing;</w:t>
      </w:r>
    </w:p>
    <w:p>
      <w:pPr>
        <w:spacing w:after="0" w:line="158" w:lineRule="exact"/>
        <w:rPr>
          <w:rFonts w:ascii="Times New Roman" w:cs="Times New Roman" w:eastAsia="Times New Roman" w:hAnsi="Times New Roman"/>
          <w:sz w:val="22"/>
          <w:szCs w:val="22"/>
          <w:color w:val="auto"/>
        </w:rPr>
      </w:pPr>
    </w:p>
    <w:p>
      <w:pPr>
        <w:ind w:left="520" w:firstLine="501"/>
        <w:spacing w:after="0" w:line="258" w:lineRule="auto"/>
        <w:tabs>
          <w:tab w:leader="none" w:pos="133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Eurocurrency Borrowing, the Interest Period therefor, which shall be a period contemplated by the definition of the term “Interest Period” and permitted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left="1380" w:hanging="359"/>
        <w:spacing w:after="0"/>
        <w:tabs>
          <w:tab w:leader="none" w:pos="13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Borrower’s account to which funds are to be disbursed.</w:t>
      </w:r>
    </w:p>
    <w:p>
      <w:pPr>
        <w:spacing w:after="0" w:line="206"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6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Administrative Agent to the Lenders</w:t>
      </w:r>
      <w:r>
        <w:rPr>
          <w:rFonts w:ascii="Times New Roman" w:cs="Times New Roman" w:eastAsia="Times New Roman" w:hAnsi="Times New Roman"/>
          <w:sz w:val="22"/>
          <w:szCs w:val="22"/>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73"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Elect</w:t>
      </w:r>
      <w:r>
        <w:rPr>
          <w:rFonts w:ascii="Times New Roman" w:cs="Times New Roman" w:eastAsia="Times New Roman" w:hAnsi="Times New Roman"/>
          <w:sz w:val="22"/>
          <w:szCs w:val="22"/>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2" w:name="page123"/>
    <w:bookmarkEnd w:id="122"/>
    <w:p>
      <w:pPr>
        <w:jc w:val="both"/>
        <w:spacing w:after="0" w:line="238" w:lineRule="auto"/>
        <w:rPr>
          <w:sz w:val="20"/>
          <w:szCs w:val="20"/>
          <w:color w:val="auto"/>
        </w:rPr>
      </w:pPr>
      <w:r>
        <w:rPr>
          <w:rFonts w:ascii="Times New Roman" w:cs="Times New Roman" w:eastAsia="Times New Roman" w:hAnsi="Times New Roman"/>
          <w:sz w:val="22"/>
          <w:szCs w:val="22"/>
          <w:color w:val="auto"/>
        </w:rPr>
        <w:t>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4" w:lineRule="auto"/>
        <w:tabs>
          <w:tab w:leader="none" w:pos="1328"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to Make Swingline Loans</w:t>
      </w:r>
      <w:r>
        <w:rPr>
          <w:rFonts w:ascii="Times New Roman" w:cs="Times New Roman" w:eastAsia="Times New Roman" w:hAnsi="Times New Roman"/>
          <w:sz w:val="21"/>
          <w:szCs w:val="21"/>
          <w:color w:val="auto"/>
        </w:rPr>
        <w:t>. Subject to the terms and conditions set forth herein, each Swingline Lender severally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$100,000,000 or the aggregate principal amount of outstanding Swingline Loans of any Swingline Lender exceeding $50,000,000, (ii) the sum of any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(iv) the total Revolving Multicurrency Credit Exposures exceeding the aggregate Multicurrency Commitments or</w:t>
      </w:r>
    </w:p>
    <w:p>
      <w:pPr>
        <w:spacing w:after="0" w:line="4" w:lineRule="exact"/>
        <w:rPr>
          <w:rFonts w:ascii="Times New Roman" w:cs="Times New Roman" w:eastAsia="Times New Roman" w:hAnsi="Times New Roman"/>
          <w:sz w:val="21"/>
          <w:szCs w:val="21"/>
          <w:color w:val="auto"/>
        </w:rPr>
      </w:pPr>
    </w:p>
    <w:p>
      <w:pPr>
        <w:jc w:val="both"/>
        <w:ind w:firstLine="8"/>
        <w:spacing w:after="0" w:line="235" w:lineRule="auto"/>
        <w:tabs>
          <w:tab w:leader="none" w:pos="3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total Covered Debt Amount exceeding the Borrowing Base then in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78" w:lineRule="exact"/>
        <w:rPr>
          <w:rFonts w:ascii="Times New Roman" w:cs="Times New Roman" w:eastAsia="Times New Roman" w:hAnsi="Times New Roman"/>
          <w:sz w:val="22"/>
          <w:szCs w:val="22"/>
          <w:color w:val="auto"/>
        </w:rPr>
      </w:pPr>
    </w:p>
    <w:p>
      <w:pPr>
        <w:jc w:val="both"/>
        <w:ind w:firstLine="1042"/>
        <w:spacing w:after="0" w:line="234" w:lineRule="auto"/>
        <w:tabs>
          <w:tab w:leader="none" w:pos="139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Swingline Loans by the Borrower</w:t>
      </w:r>
      <w:r>
        <w:rPr>
          <w:rFonts w:ascii="Times New Roman" w:cs="Times New Roman" w:eastAsia="Times New Roman" w:hAnsi="Times New Roman"/>
          <w:sz w:val="22"/>
          <w:szCs w:val="22"/>
          <w:color w:val="auto"/>
        </w:rPr>
        <w:t xml:space="preserve">. To request a Swingline Loan, the Borrower shall notify the Administrative Agent of such request by telephone (confirmed by telecopy) not later than 11:00 a.m., Atlanta, Georgia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available to the Borrower by means of a credit to the general deposit account of the Borrower with such Swingline Lender (or, in the case of a Swingline Loan made to finance the reimbursement of an LC Disbursement as provided in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by remittance to the applicable Issuing Bank) by 3:00 p.m., Atlanta, Georgia time, on the requested date of such Swingline Loan.</w:t>
      </w:r>
    </w:p>
    <w:p>
      <w:pPr>
        <w:spacing w:after="0" w:line="184" w:lineRule="exact"/>
        <w:rPr>
          <w:rFonts w:ascii="Times New Roman" w:cs="Times New Roman" w:eastAsia="Times New Roman" w:hAnsi="Times New Roman"/>
          <w:sz w:val="22"/>
          <w:szCs w:val="22"/>
          <w:color w:val="auto"/>
        </w:rPr>
      </w:pPr>
    </w:p>
    <w:p>
      <w:pPr>
        <w:jc w:val="both"/>
        <w:ind w:firstLine="1042"/>
        <w:spacing w:after="0" w:line="233" w:lineRule="auto"/>
        <w:tabs>
          <w:tab w:leader="none" w:pos="138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 by Lenders in Swingline Loans</w:t>
      </w:r>
      <w:r>
        <w:rPr>
          <w:rFonts w:ascii="Times New Roman" w:cs="Times New Roman" w:eastAsia="Times New Roman" w:hAnsi="Times New Roman"/>
          <w:sz w:val="22"/>
          <w:szCs w:val="22"/>
          <w:color w:val="auto"/>
        </w:rPr>
        <w:t xml:space="preserve">. Any Swingline Lender may by written notice given to the Administrative Agent not later than 10:00 a.m., Atlanta, Georgia time on any Business Day, require the Lenders of the applicable Class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of such Swingline Loan or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purchase a participation in a Swingline Loan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if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w:t>
      </w:r>
    </w:p>
    <w:p>
      <w:pPr>
        <w:spacing w:after="0" w:line="19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3" w:name="page124"/>
    <w:bookmarkEnd w:id="12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prior to the time such Swingline Loan was made, then, subject to the terms and conditions hereof, such Swingline Lender shall be entitled to assume all such conditions are satisfied.</w:t>
      </w:r>
    </w:p>
    <w:p>
      <w:pPr>
        <w:spacing w:after="0" w:line="158"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1"/>
          <w:szCs w:val="21"/>
          <w:color w:val="auto"/>
        </w:rPr>
        <w:t xml:space="preserve">Subject to the foregoing, each Lender acknowledges and agrees that its obligation to acquire participations in Swingline Loans pursuant to this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with respect to Loans made by such Lender (and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80" w:lineRule="exact"/>
        <w:rPr>
          <w:sz w:val="20"/>
          <w:szCs w:val="20"/>
          <w:color w:val="auto"/>
        </w:rPr>
      </w:pPr>
    </w:p>
    <w:p>
      <w:pPr>
        <w:jc w:val="both"/>
        <w:ind w:firstLine="1042"/>
        <w:spacing w:after="0" w:line="232" w:lineRule="auto"/>
        <w:tabs>
          <w:tab w:leader="none" w:pos="13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and Replacement of Swingline Lender</w:t>
      </w:r>
      <w:r>
        <w:rPr>
          <w:rFonts w:ascii="Times New Roman" w:cs="Times New Roman" w:eastAsia="Times New Roman" w:hAnsi="Times New Roman"/>
          <w:sz w:val="22"/>
          <w:szCs w:val="22"/>
          <w:color w:val="auto"/>
        </w:rPr>
        <w:t xml:space="preserve">. Any Swingline Lender may resign and be replaced at any time by written agreement among the Borrower, the Administrative Agent, the resigning Swingline Lender and a successor Swingline Lender. The Administrative Agent shall notify the Lenders of any such resignation and replacement of any Swingline Lender. In addition to the foregoing, if a Lender becomes, and during the period it remains, a Defaulting Lender, and if any Default has arisen from a failure of the Borrower to comply with </w:t>
      </w:r>
      <w:r>
        <w:rPr>
          <w:rFonts w:ascii="Times New Roman" w:cs="Times New Roman" w:eastAsia="Times New Roman" w:hAnsi="Times New Roman"/>
          <w:sz w:val="22"/>
          <w:szCs w:val="22"/>
          <w:u w:val="single" w:color="auto"/>
          <w:color w:val="auto"/>
        </w:rPr>
        <w:t>Section 2.19(a)</w:t>
      </w:r>
      <w:r>
        <w:rPr>
          <w:rFonts w:ascii="Times New Roman" w:cs="Times New Roman" w:eastAsia="Times New Roman" w:hAnsi="Times New Roman"/>
          <w:sz w:val="22"/>
          <w:szCs w:val="22"/>
          <w:color w:val="auto"/>
        </w:rPr>
        <w:t>, then each Swingline Lender may, upon prior written notice to the Borrower and the Administrative Agent, resign as a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one or more successor Swingline Lenders. The Administrative Agent shall notify the Lenders of any such appointment of a successor Swingline Lender. Upon the effectiveness of any resignation of any Swingline Lender, the Borrower shall repay in full all outstanding Swingline Loans made by such Swingline Lender together with all accrued interest thereon. From and after the effective date of the appointment of a successor Swingline Lender, (i) such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of the Swingline Lender hereunder, the replaced Swingline Lender shall have no obligation to make additional Swingline Loans.</w:t>
      </w:r>
    </w:p>
    <w:p>
      <w:pPr>
        <w:spacing w:after="0" w:line="19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4" w:lineRule="auto"/>
        <w:tabs>
          <w:tab w:leader="none" w:pos="132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terms and conditions set forth herein, in addition to the Loans provided for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the Borrower may request each Issuing Bank to issue, at any time and from time to time during the Availability Period and under either the Dollar Commitments or Multicurrency Commitments, Letters of</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4" w:name="page125"/>
    <w:bookmarkEnd w:id="12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79" w:lineRule="exact"/>
        <w:rPr>
          <w:sz w:val="20"/>
          <w:szCs w:val="20"/>
          <w:color w:val="auto"/>
        </w:rPr>
      </w:pPr>
    </w:p>
    <w:p>
      <w:pPr>
        <w:jc w:val="both"/>
        <w:ind w:firstLine="1042"/>
        <w:spacing w:after="0" w:line="233" w:lineRule="auto"/>
        <w:tabs>
          <w:tab w:leader="none" w:pos="136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Renewal or Extension</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81" w:lineRule="exact"/>
        <w:rPr>
          <w:rFonts w:ascii="Times New Roman" w:cs="Times New Roman" w:eastAsia="Times New Roman" w:hAnsi="Times New Roman"/>
          <w:sz w:val="22"/>
          <w:szCs w:val="22"/>
          <w:color w:val="auto"/>
        </w:rPr>
      </w:pPr>
    </w:p>
    <w:p>
      <w:pPr>
        <w:jc w:val="both"/>
        <w:ind w:firstLine="1042"/>
        <w:spacing w:after="0" w:line="234" w:lineRule="auto"/>
        <w:tabs>
          <w:tab w:leader="none" w:pos="135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Amounts</w:t>
      </w:r>
      <w:r>
        <w:rPr>
          <w:rFonts w:ascii="Times New Roman" w:cs="Times New Roman" w:eastAsia="Times New Roman" w:hAnsi="Times New Roman"/>
          <w:sz w:val="22"/>
          <w:szCs w:val="22"/>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shall not exceed the amount set forth opposite the name of such Issuing Bank on </w:t>
      </w:r>
      <w:r>
        <w:rPr>
          <w:rFonts w:ascii="Times New Roman" w:cs="Times New Roman" w:eastAsia="Times New Roman" w:hAnsi="Times New Roman"/>
          <w:sz w:val="22"/>
          <w:szCs w:val="22"/>
          <w:u w:val="single" w:color="auto"/>
          <w:color w:val="auto"/>
        </w:rPr>
        <w:t>Schedule 2.05</w:t>
      </w:r>
      <w:r>
        <w:rPr>
          <w:rFonts w:ascii="Times New Roman" w:cs="Times New Roman" w:eastAsia="Times New Roman" w:hAnsi="Times New Roman"/>
          <w:sz w:val="22"/>
          <w:szCs w:val="22"/>
          <w:color w:val="auto"/>
        </w:rPr>
        <w:t xml:space="preserve"> (or such greater amount as such Issuing Bank may agree in its sole discretion); (ii) the total Revolving Dollar Credit Exposures shall not exceed the aggregate Dollar Commitments, (iii) the total Revolving Multicurrency Credit Exposures shall not exceed the aggregate Multicurrency Commitments; (iv) with respect to each Issuing Bank that is a Swingline Lender, the sum of such Swingline Lender’s outstanding Multicurrency Loans, its LC Exposure, its outstanding Swingline Loans and (without duplication) its other Swingline Exposure shall not exceed its Multicurrency Commitment; and (v) the total Covered Debt Amount shall not exceed the Borrowing Base then in effect.</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5" w:name="page126"/>
    <w:bookmarkEnd w:id="125"/>
    <w:p>
      <w:pPr>
        <w:jc w:val="both"/>
        <w:ind w:firstLine="1042"/>
        <w:spacing w:after="0" w:line="247" w:lineRule="auto"/>
        <w:tabs>
          <w:tab w:leader="none" w:pos="135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applicable Issuing Bank and the Administrative Agent.</w:t>
      </w:r>
    </w:p>
    <w:p>
      <w:pPr>
        <w:spacing w:after="0" w:line="172" w:lineRule="exact"/>
        <w:rPr>
          <w:rFonts w:ascii="Times New Roman" w:cs="Times New Roman" w:eastAsia="Times New Roman" w:hAnsi="Times New Roman"/>
          <w:sz w:val="21"/>
          <w:szCs w:val="21"/>
          <w:color w:val="auto"/>
        </w:rPr>
      </w:pPr>
    </w:p>
    <w:p>
      <w:pPr>
        <w:jc w:val="both"/>
        <w:ind w:firstLine="1042"/>
        <w:spacing w:after="0" w:line="243" w:lineRule="auto"/>
        <w:tabs>
          <w:tab w:leader="none" w:pos="1328"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xml:space="preserve">. By the issuance of a Letter of Credit of a Class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be required to purchase a participation in a Letter of Credit pursuant to this </w:t>
      </w:r>
      <w:r>
        <w:rPr>
          <w:rFonts w:ascii="Times New Roman" w:cs="Times New Roman" w:eastAsia="Times New Roman" w:hAnsi="Times New Roman"/>
          <w:sz w:val="21"/>
          <w:szCs w:val="21"/>
          <w:u w:val="single" w:color="auto"/>
          <w:color w:val="auto"/>
        </w:rPr>
        <w:t>Section 2.05(e)</w:t>
      </w:r>
      <w:r>
        <w:rPr>
          <w:rFonts w:ascii="Times New Roman" w:cs="Times New Roman" w:eastAsia="Times New Roman" w:hAnsi="Times New Roman"/>
          <w:sz w:val="21"/>
          <w:szCs w:val="21"/>
          <w:color w:val="auto"/>
        </w:rPr>
        <w:t xml:space="preserve"> if (x)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would not be satisfied in respect of a Borrowing at the time such Letter of Credit was issued and</w:t>
      </w:r>
    </w:p>
    <w:p>
      <w:pPr>
        <w:spacing w:after="0" w:line="9" w:lineRule="exact"/>
        <w:rPr>
          <w:rFonts w:ascii="Times New Roman" w:cs="Times New Roman" w:eastAsia="Times New Roman" w:hAnsi="Times New Roman"/>
          <w:sz w:val="21"/>
          <w:szCs w:val="21"/>
          <w:color w:val="auto"/>
        </w:rPr>
      </w:pPr>
    </w:p>
    <w:p>
      <w:pPr>
        <w:jc w:val="both"/>
        <w:ind w:firstLine="8"/>
        <w:spacing w:after="0" w:line="233" w:lineRule="auto"/>
        <w:tabs>
          <w:tab w:leader="none" w:pos="31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77"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1"/>
          <w:szCs w:val="21"/>
          <w:color w:val="auto"/>
        </w:rPr>
        <w:t xml:space="preserve">In consideration and in furtherance of the foregoing, each Lender of a Class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with respect to Loans made by such Lender (and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6" w:name="page127"/>
    <w:bookmarkEnd w:id="126"/>
    <w:p>
      <w:pPr>
        <w:jc w:val="both"/>
        <w:ind w:firstLine="1042"/>
        <w:spacing w:after="0" w:line="234" w:lineRule="auto"/>
        <w:tabs>
          <w:tab w:leader="none" w:pos="130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LC Disbursement is not less than $1,000,000 and is denominated in Dollars, the Borrower may, subject to the conditions to borrowing set forth herein, request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0"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174" w:lineRule="exact"/>
        <w:rPr>
          <w:sz w:val="20"/>
          <w:szCs w:val="20"/>
          <w:color w:val="auto"/>
        </w:rPr>
      </w:pPr>
    </w:p>
    <w:p>
      <w:pPr>
        <w:jc w:val="both"/>
        <w:ind w:firstLine="1042"/>
        <w:spacing w:after="0" w:line="247" w:lineRule="auto"/>
        <w:tabs>
          <w:tab w:leader="none" w:pos="135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xml:space="preserve">. The Borrower’s obligation to reimburse LC Disbursements as provided in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73"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177" w:lineRule="exact"/>
        <w:rPr>
          <w:sz w:val="20"/>
          <w:szCs w:val="20"/>
          <w:color w:val="auto"/>
        </w:rPr>
      </w:pPr>
    </w:p>
    <w:p>
      <w:pPr>
        <w:jc w:val="both"/>
        <w:ind w:left="520" w:firstLine="501"/>
        <w:spacing w:after="0" w:line="239" w:lineRule="auto"/>
        <w:tabs>
          <w:tab w:leader="none" w:pos="127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0" w:lineRule="exact"/>
        <w:rPr>
          <w:rFonts w:ascii="Times New Roman" w:cs="Times New Roman" w:eastAsia="Times New Roman" w:hAnsi="Times New Roman"/>
          <w:sz w:val="22"/>
          <w:szCs w:val="22"/>
          <w:color w:val="auto"/>
        </w:rPr>
      </w:pPr>
    </w:p>
    <w:p>
      <w:pPr>
        <w:ind w:left="520" w:right="20" w:firstLine="501"/>
        <w:spacing w:after="0" w:line="258" w:lineRule="auto"/>
        <w:tabs>
          <w:tab w:leader="none" w:pos="133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Banks shall have the right, in their sole discretion, to decline to accept such documents and to make such payment if such documents are not in strict compliance with the terms of such Letter of Credit; and</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7" w:name="page128"/>
    <w:bookmarkEnd w:id="127"/>
    <w:p>
      <w:pPr>
        <w:jc w:val="both"/>
        <w:ind w:left="-501" w:firstLine="501"/>
        <w:spacing w:after="0" w:line="244" w:lineRule="auto"/>
        <w:tabs>
          <w:tab w:leader="none" w:pos="38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4" w:lineRule="exact"/>
        <w:rPr>
          <w:sz w:val="20"/>
          <w:szCs w:val="20"/>
          <w:color w:val="auto"/>
        </w:rPr>
      </w:pPr>
    </w:p>
    <w:p>
      <w:pPr>
        <w:jc w:val="both"/>
        <w:ind w:left="-1021" w:firstLine="1042"/>
        <w:spacing w:after="0" w:line="236" w:lineRule="auto"/>
        <w:tabs>
          <w:tab w:leader="none" w:pos="31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of such demand for payment and whether such Issuing Bank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182" w:lineRule="exact"/>
        <w:rPr>
          <w:rFonts w:ascii="Times New Roman" w:cs="Times New Roman" w:eastAsia="Times New Roman" w:hAnsi="Times New Roman"/>
          <w:sz w:val="22"/>
          <w:szCs w:val="22"/>
          <w:color w:val="auto"/>
        </w:rPr>
      </w:pPr>
    </w:p>
    <w:p>
      <w:pPr>
        <w:jc w:val="both"/>
        <w:ind w:left="-1021" w:firstLine="1042"/>
        <w:spacing w:after="0" w:line="235" w:lineRule="auto"/>
        <w:tabs>
          <w:tab w:leader="none" w:pos="28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fails to reimburse such LC Disbursement within two Business Days following the date when due pursuant to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then the provisions of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 xml:space="preserve"> shall apply. Interest accrued pursuant to this paragraph shall be for account of the applicable Issuing Bank, except that interest accrued on and after the date of payment by any Lender pursuant to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to reimburse such Issuing Bank shall be for account of such Lender to the extent of such payment.</w:t>
      </w:r>
    </w:p>
    <w:p>
      <w:pPr>
        <w:spacing w:after="0" w:line="179" w:lineRule="exact"/>
        <w:rPr>
          <w:rFonts w:ascii="Times New Roman" w:cs="Times New Roman" w:eastAsia="Times New Roman" w:hAnsi="Times New Roman"/>
          <w:sz w:val="22"/>
          <w:szCs w:val="22"/>
          <w:color w:val="auto"/>
        </w:rPr>
      </w:pPr>
    </w:p>
    <w:p>
      <w:pPr>
        <w:jc w:val="both"/>
        <w:ind w:left="-1021" w:firstLine="1042"/>
        <w:spacing w:after="0" w:line="244" w:lineRule="auto"/>
        <w:tabs>
          <w:tab w:leader="none" w:pos="28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 and/or Replacement of an Issuing Bank</w:t>
      </w:r>
      <w:r>
        <w:rPr>
          <w:rFonts w:ascii="Times New Roman" w:cs="Times New Roman" w:eastAsia="Times New Roman" w:hAnsi="Times New Roman"/>
          <w:sz w:val="21"/>
          <w:szCs w:val="21"/>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Borrower shall be required if an Event of Default has occurred and is continuing), resign as an Issuing Bank hereunder upon not less than three Business Days prior written notice to the Administrative Agent and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2.11(b)</w:t>
      </w:r>
      <w:r>
        <w:rPr>
          <w:rFonts w:ascii="Times New Roman" w:cs="Times New Roman" w:eastAsia="Times New Roman" w:hAnsi="Times New Roman"/>
          <w:sz w:val="21"/>
          <w:szCs w:val="21"/>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72" w:lineRule="exact"/>
        <w:rPr>
          <w:rFonts w:ascii="Times New Roman" w:cs="Times New Roman" w:eastAsia="Times New Roman" w:hAnsi="Times New Roman"/>
          <w:sz w:val="21"/>
          <w:szCs w:val="21"/>
          <w:color w:val="auto"/>
        </w:rPr>
      </w:pPr>
    </w:p>
    <w:p>
      <w:pPr>
        <w:ind w:left="-1021" w:firstLine="1042"/>
        <w:spacing w:after="0" w:line="258" w:lineRule="auto"/>
        <w:tabs>
          <w:tab w:leader="none" w:pos="33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the Borrower shall be required to provide Cash Collateral for LC Exposure pursuant to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the last paragraph of</w:t>
      </w:r>
    </w:p>
    <w:p>
      <w:pPr>
        <w:spacing w:after="0" w:line="165" w:lineRule="exact"/>
        <w:rPr>
          <w:sz w:val="20"/>
          <w:szCs w:val="20"/>
          <w:color w:val="auto"/>
        </w:rPr>
      </w:pPr>
    </w:p>
    <w:p>
      <w:pPr>
        <w:ind w:left="8359"/>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81915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99"/>
          </w:cols>
          <w:pgMar w:left="1261" w:top="544" w:right="239" w:bottom="1440" w:gutter="0" w:footer="0" w:header="0"/>
        </w:sectPr>
      </w:pPr>
    </w:p>
    <w:bookmarkStart w:id="128" w:name="page129"/>
    <w:bookmarkEnd w:id="128"/>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Borrower shall immediately deposit into a segregated collateral account or accounts (herein, collectively, the “</w:t>
      </w:r>
      <w:r>
        <w:rPr>
          <w:rFonts w:ascii="Times New Roman" w:cs="Times New Roman" w:eastAsia="Times New Roman" w:hAnsi="Times New Roman"/>
          <w:sz w:val="22"/>
          <w:szCs w:val="22"/>
          <w:u w:val="single" w:color="auto"/>
          <w:color w:val="auto"/>
        </w:rPr>
        <w:t>Letter of Credit Collateral Account</w:t>
      </w:r>
      <w:r>
        <w:rPr>
          <w:rFonts w:ascii="Times New Roman" w:cs="Times New Roman" w:eastAsia="Times New Roman" w:hAnsi="Times New Roman"/>
          <w:sz w:val="22"/>
          <w:szCs w:val="22"/>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the last paragraph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79" w:lineRule="exact"/>
        <w:rPr>
          <w:sz w:val="20"/>
          <w:szCs w:val="20"/>
          <w:color w:val="auto"/>
        </w:rPr>
      </w:pPr>
    </w:p>
    <w:p>
      <w:pPr>
        <w:jc w:val="both"/>
        <w:ind w:firstLine="1042"/>
        <w:spacing w:after="0" w:line="235" w:lineRule="auto"/>
        <w:tabs>
          <w:tab w:leader="none" w:pos="12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Issuing Banks</w:t>
      </w:r>
      <w:r>
        <w:rPr>
          <w:rFonts w:ascii="Times New Roman" w:cs="Times New Roman" w:eastAsia="Times New Roman" w:hAnsi="Times New Roman"/>
          <w:sz w:val="22"/>
          <w:szCs w:val="22"/>
          <w:color w:val="auto"/>
        </w:rPr>
        <w:t xml:space="preserve">. From time to time, the Borrower may, by notice to the Administrative Agent, designate additional Lenders as an Issuing Bank, each of which agrees (in its sole discretion) to act in such capacity and is reasonably satisfactory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notice shall include an updated Schedule 2.05;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Funding of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5" w:lineRule="auto"/>
        <w:tabs>
          <w:tab w:leader="none" w:pos="132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by Lenders</w:t>
      </w:r>
      <w:r>
        <w:rPr>
          <w:rFonts w:ascii="Times New Roman" w:cs="Times New Roman" w:eastAsia="Times New Roman" w:hAnsi="Times New Roman"/>
          <w:sz w:val="22"/>
          <w:szCs w:val="22"/>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Swingline Loans shall be made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Syndicated ABR Borrowings made to finance the reimbursement of an LC Disbursement as provided in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xml:space="preserve"> shall be remitted by the Administrative Agent to the applicable Issuing Bank.</w:t>
      </w:r>
    </w:p>
    <w:p>
      <w:pPr>
        <w:spacing w:after="0" w:line="183" w:lineRule="exact"/>
        <w:rPr>
          <w:rFonts w:ascii="Times New Roman" w:cs="Times New Roman" w:eastAsia="Times New Roman" w:hAnsi="Times New Roman"/>
          <w:sz w:val="22"/>
          <w:szCs w:val="22"/>
          <w:color w:val="auto"/>
        </w:rPr>
      </w:pPr>
    </w:p>
    <w:p>
      <w:pPr>
        <w:jc w:val="both"/>
        <w:ind w:firstLine="1042"/>
        <w:spacing w:after="0" w:line="233" w:lineRule="auto"/>
        <w:tabs>
          <w:tab w:leader="none" w:pos="136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 by the Administrative Agent</w:t>
      </w:r>
      <w:r>
        <w:rPr>
          <w:rFonts w:ascii="Times New Roman" w:cs="Times New Roman" w:eastAsia="Times New Roman" w:hAnsi="Times New Roman"/>
          <w:sz w:val="22"/>
          <w:szCs w:val="22"/>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9" w:name="page130"/>
    <w:bookmarkEnd w:id="129"/>
    <w:p>
      <w:pPr>
        <w:ind w:left="104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5" w:lineRule="auto"/>
        <w:tabs>
          <w:tab w:leader="none" w:pos="1355"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Elections by the Borrower for Syndicated Borrowings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a Syndicated Borrowing of a Class may only be continued or converted into a Syndicated Borrowing of the same Class,</w:t>
      </w:r>
    </w:p>
    <w:p>
      <w:pPr>
        <w:spacing w:after="0" w:line="3" w:lineRule="exact"/>
        <w:rPr>
          <w:rFonts w:ascii="Times New Roman" w:cs="Times New Roman" w:eastAsia="Times New Roman" w:hAnsi="Times New Roman"/>
          <w:sz w:val="21"/>
          <w:szCs w:val="21"/>
          <w:color w:val="auto"/>
        </w:rPr>
      </w:pPr>
    </w:p>
    <w:p>
      <w:pPr>
        <w:jc w:val="both"/>
        <w:ind w:firstLine="8"/>
        <w:spacing w:after="0" w:line="230" w:lineRule="auto"/>
        <w:tabs>
          <w:tab w:leader="none" w:pos="32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w:t>
      </w:r>
    </w:p>
    <w:p>
      <w:pPr>
        <w:spacing w:after="0" w:line="1" w:lineRule="exact"/>
        <w:rPr>
          <w:rFonts w:ascii="Times New Roman" w:cs="Times New Roman" w:eastAsia="Times New Roman" w:hAnsi="Times New Roman"/>
          <w:sz w:val="22"/>
          <w:szCs w:val="22"/>
          <w:color w:val="auto"/>
        </w:rPr>
      </w:pPr>
    </w:p>
    <w:p>
      <w:pPr>
        <w:jc w:val="both"/>
        <w:ind w:firstLine="8"/>
        <w:spacing w:after="0" w:line="233" w:lineRule="auto"/>
        <w:tabs>
          <w:tab w:leader="none" w:pos="37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79"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53"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Elections</w:t>
      </w:r>
      <w:r>
        <w:rPr>
          <w:rFonts w:ascii="Times New Roman" w:cs="Times New Roman" w:eastAsia="Times New Roman" w:hAnsi="Times New Roman"/>
          <w:sz w:val="22"/>
          <w:szCs w:val="22"/>
          <w:color w:val="auto"/>
        </w:rPr>
        <w:t xml:space="preserve">. To make an election pursuant to this Section, the Borrower shall notify the Administrative Agent of such election by telephone by the time that a Borrowing Request would be required under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82" w:lineRule="exact"/>
        <w:rPr>
          <w:rFonts w:ascii="Times New Roman" w:cs="Times New Roman" w:eastAsia="Times New Roman" w:hAnsi="Times New Roman"/>
          <w:sz w:val="22"/>
          <w:szCs w:val="22"/>
          <w:color w:val="auto"/>
        </w:rPr>
      </w:pPr>
    </w:p>
    <w:p>
      <w:pPr>
        <w:ind w:right="20" w:firstLine="1042"/>
        <w:spacing w:after="0" w:line="258" w:lineRule="auto"/>
        <w:tabs>
          <w:tab w:leader="none" w:pos="1355"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Content of Interest Election Requests</w:t>
      </w:r>
      <w:r>
        <w:rPr>
          <w:rFonts w:ascii="Times New Roman" w:cs="Times New Roman" w:eastAsia="Times New Roman" w:hAnsi="Times New Roman"/>
          <w:sz w:val="22"/>
          <w:szCs w:val="22"/>
          <w:color w:val="auto"/>
        </w:rPr>
        <w:t xml:space="preserve">. Each telephonic and written Interest Election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520" w:firstLine="501"/>
        <w:spacing w:after="0" w:line="239" w:lineRule="auto"/>
        <w:tabs>
          <w:tab w:leader="none" w:pos="130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this paragraph shall be specified for each resulting Borrowing);</w:t>
      </w:r>
    </w:p>
    <w:p>
      <w:pPr>
        <w:spacing w:after="0" w:line="180" w:lineRule="exact"/>
        <w:rPr>
          <w:rFonts w:ascii="Times New Roman" w:cs="Times New Roman" w:eastAsia="Times New Roman" w:hAnsi="Times New Roman"/>
          <w:sz w:val="22"/>
          <w:szCs w:val="22"/>
          <w:color w:val="auto"/>
        </w:rPr>
      </w:pPr>
    </w:p>
    <w:p>
      <w:pPr>
        <w:ind w:left="1340" w:hanging="319"/>
        <w:spacing w:after="0"/>
        <w:tabs>
          <w:tab w:leader="none" w:pos="134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 Business Day;</w:t>
      </w:r>
    </w:p>
    <w:p>
      <w:pPr>
        <w:spacing w:after="0" w:line="206" w:lineRule="exact"/>
        <w:rPr>
          <w:rFonts w:ascii="Times New Roman" w:cs="Times New Roman" w:eastAsia="Times New Roman" w:hAnsi="Times New Roman"/>
          <w:sz w:val="22"/>
          <w:szCs w:val="22"/>
          <w:color w:val="auto"/>
        </w:rPr>
      </w:pPr>
    </w:p>
    <w:p>
      <w:pPr>
        <w:ind w:left="520" w:right="20" w:firstLine="501"/>
        <w:spacing w:after="0" w:line="258" w:lineRule="auto"/>
        <w:tabs>
          <w:tab w:leader="none" w:pos="139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in the case of a Borrowing denominated in Dollars, the resulting Borrowing is to be an ABR Borrowing or a Eurocurrency Borrowing; and</w:t>
      </w:r>
    </w:p>
    <w:p>
      <w:pPr>
        <w:spacing w:after="0" w:line="158" w:lineRule="exact"/>
        <w:rPr>
          <w:rFonts w:ascii="Times New Roman" w:cs="Times New Roman" w:eastAsia="Times New Roman" w:hAnsi="Times New Roman"/>
          <w:sz w:val="22"/>
          <w:szCs w:val="22"/>
          <w:color w:val="auto"/>
        </w:rPr>
      </w:pPr>
    </w:p>
    <w:p>
      <w:pPr>
        <w:jc w:val="both"/>
        <w:ind w:left="520" w:firstLine="501"/>
        <w:spacing w:after="0" w:line="244" w:lineRule="auto"/>
        <w:tabs>
          <w:tab w:leader="none" w:pos="141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40"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the Administrative Agent to the Lenders</w:t>
      </w:r>
      <w:r>
        <w:rPr>
          <w:rFonts w:ascii="Times New Roman" w:cs="Times New Roman" w:eastAsia="Times New Roman" w:hAnsi="Times New Roman"/>
          <w:sz w:val="22"/>
          <w:szCs w:val="22"/>
          <w:color w:val="auto"/>
        </w:rPr>
        <w:t>. Promptly following receipt of an Interest Election Request, the Administrative Agent shall advise each applicable Lender of the details thereof and of such Lender’s portion of each resulting Borrowing.</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0" w:name="page131"/>
    <w:bookmarkEnd w:id="130"/>
    <w:p>
      <w:pPr>
        <w:jc w:val="both"/>
        <w:ind w:firstLine="1042"/>
        <w:spacing w:after="0" w:line="234" w:lineRule="auto"/>
        <w:tabs>
          <w:tab w:leader="none" w:pos="132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Elect; Events of Default</w:t>
      </w:r>
      <w:r>
        <w:rPr>
          <w:rFonts w:ascii="Times New Roman" w:cs="Times New Roman" w:eastAsia="Times New Roman" w:hAnsi="Times New Roman"/>
          <w:sz w:val="22"/>
          <w:szCs w:val="22"/>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8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Termination, Reduction or Increase of the Commitments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042"/>
        <w:spacing w:after="0" w:line="258" w:lineRule="auto"/>
        <w:tabs>
          <w:tab w:leader="none" w:pos="135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Scheduled Termination</w:t>
      </w:r>
      <w:r>
        <w:rPr>
          <w:rFonts w:ascii="Times New Roman" w:cs="Times New Roman" w:eastAsia="Times New Roman" w:hAnsi="Times New Roman"/>
          <w:sz w:val="22"/>
          <w:szCs w:val="22"/>
          <w:color w:val="auto"/>
        </w:rPr>
        <w:t>. Unless previously terminated, the Commitments of each Class shall terminate on the Commitment Termination Date.</w:t>
      </w:r>
    </w:p>
    <w:p>
      <w:pPr>
        <w:spacing w:after="0" w:line="158"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5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or Reduction</w:t>
      </w:r>
      <w:r>
        <w:rPr>
          <w:rFonts w:ascii="Times New Roman" w:cs="Times New Roman" w:eastAsia="Times New Roman" w:hAnsi="Times New Roman"/>
          <w:sz w:val="22"/>
          <w:szCs w:val="22"/>
          <w:color w:val="auto"/>
        </w:rPr>
        <w:t xml:space="preserve">. The Borrower may at any time terminate, or from time to time reduce, the Commitments of either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if, after giving effect to any concurrent prepayment of the Syndicated Loans of such Class in accordance with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the total Revolving Credit Exposures of such Class would exceed the total Commitments of such Class. Any such reduction of the Commitments below the principal amount of the Swingline Loans permitted under </w:t>
      </w:r>
      <w:r>
        <w:rPr>
          <w:rFonts w:ascii="Times New Roman" w:cs="Times New Roman" w:eastAsia="Times New Roman" w:hAnsi="Times New Roman"/>
          <w:sz w:val="22"/>
          <w:szCs w:val="22"/>
          <w:u w:val="single" w:color="auto"/>
          <w:color w:val="auto"/>
        </w:rPr>
        <w:t>Section 2.04(a)(i)</w:t>
      </w:r>
      <w:r>
        <w:rPr>
          <w:rFonts w:ascii="Times New Roman" w:cs="Times New Roman" w:eastAsia="Times New Roman" w:hAnsi="Times New Roman"/>
          <w:sz w:val="22"/>
          <w:szCs w:val="22"/>
          <w:color w:val="auto"/>
        </w:rPr>
        <w:t xml:space="preserve"> and the Letters of Credit permitted under </w:t>
      </w:r>
      <w:r>
        <w:rPr>
          <w:rFonts w:ascii="Times New Roman" w:cs="Times New Roman" w:eastAsia="Times New Roman" w:hAnsi="Times New Roman"/>
          <w:sz w:val="22"/>
          <w:szCs w:val="22"/>
          <w:u w:val="single" w:color="auto"/>
          <w:color w:val="auto"/>
        </w:rPr>
        <w:t>Section 2.05(c)(i)</w:t>
      </w:r>
      <w:r>
        <w:rPr>
          <w:rFonts w:ascii="Times New Roman" w:cs="Times New Roman" w:eastAsia="Times New Roman" w:hAnsi="Times New Roman"/>
          <w:sz w:val="22"/>
          <w:szCs w:val="22"/>
          <w:color w:val="auto"/>
        </w:rPr>
        <w:t xml:space="preserve"> shall result in a dollar-for-dollar reduction of such amounts as applicable.</w:t>
      </w:r>
    </w:p>
    <w:p>
      <w:pPr>
        <w:spacing w:after="0" w:line="179"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2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Voluntary Termination or Reduction</w:t>
      </w:r>
      <w:r>
        <w:rPr>
          <w:rFonts w:ascii="Times New Roman" w:cs="Times New Roman" w:eastAsia="Times New Roman" w:hAnsi="Times New Roman"/>
          <w:sz w:val="22"/>
          <w:szCs w:val="22"/>
          <w:color w:val="auto"/>
        </w:rPr>
        <w:t xml:space="preserve">. The Borrower shall notify the Administrative Agent of any election to terminate or reduce the Commitments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79"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8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or Reduction</w:t>
      </w:r>
      <w:r>
        <w:rPr>
          <w:rFonts w:ascii="Times New Roman" w:cs="Times New Roman" w:eastAsia="Times New Roman" w:hAnsi="Times New Roman"/>
          <w:sz w:val="22"/>
          <w:szCs w:val="22"/>
          <w:color w:val="auto"/>
        </w:rPr>
        <w:t>. Any termination or reduction of the Commitments of a Class shall be permanent. Each reduction of the Commitments of a Class shall be made ratably among the Lenders of such Class in accordance with their respective Commitments.</w:t>
      </w:r>
    </w:p>
    <w:p>
      <w:pPr>
        <w:spacing w:after="0" w:line="173"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 of the Commitments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520" w:firstLine="501"/>
        <w:spacing w:after="0" w:line="236" w:lineRule="auto"/>
        <w:tabs>
          <w:tab w:leader="none" w:pos="128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Requests for Increase by Borrower</w:t>
      </w:r>
      <w:r>
        <w:rPr>
          <w:rFonts w:ascii="Times New Roman" w:cs="Times New Roman" w:eastAsia="Times New Roman" w:hAnsi="Times New Roman"/>
          <w:sz w:val="22"/>
          <w:szCs w:val="22"/>
          <w:color w:val="auto"/>
        </w:rPr>
        <w:t>. The Borrower may, at any time, request that the Commitments hereunder of a Class be increased (each such proposed increase being a “</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upon notice to the Administrative Agent (who shall promptly notify the Lenders), which notice shall specify each existing Lender (each an “</w:t>
      </w:r>
      <w:r>
        <w:rPr>
          <w:rFonts w:ascii="Times New Roman" w:cs="Times New Roman" w:eastAsia="Times New Roman" w:hAnsi="Times New Roman"/>
          <w:sz w:val="22"/>
          <w:szCs w:val="22"/>
          <w:u w:val="single" w:color="auto"/>
          <w:color w:val="auto"/>
        </w:rPr>
        <w:t>Increasing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and/or each additional lender (each an “</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that shall have agreed to an additional Commitment and the date on which such increase is to be effective (the “</w:t>
      </w:r>
      <w:r>
        <w:rPr>
          <w:rFonts w:ascii="Times New Roman" w:cs="Times New Roman" w:eastAsia="Times New Roman" w:hAnsi="Times New Roman"/>
          <w:sz w:val="22"/>
          <w:szCs w:val="22"/>
          <w:u w:val="single" w:color="auto"/>
          <w:color w:val="auto"/>
        </w:rPr>
        <w:t>Commitment Increase Date</w:t>
      </w:r>
      <w:r>
        <w:rPr>
          <w:rFonts w:ascii="Times New Roman" w:cs="Times New Roman" w:eastAsia="Times New Roman" w:hAnsi="Times New Roman"/>
          <w:sz w:val="22"/>
          <w:szCs w:val="22"/>
          <w:color w:val="auto"/>
        </w:rPr>
        <w:t>”), which shall be a Business Day at least three</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1" w:name="page132"/>
    <w:bookmarkEnd w:id="131"/>
    <w:p>
      <w:pPr>
        <w:spacing w:after="0" w:line="258" w:lineRule="auto"/>
        <w:rPr>
          <w:sz w:val="20"/>
          <w:szCs w:val="20"/>
          <w:color w:val="auto"/>
        </w:rPr>
      </w:pPr>
      <w:r>
        <w:rPr>
          <w:rFonts w:ascii="Times New Roman" w:cs="Times New Roman" w:eastAsia="Times New Roman" w:hAnsi="Times New Roman"/>
          <w:sz w:val="22"/>
          <w:szCs w:val="22"/>
          <w:color w:val="auto"/>
        </w:rPr>
        <w:t xml:space="preserve">Business Days (or such lesser period as the Administrative Agent may reasonably agree) after delivery of such notice and 30 days prior to the Commitment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8" w:lineRule="exact"/>
        <w:rPr>
          <w:sz w:val="20"/>
          <w:szCs w:val="20"/>
          <w:color w:val="auto"/>
        </w:rPr>
      </w:pPr>
    </w:p>
    <w:p>
      <w:pPr>
        <w:jc w:val="both"/>
        <w:ind w:left="520" w:firstLine="473"/>
        <w:spacing w:after="0" w:line="262" w:lineRule="auto"/>
        <w:tabs>
          <w:tab w:leader="none" w:pos="135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54" w:lineRule="exact"/>
        <w:rPr>
          <w:rFonts w:ascii="Times New Roman" w:cs="Times New Roman" w:eastAsia="Times New Roman" w:hAnsi="Times New Roman"/>
          <w:sz w:val="21"/>
          <w:szCs w:val="21"/>
          <w:color w:val="auto"/>
        </w:rPr>
      </w:pPr>
    </w:p>
    <w:p>
      <w:pPr>
        <w:ind w:left="520" w:firstLine="473"/>
        <w:spacing w:after="0" w:line="258" w:lineRule="auto"/>
        <w:tabs>
          <w:tab w:leader="none" w:pos="135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Commitment Increase, the total Commitments of all of the Lenders hereunder shall not exceed $1,250,000,000;</w:t>
      </w:r>
    </w:p>
    <w:p>
      <w:pPr>
        <w:spacing w:after="0" w:line="158" w:lineRule="exact"/>
        <w:rPr>
          <w:rFonts w:ascii="Times New Roman" w:cs="Times New Roman" w:eastAsia="Times New Roman" w:hAnsi="Times New Roman"/>
          <w:sz w:val="22"/>
          <w:szCs w:val="22"/>
          <w:color w:val="auto"/>
        </w:rPr>
      </w:pPr>
    </w:p>
    <w:p>
      <w:pPr>
        <w:ind w:left="520" w:firstLine="473"/>
        <w:spacing w:after="0" w:line="258" w:lineRule="auto"/>
        <w:tabs>
          <w:tab w:leader="none" w:pos="137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Assuming Lender shall be consented to by the Administrative Agent and each Issuing Bank (such consent not to be unreasonably withheld);</w:t>
      </w:r>
    </w:p>
    <w:p>
      <w:pPr>
        <w:spacing w:after="0" w:line="158" w:lineRule="exact"/>
        <w:rPr>
          <w:rFonts w:ascii="Times New Roman" w:cs="Times New Roman" w:eastAsia="Times New Roman" w:hAnsi="Times New Roman"/>
          <w:sz w:val="22"/>
          <w:szCs w:val="22"/>
          <w:color w:val="auto"/>
        </w:rPr>
      </w:pPr>
    </w:p>
    <w:p>
      <w:pPr>
        <w:ind w:left="520" w:firstLine="473"/>
        <w:spacing w:after="0" w:line="258" w:lineRule="auto"/>
        <w:tabs>
          <w:tab w:leader="none" w:pos="135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on such Commitment Increase Date or shall result from the proposed Commitment Increase; and</w:t>
      </w:r>
    </w:p>
    <w:p>
      <w:pPr>
        <w:spacing w:after="0" w:line="158" w:lineRule="exact"/>
        <w:rPr>
          <w:rFonts w:ascii="Times New Roman" w:cs="Times New Roman" w:eastAsia="Times New Roman" w:hAnsi="Times New Roman"/>
          <w:sz w:val="22"/>
          <w:szCs w:val="22"/>
          <w:color w:val="auto"/>
        </w:rPr>
      </w:pPr>
    </w:p>
    <w:p>
      <w:pPr>
        <w:jc w:val="both"/>
        <w:ind w:left="520" w:firstLine="473"/>
        <w:spacing w:after="0" w:line="255" w:lineRule="auto"/>
        <w:tabs>
          <w:tab w:leader="none" w:pos="132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62" w:lineRule="exact"/>
        <w:rPr>
          <w:sz w:val="20"/>
          <w:szCs w:val="20"/>
          <w:color w:val="auto"/>
        </w:rPr>
      </w:pPr>
    </w:p>
    <w:p>
      <w:pPr>
        <w:jc w:val="both"/>
        <w:ind w:right="20" w:firstLine="501"/>
        <w:spacing w:after="0" w:line="244" w:lineRule="auto"/>
        <w:tabs>
          <w:tab w:leader="none" w:pos="86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Commitment Increase by Borrower</w:t>
      </w:r>
      <w:r>
        <w:rPr>
          <w:rFonts w:ascii="Times New Roman" w:cs="Times New Roman" w:eastAsia="Times New Roman" w:hAnsi="Times New Roman"/>
          <w:sz w:val="22"/>
          <w:szCs w:val="22"/>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3" w:lineRule="exact"/>
        <w:rPr>
          <w:rFonts w:ascii="Times New Roman" w:cs="Times New Roman" w:eastAsia="Times New Roman" w:hAnsi="Times New Roman"/>
          <w:sz w:val="22"/>
          <w:szCs w:val="22"/>
          <w:color w:val="auto"/>
        </w:rPr>
      </w:pPr>
    </w:p>
    <w:p>
      <w:pPr>
        <w:jc w:val="both"/>
        <w:ind w:left="520" w:right="780" w:firstLine="473"/>
        <w:spacing w:after="0" w:line="239" w:lineRule="auto"/>
        <w:tabs>
          <w:tab w:leader="none" w:pos="129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has been satisfied; and</w:t>
      </w:r>
    </w:p>
    <w:p>
      <w:pPr>
        <w:spacing w:after="0" w:line="180" w:lineRule="exact"/>
        <w:rPr>
          <w:rFonts w:ascii="Times New Roman" w:cs="Times New Roman" w:eastAsia="Times New Roman" w:hAnsi="Times New Roman"/>
          <w:sz w:val="22"/>
          <w:szCs w:val="22"/>
          <w:color w:val="auto"/>
        </w:rPr>
      </w:pPr>
    </w:p>
    <w:p>
      <w:pPr>
        <w:ind w:left="520" w:right="100" w:firstLine="473"/>
        <w:spacing w:after="0" w:line="249" w:lineRule="auto"/>
        <w:tabs>
          <w:tab w:leader="none" w:pos="1297"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7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81"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81915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544" w:right="239" w:bottom="1440" w:gutter="0" w:footer="0" w:header="0"/>
        </w:sectPr>
      </w:pPr>
    </w:p>
    <w:bookmarkStart w:id="132" w:name="page133"/>
    <w:bookmarkEnd w:id="132"/>
    <w:p>
      <w:pPr>
        <w:jc w:val="both"/>
        <w:ind w:left="520" w:firstLine="501"/>
        <w:spacing w:after="0" w:line="239" w:lineRule="auto"/>
        <w:tabs>
          <w:tab w:leader="none" w:pos="1419"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Recordation into Register</w:t>
      </w:r>
      <w:r>
        <w:rPr>
          <w:rFonts w:ascii="Times New Roman" w:cs="Times New Roman" w:eastAsia="Times New Roman" w:hAnsi="Times New Roman"/>
          <w:sz w:val="22"/>
          <w:szCs w:val="22"/>
          <w:color w:val="auto"/>
        </w:rPr>
        <w:t xml:space="preserve">. Upon its receipt of an agreement referred to in </w:t>
      </w:r>
      <w:r>
        <w:rPr>
          <w:rFonts w:ascii="Times New Roman" w:cs="Times New Roman" w:eastAsia="Times New Roman" w:hAnsi="Times New Roman"/>
          <w:sz w:val="22"/>
          <w:szCs w:val="22"/>
          <w:u w:val="single" w:color="auto"/>
          <w:color w:val="auto"/>
        </w:rPr>
        <w:t>clause (ii)(y)</w:t>
      </w:r>
      <w:r>
        <w:rPr>
          <w:rFonts w:ascii="Times New Roman" w:cs="Times New Roman" w:eastAsia="Times New Roman" w:hAnsi="Times New Roman"/>
          <w:sz w:val="22"/>
          <w:szCs w:val="22"/>
          <w:color w:val="auto"/>
        </w:rPr>
        <w:t xml:space="preserve"> above executed by an Assuming Lender or any Increasing Lender, together with the certificate referred to in </w:t>
      </w:r>
      <w:r>
        <w:rPr>
          <w:rFonts w:ascii="Times New Roman" w:cs="Times New Roman" w:eastAsia="Times New Roman" w:hAnsi="Times New Roman"/>
          <w:sz w:val="22"/>
          <w:szCs w:val="22"/>
          <w:u w:val="single" w:color="auto"/>
          <w:color w:val="auto"/>
        </w:rPr>
        <w:t>clause (ii)(x)</w:t>
      </w:r>
      <w:r>
        <w:rPr>
          <w:rFonts w:ascii="Times New Roman" w:cs="Times New Roman" w:eastAsia="Times New Roman" w:hAnsi="Times New Roman"/>
          <w:sz w:val="22"/>
          <w:szCs w:val="22"/>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80" w:lineRule="exact"/>
        <w:rPr>
          <w:rFonts w:ascii="Times New Roman" w:cs="Times New Roman" w:eastAsia="Times New Roman" w:hAnsi="Times New Roman"/>
          <w:sz w:val="22"/>
          <w:szCs w:val="22"/>
          <w:color w:val="auto"/>
        </w:rPr>
      </w:pPr>
    </w:p>
    <w:p>
      <w:pPr>
        <w:ind w:left="1380" w:hanging="359"/>
        <w:spacing w:after="0"/>
        <w:tabs>
          <w:tab w:leader="none" w:pos="138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of Borrowings upon Effectiveness of Increase</w:t>
      </w:r>
      <w:r>
        <w:rPr>
          <w:rFonts w:ascii="Times New Roman" w:cs="Times New Roman" w:eastAsia="Times New Roman" w:hAnsi="Times New Roman"/>
          <w:sz w:val="21"/>
          <w:szCs w:val="21"/>
          <w:color w:val="auto"/>
        </w:rPr>
        <w:t>. On the Commitment Increase Date, the Borrower shall</w:t>
      </w:r>
    </w:p>
    <w:p>
      <w:pPr>
        <w:spacing w:after="0" w:line="25" w:lineRule="exact"/>
        <w:rPr>
          <w:rFonts w:ascii="Times New Roman" w:cs="Times New Roman" w:eastAsia="Times New Roman" w:hAnsi="Times New Roman"/>
          <w:sz w:val="21"/>
          <w:szCs w:val="21"/>
          <w:color w:val="auto"/>
        </w:rPr>
      </w:pPr>
    </w:p>
    <w:p>
      <w:pPr>
        <w:jc w:val="both"/>
        <w:ind w:left="520" w:firstLine="6"/>
        <w:spacing w:after="0" w:line="241" w:lineRule="auto"/>
        <w:tabs>
          <w:tab w:leader="none" w:pos="88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prepay the outstanding Loans (if any) of the affected Class in full, (B) simultaneously borrow new Loans of such Class hereunder in an amount equal to such prepayment;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subclauses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w:t>
      </w:r>
    </w:p>
    <w:p>
      <w:pPr>
        <w:spacing w:after="0" w:line="4" w:lineRule="exact"/>
        <w:rPr>
          <w:rFonts w:ascii="Times New Roman" w:cs="Times New Roman" w:eastAsia="Times New Roman" w:hAnsi="Times New Roman"/>
          <w:sz w:val="21"/>
          <w:szCs w:val="21"/>
          <w:color w:val="auto"/>
        </w:rPr>
      </w:pPr>
    </w:p>
    <w:p>
      <w:pPr>
        <w:jc w:val="both"/>
        <w:ind w:left="520" w:firstLine="6"/>
        <w:spacing w:after="0" w:line="234" w:lineRule="auto"/>
        <w:tabs>
          <w:tab w:leader="none" w:pos="93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to the Lenders of such Class the amounts, if any, payable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7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40" w:hanging="298"/>
        <w:spacing w:after="0"/>
        <w:tabs>
          <w:tab w:leader="none" w:pos="134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The Borrower hereby unconditionally promises to pay the Loans of each Class as follows:</w:t>
      </w:r>
    </w:p>
    <w:p>
      <w:pPr>
        <w:spacing w:after="0" w:line="206" w:lineRule="exact"/>
        <w:rPr>
          <w:rFonts w:ascii="Times New Roman" w:cs="Times New Roman" w:eastAsia="Times New Roman" w:hAnsi="Times New Roman"/>
          <w:sz w:val="22"/>
          <w:szCs w:val="22"/>
          <w:color w:val="auto"/>
        </w:rPr>
      </w:pPr>
    </w:p>
    <w:p>
      <w:pPr>
        <w:ind w:left="520" w:right="20" w:firstLine="501"/>
        <w:spacing w:after="0" w:line="258" w:lineRule="auto"/>
        <w:tabs>
          <w:tab w:leader="none" w:pos="131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Administrative Agent for account of the Lenders of such Class the outstanding principal amount of the Syndicated Loans of such Class on the Final Maturity Date; and</w:t>
      </w:r>
    </w:p>
    <w:p>
      <w:pPr>
        <w:spacing w:after="0" w:line="158" w:lineRule="exact"/>
        <w:rPr>
          <w:rFonts w:ascii="Times New Roman" w:cs="Times New Roman" w:eastAsia="Times New Roman" w:hAnsi="Times New Roman"/>
          <w:sz w:val="22"/>
          <w:szCs w:val="22"/>
          <w:color w:val="auto"/>
        </w:rPr>
      </w:pPr>
    </w:p>
    <w:p>
      <w:pPr>
        <w:jc w:val="both"/>
        <w:ind w:left="520" w:firstLine="501"/>
        <w:spacing w:after="0" w:line="238" w:lineRule="auto"/>
        <w:tabs>
          <w:tab w:leader="none" w:pos="13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applicable Swingline Lender the then unpaid principal amount of each Swingline Loan of each Class denominated in Dollars made by such Swingline Lender, on the earlier of the Commitment Termination Date and the first date after such Swingline Loan is made that is the 15th or last day of a calendar month and is at least ten Business Days after such Swingline Loan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 each date that a Syndicated Borrowing of such Class is made, the Borrower shall repay all Swingline Loans of such Class then outstanding.</w:t>
      </w:r>
    </w:p>
    <w:p>
      <w:pPr>
        <w:spacing w:after="0" w:line="177"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In addition, on the Final Maturity Date, the Borrower shall deposit into the Letter of Credit Collateral Account Cash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77" w:lineRule="exact"/>
        <w:rPr>
          <w:sz w:val="20"/>
          <w:szCs w:val="20"/>
          <w:color w:val="auto"/>
        </w:rPr>
      </w:pPr>
    </w:p>
    <w:p>
      <w:pPr>
        <w:jc w:val="both"/>
        <w:ind w:firstLine="1042"/>
        <w:spacing w:after="0" w:line="248" w:lineRule="auto"/>
        <w:tabs>
          <w:tab w:leader="none" w:pos="138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Manner of Payment</w:t>
      </w:r>
      <w:r>
        <w:rPr>
          <w:rFonts w:ascii="Times New Roman" w:cs="Times New Roman" w:eastAsia="Times New Roman" w:hAnsi="Times New Roman"/>
          <w:sz w:val="21"/>
          <w:szCs w:val="21"/>
          <w:color w:val="auto"/>
        </w:rPr>
        <w:t xml:space="preserve">. Prior to any repayment or prepayment of any Borrowings of any Class hereunder, the Borrower shall select the Borrowing or Borrowings of such Class to be paid and shall notify the Administrative Agent by telephone (confirmed by telecopy) of such selection not later than the time set forth in </w:t>
      </w:r>
      <w:r>
        <w:rPr>
          <w:rFonts w:ascii="Times New Roman" w:cs="Times New Roman" w:eastAsia="Times New Roman" w:hAnsi="Times New Roman"/>
          <w:sz w:val="21"/>
          <w:szCs w:val="21"/>
          <w:u w:val="single" w:color="auto"/>
          <w:color w:val="auto"/>
        </w:rPr>
        <w:t>Section 2.10(e)</w:t>
      </w:r>
      <w:r>
        <w:rPr>
          <w:rFonts w:ascii="Times New Roman" w:cs="Times New Roman" w:eastAsia="Times New Roman" w:hAnsi="Times New Roman"/>
          <w:sz w:val="21"/>
          <w:szCs w:val="21"/>
          <w:color w:val="auto"/>
        </w:rPr>
        <w:t xml:space="preserve"> prior to the scheduled date of such 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repayment of Borrowings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3" w:name="page134"/>
    <w:bookmarkEnd w:id="133"/>
    <w:p>
      <w:pPr>
        <w:ind w:right="20"/>
        <w:spacing w:after="0" w:line="258" w:lineRule="auto"/>
        <w:rPr>
          <w:sz w:val="20"/>
          <w:szCs w:val="20"/>
          <w:color w:val="auto"/>
        </w:rPr>
      </w:pPr>
      <w:r>
        <w:rPr>
          <w:rFonts w:ascii="Times New Roman" w:cs="Times New Roman" w:eastAsia="Times New Roman" w:hAnsi="Times New Roman"/>
          <w:sz w:val="22"/>
          <w:szCs w:val="22"/>
          <w:color w:val="auto"/>
        </w:rPr>
        <w:t>Periods (the Borrowing with the shortest remaining Interest Period to be repaid first). Each payment of a Syndicated Borrowing shall be applied ratably to the Loans included in such Borrowing.</w:t>
      </w:r>
    </w:p>
    <w:p>
      <w:pPr>
        <w:spacing w:after="0" w:line="158" w:lineRule="exact"/>
        <w:rPr>
          <w:sz w:val="20"/>
          <w:szCs w:val="20"/>
          <w:color w:val="auto"/>
        </w:rPr>
      </w:pPr>
    </w:p>
    <w:p>
      <w:pPr>
        <w:jc w:val="both"/>
        <w:ind w:firstLine="1042"/>
        <w:spacing w:after="0" w:line="244" w:lineRule="auto"/>
        <w:tabs>
          <w:tab w:leader="none" w:pos="135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Records by Lenders</w:t>
      </w:r>
      <w:r>
        <w:rPr>
          <w:rFonts w:ascii="Times New Roman" w:cs="Times New Roman" w:eastAsia="Times New Roman" w:hAnsi="Times New Roman"/>
          <w:sz w:val="22"/>
          <w:szCs w:val="22"/>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73"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Records by the Administrative Agent</w:t>
      </w:r>
      <w:r>
        <w:rPr>
          <w:rFonts w:ascii="Times New Roman" w:cs="Times New Roman" w:eastAsia="Times New Roman" w:hAnsi="Times New Roman"/>
          <w:sz w:val="22"/>
          <w:szCs w:val="22"/>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77" w:lineRule="exact"/>
        <w:rPr>
          <w:rFonts w:ascii="Times New Roman" w:cs="Times New Roman" w:eastAsia="Times New Roman" w:hAnsi="Times New Roman"/>
          <w:sz w:val="22"/>
          <w:szCs w:val="22"/>
          <w:color w:val="auto"/>
        </w:rPr>
      </w:pPr>
    </w:p>
    <w:p>
      <w:pPr>
        <w:jc w:val="both"/>
        <w:ind w:firstLine="1042"/>
        <w:spacing w:after="0" w:line="239" w:lineRule="auto"/>
        <w:tabs>
          <w:tab w:leader="none" w:pos="132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Entries</w:t>
      </w:r>
      <w:r>
        <w:rPr>
          <w:rFonts w:ascii="Times New Roman" w:cs="Times New Roman" w:eastAsia="Times New Roman" w:hAnsi="Times New Roman"/>
          <w:sz w:val="22"/>
          <w:szCs w:val="22"/>
          <w:color w:val="auto"/>
        </w:rPr>
        <w:t xml:space="preserve">. The entries made in the records maintained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Section shall be </w:t>
      </w:r>
      <w:r>
        <w:rPr>
          <w:rFonts w:ascii="Times New Roman" w:cs="Times New Roman" w:eastAsia="Times New Roman" w:hAnsi="Times New Roman"/>
          <w:sz w:val="22"/>
          <w:szCs w:val="22"/>
          <w:u w:val="single" w:color="auto"/>
          <w:color w:val="auto"/>
        </w:rPr>
        <w:t>prima facie</w:t>
      </w:r>
      <w:r>
        <w:rPr>
          <w:rFonts w:ascii="Times New Roman" w:cs="Times New Roman" w:eastAsia="Times New Roman" w:hAnsi="Times New Roman"/>
          <w:sz w:val="22"/>
          <w:szCs w:val="22"/>
          <w:color w:val="auto"/>
        </w:rPr>
        <w:t xml:space="preserve"> evidence, absent obvious error,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80"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0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Promissory Notes</w:t>
      </w:r>
      <w:r>
        <w:rPr>
          <w:rFonts w:ascii="Times New Roman" w:cs="Times New Roman" w:eastAsia="Times New Roman" w:hAnsi="Times New Roman"/>
          <w:sz w:val="22"/>
          <w:szCs w:val="22"/>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be represented by one or more promissory notes in such form payable to the payee named therein (or, if such promissory note is a registered note, to such payee and its registered assigns).</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4" w:lineRule="auto"/>
        <w:tabs>
          <w:tab w:leader="none" w:pos="136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xml:space="preserve">. The Borrower shall have the right at any time and from time to time to prepay any Borrowing in whole or in part, without premium or penalty except for payments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subject to the requirements of this Section.</w:t>
      </w:r>
    </w:p>
    <w:p>
      <w:pPr>
        <w:spacing w:after="0" w:line="173"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due to Changes in Exchange Rates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520" w:firstLine="501"/>
        <w:spacing w:after="0" w:line="234" w:lineRule="auto"/>
        <w:tabs>
          <w:tab w:leader="none" w:pos="127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Amount Outstanding</w:t>
      </w:r>
      <w:r>
        <w:rPr>
          <w:rFonts w:ascii="Times New Roman" w:cs="Times New Roman" w:eastAsia="Times New Roman" w:hAnsi="Times New Roman"/>
          <w:sz w:val="22"/>
          <w:szCs w:val="22"/>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84" w:lineRule="exact"/>
        <w:rPr>
          <w:rFonts w:ascii="Times New Roman" w:cs="Times New Roman" w:eastAsia="Times New Roman" w:hAnsi="Times New Roman"/>
          <w:sz w:val="22"/>
          <w:szCs w:val="22"/>
          <w:color w:val="auto"/>
        </w:rPr>
      </w:pPr>
    </w:p>
    <w:p>
      <w:pPr>
        <w:ind w:left="520" w:firstLine="501"/>
        <w:spacing w:after="0" w:line="258" w:lineRule="auto"/>
        <w:tabs>
          <w:tab w:leader="none" w:pos="134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xml:space="preserve">. If on the date of such determination the aggregate Revolving Multicurrency Credit Exposure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Multicurrency LC Exposure fully Cash Collateralized on such date exceeds 105% of</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4" w:name="page135"/>
    <w:bookmarkEnd w:id="134"/>
    <w:p>
      <w:pPr>
        <w:jc w:val="both"/>
        <w:ind w:left="520"/>
        <w:spacing w:after="0" w:line="251" w:lineRule="auto"/>
        <w:rPr>
          <w:sz w:val="20"/>
          <w:szCs w:val="20"/>
          <w:color w:val="auto"/>
        </w:rPr>
      </w:pPr>
      <w:r>
        <w:rPr>
          <w:rFonts w:ascii="Times New Roman" w:cs="Times New Roman" w:eastAsia="Times New Roman" w:hAnsi="Times New Roman"/>
          <w:sz w:val="21"/>
          <w:szCs w:val="21"/>
          <w:color w:val="auto"/>
        </w:rPr>
        <w:t xml:space="preserve">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Times New Roman" w:cs="Times New Roman" w:eastAsia="Times New Roman" w:hAnsi="Times New Roman"/>
          <w:sz w:val="21"/>
          <w:szCs w:val="21"/>
          <w:u w:val="single" w:color="auto"/>
          <w:color w:val="auto"/>
        </w:rPr>
        <w:t>Section 2.05(k)</w:t>
      </w:r>
      <w:r>
        <w:rPr>
          <w:rFonts w:ascii="Times New Roman" w:cs="Times New Roman" w:eastAsia="Times New Roman" w:hAnsi="Times New Roman"/>
          <w:sz w:val="21"/>
          <w:szCs w:val="21"/>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69" w:lineRule="exact"/>
        <w:rPr>
          <w:sz w:val="20"/>
          <w:szCs w:val="20"/>
          <w:color w:val="auto"/>
        </w:rPr>
      </w:pPr>
    </w:p>
    <w:p>
      <w:pPr>
        <w:jc w:val="both"/>
        <w:ind w:right="20" w:firstLine="1034"/>
        <w:spacing w:after="0" w:line="239" w:lineRule="auto"/>
        <w:rPr>
          <w:sz w:val="20"/>
          <w:szCs w:val="20"/>
          <w:color w:val="auto"/>
        </w:rPr>
      </w:pPr>
      <w:r>
        <w:rPr>
          <w:rFonts w:ascii="Times New Roman" w:cs="Times New Roman" w:eastAsia="Times New Roman" w:hAnsi="Times New Roman"/>
          <w:sz w:val="22"/>
          <w:szCs w:val="22"/>
          <w:color w:val="auto"/>
        </w:rPr>
        <w:t>For purposes hereof “</w:t>
      </w:r>
      <w:r>
        <w:rPr>
          <w:rFonts w:ascii="Times New Roman" w:cs="Times New Roman" w:eastAsia="Times New Roman" w:hAnsi="Times New Roman"/>
          <w:sz w:val="22"/>
          <w:szCs w:val="22"/>
          <w:u w:val="single" w:color="auto"/>
          <w:color w:val="auto"/>
        </w:rPr>
        <w:t>Currency Valuation Notice</w:t>
      </w:r>
      <w:r>
        <w:rPr>
          <w:rFonts w:ascii="Times New Roman" w:cs="Times New Roman" w:eastAsia="Times New Roman" w:hAnsi="Times New Roman"/>
          <w:sz w:val="22"/>
          <w:szCs w:val="22"/>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81"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 xml:space="preserve">Any prepayment pursuant to this paragraph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Swingline Multicurrency Loans outstanding,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Syndicated Multicurrency Loans outstanding and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as cover for Multicurrency LC Exposure.</w:t>
      </w:r>
    </w:p>
    <w:p>
      <w:pPr>
        <w:spacing w:after="0" w:line="158" w:lineRule="exact"/>
        <w:rPr>
          <w:sz w:val="20"/>
          <w:szCs w:val="20"/>
          <w:color w:val="auto"/>
        </w:rPr>
      </w:pPr>
    </w:p>
    <w:p>
      <w:pPr>
        <w:jc w:val="both"/>
        <w:ind w:firstLine="1042"/>
        <w:spacing w:after="0" w:line="245" w:lineRule="auto"/>
        <w:tabs>
          <w:tab w:leader="none" w:pos="135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Prepayments due to Borrowing Base Deficiency</w:t>
      </w:r>
      <w:r>
        <w:rPr>
          <w:rFonts w:ascii="Times New Roman" w:cs="Times New Roman" w:eastAsia="Times New Roman" w:hAnsi="Times New Roman"/>
          <w:sz w:val="21"/>
          <w:szCs w:val="21"/>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Times New Roman" w:cs="Times New Roman" w:eastAsia="Times New Roman" w:hAnsi="Times New Roman"/>
          <w:sz w:val="21"/>
          <w:szCs w:val="21"/>
          <w:u w:val="single" w:color="auto"/>
          <w:color w:val="auto"/>
        </w:rPr>
        <w:t>Section 2.05(k)</w:t>
      </w:r>
      <w:r>
        <w:rPr>
          <w:rFonts w:ascii="Times New Roman" w:cs="Times New Roman" w:eastAsia="Times New Roman" w:hAnsi="Times New Roman"/>
          <w:sz w:val="21"/>
          <w:szCs w:val="21"/>
          <w:color w:val="auto"/>
        </w:rPr>
        <w:t xml:space="preserve">) or reduce Other Covered Indebtedness or any other Indebtedness that is included in the Covered Debt Amount at such time in such amounts as shall be necessary so that such Borrowing Base Deficiency is cured;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75" w:lineRule="exact"/>
        <w:rPr>
          <w:rFonts w:ascii="Times New Roman" w:cs="Times New Roman" w:eastAsia="Times New Roman" w:hAnsi="Times New Roman"/>
          <w:sz w:val="21"/>
          <w:szCs w:val="21"/>
          <w:color w:val="auto"/>
        </w:rPr>
      </w:pPr>
    </w:p>
    <w:p>
      <w:pPr>
        <w:ind w:right="20" w:firstLine="1042"/>
        <w:spacing w:after="0" w:line="258" w:lineRule="auto"/>
        <w:tabs>
          <w:tab w:leader="none" w:pos="136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During Amortization Period</w:t>
      </w:r>
      <w:r>
        <w:rPr>
          <w:rFonts w:ascii="Times New Roman" w:cs="Times New Roman" w:eastAsia="Times New Roman" w:hAnsi="Times New Roman"/>
          <w:sz w:val="22"/>
          <w:szCs w:val="22"/>
          <w:color w:val="auto"/>
        </w:rPr>
        <w:t>. During the period commencing on the date immediately following the Commitment Termination Date and ending on the Final Maturity Date:</w:t>
      </w:r>
    </w:p>
    <w:p>
      <w:pPr>
        <w:spacing w:after="0" w:line="158" w:lineRule="exact"/>
        <w:rPr>
          <w:rFonts w:ascii="Times New Roman" w:cs="Times New Roman" w:eastAsia="Times New Roman" w:hAnsi="Times New Roman"/>
          <w:sz w:val="22"/>
          <w:szCs w:val="22"/>
          <w:color w:val="auto"/>
        </w:rPr>
      </w:pPr>
    </w:p>
    <w:p>
      <w:pPr>
        <w:jc w:val="both"/>
        <w:ind w:left="520" w:firstLine="501"/>
        <w:spacing w:after="0" w:line="245" w:lineRule="auto"/>
        <w:tabs>
          <w:tab w:leader="none" w:pos="128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Asset Disposition</w:t>
      </w:r>
      <w:r>
        <w:rPr>
          <w:rFonts w:ascii="Times New Roman" w:cs="Times New Roman" w:eastAsia="Times New Roman" w:hAnsi="Times New Roman"/>
          <w:sz w:val="21"/>
          <w:szCs w:val="21"/>
          <w:color w:val="auto"/>
        </w:rPr>
        <w:t xml:space="preserve">. If the Borrower or any of its Subsidiaries (other than a Financing Subsidiary) Disposes of any property which results in the receipt by such Person of Net Cash Proceeds in excess of $2,000,000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Loans to be prepaid are Eurocurrency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Administrative Agent may direct the application of such deposits as set forth in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 xml:space="preserve"> at any time and if the Administrative Agent does so, no amounts will be payable by the Borrower pursuant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5" w:name="page136"/>
    <w:bookmarkEnd w:id="135"/>
    <w:p>
      <w:pPr>
        <w:jc w:val="both"/>
        <w:ind w:left="520" w:firstLine="501"/>
        <w:spacing w:after="0" w:line="238" w:lineRule="auto"/>
        <w:tabs>
          <w:tab w:leader="none" w:pos="13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Issuance</w:t>
      </w:r>
      <w:r>
        <w:rPr>
          <w:rFonts w:ascii="Times New Roman" w:cs="Times New Roman" w:eastAsia="Times New Roman" w:hAnsi="Times New Roman"/>
          <w:sz w:val="22"/>
          <w:szCs w:val="22"/>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left="520" w:firstLine="501"/>
        <w:spacing w:after="0" w:line="239" w:lineRule="auto"/>
        <w:tabs>
          <w:tab w:leader="none" w:pos="139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520" w:firstLine="501"/>
        <w:spacing w:after="0" w:line="249" w:lineRule="auto"/>
        <w:tabs>
          <w:tab w:leader="none" w:pos="138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Extraordinary Receipt</w:t>
      </w:r>
      <w:r>
        <w:rPr>
          <w:rFonts w:ascii="Times New Roman" w:cs="Times New Roman" w:eastAsia="Times New Roman" w:hAnsi="Times New Roman"/>
          <w:sz w:val="21"/>
          <w:szCs w:val="21"/>
          <w:color w:val="auto"/>
        </w:rPr>
        <w:t xml:space="preserve">. Upon any Extraordinary Receipt (which, when taken with all other Extraordinary Receipts received after the Commitment Termination Date, exceeds $5,000,000 in the aggregate) received by or paid to or for the account of the Borrower or any of its Subsidiaries (other than a Financing Subsidiary), and not otherwise included in </w:t>
      </w:r>
      <w:r>
        <w:rPr>
          <w:rFonts w:ascii="Times New Roman" w:cs="Times New Roman" w:eastAsia="Times New Roman" w:hAnsi="Times New Roman"/>
          <w:sz w:val="21"/>
          <w:szCs w:val="21"/>
          <w:u w:val="single" w:color="auto"/>
          <w:color w:val="auto"/>
        </w:rPr>
        <w:t>clauses</w:t>
      </w:r>
    </w:p>
    <w:p>
      <w:pPr>
        <w:spacing w:after="0" w:line="1" w:lineRule="exact"/>
        <w:rPr>
          <w:rFonts w:ascii="Times New Roman" w:cs="Times New Roman" w:eastAsia="Times New Roman" w:hAnsi="Times New Roman"/>
          <w:sz w:val="21"/>
          <w:szCs w:val="21"/>
          <w:color w:val="auto"/>
        </w:rPr>
      </w:pPr>
    </w:p>
    <w:p>
      <w:pPr>
        <w:jc w:val="both"/>
        <w:ind w:left="5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1"/>
          <w:szCs w:val="21"/>
          <w:color w:val="auto"/>
        </w:rPr>
      </w:pPr>
    </w:p>
    <w:p>
      <w:pPr>
        <w:jc w:val="both"/>
        <w:ind w:left="520" w:firstLine="501"/>
        <w:spacing w:after="0" w:line="239" w:lineRule="auto"/>
        <w:tabs>
          <w:tab w:leader="none" w:pos="134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xml:space="preserve">. If any Obligor shall receive any Return of Capital, the Borrower shall prepay an aggregate principal amount of Loans equal to 90% of such Return of Capital (excluding amounts payable by the Borrower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no later than the fifth Business Day following the receipt of such Return of Capital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518"/>
        <w:spacing w:after="0" w:line="238" w:lineRule="auto"/>
        <w:rPr>
          <w:sz w:val="20"/>
          <w:szCs w:val="20"/>
          <w:color w:val="auto"/>
        </w:rPr>
      </w:pPr>
      <w:r>
        <w:rPr>
          <w:rFonts w:ascii="Times New Roman" w:cs="Times New Roman" w:eastAsia="Times New Roman" w:hAnsi="Times New Roman"/>
          <w:sz w:val="22"/>
          <w:szCs w:val="22"/>
          <w:color w:val="auto"/>
        </w:rPr>
        <w:t xml:space="preserve">Notwithstanding the foregoing, Net Cash Proceeds required to be applied to the prepayment of the Loans pursuant to this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shall (A) be applied in accordance with the Guarantee and Security Agreement and (B) exclude the amount necessary for the Borrower to make all required distributions (which shall be no less than the amount estimated in good faith by Borrower under </w:t>
      </w:r>
      <w:r>
        <w:rPr>
          <w:rFonts w:ascii="Times New Roman" w:cs="Times New Roman" w:eastAsia="Times New Roman" w:hAnsi="Times New Roman"/>
          <w:sz w:val="22"/>
          <w:szCs w:val="22"/>
          <w:u w:val="single" w:color="auto"/>
          <w:color w:val="auto"/>
        </w:rPr>
        <w:t>Section 6.05(b)</w:t>
      </w:r>
      <w:r>
        <w:rPr>
          <w:rFonts w:ascii="Times New Roman" w:cs="Times New Roman" w:eastAsia="Times New Roman" w:hAnsi="Times New Roman"/>
          <w:sz w:val="22"/>
          <w:szCs w:val="22"/>
          <w:color w:val="auto"/>
        </w:rPr>
        <w:t xml:space="preserve"> herein) to maintain the status of a RIC under the Code and a “business development company” under the Investment Company Act for so long as the Borrower retains such status.</w:t>
      </w:r>
    </w:p>
    <w:p>
      <w:pPr>
        <w:spacing w:after="0" w:line="177" w:lineRule="exact"/>
        <w:rPr>
          <w:sz w:val="20"/>
          <w:szCs w:val="20"/>
          <w:color w:val="auto"/>
        </w:rPr>
      </w:pPr>
    </w:p>
    <w:p>
      <w:pPr>
        <w:jc w:val="both"/>
        <w:ind w:firstLine="1042"/>
        <w:spacing w:after="0" w:line="233" w:lineRule="auto"/>
        <w:tabs>
          <w:tab w:leader="none" w:pos="13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color w:val="auto"/>
        </w:rPr>
        <w:t xml:space="preserve">. The Borrower shall notify the Administrative Agent (and, in the case of prepayment of a Swingline Loan made by a Swingline Lender, such Swingline Lender) by telephone (confirmed by telecopy) of any prepayment hereunder (i) in the case of prepayment of a Eurocurrency Borrowing denominated in Dollars (other than in the case of a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London time, four Business Days before the date of prepayment, (iii) in the case of prepayment of a Syndicated ABR Borrowing (other than in the case of a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Atlanta, Georgia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 a notice of prepayment is given in connection with a conditional notice of termination of the Commitments of a Class as contemplated by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then such notice of prepayment may be revoked if such notice of termination is revoked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(ii) any notice</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6" w:name="page137"/>
    <w:bookmarkEnd w:id="136"/>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given in connection with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Swingline Loan,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shall be made in the manner specified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4" w:lineRule="auto"/>
        <w:tabs>
          <w:tab w:leader="none" w:pos="138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and on the earlier of the date the Commitments of the respective Class terminate and the Commitment Termination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76" w:lineRule="exact"/>
        <w:rPr>
          <w:rFonts w:ascii="Times New Roman" w:cs="Times New Roman" w:eastAsia="Times New Roman" w:hAnsi="Times New Roman"/>
          <w:sz w:val="22"/>
          <w:szCs w:val="22"/>
          <w:color w:val="auto"/>
        </w:rPr>
      </w:pPr>
    </w:p>
    <w:p>
      <w:pPr>
        <w:jc w:val="both"/>
        <w:ind w:firstLine="1042"/>
        <w:spacing w:after="0" w:line="232" w:lineRule="auto"/>
        <w:tabs>
          <w:tab w:leader="none" w:pos="135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with respect to the Letters of Credit shall be payable on the Termination Date and the Borrower shall pay any such fees that have accrued and that are unpaid on the Termination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7" w:name="page138"/>
    <w:bookmarkEnd w:id="137"/>
    <w:p>
      <w:pPr>
        <w:jc w:val="both"/>
        <w:spacing w:after="0" w:line="238" w:lineRule="auto"/>
        <w:rPr>
          <w:sz w:val="20"/>
          <w:szCs w:val="20"/>
          <w:color w:val="auto"/>
        </w:rPr>
      </w:pPr>
      <w:r>
        <w:rPr>
          <w:rFonts w:ascii="Times New Roman" w:cs="Times New Roman" w:eastAsia="Times New Roman" w:hAnsi="Times New Roman"/>
          <w:sz w:val="22"/>
          <w:szCs w:val="22"/>
          <w:color w:val="auto"/>
        </w:rPr>
        <w:t>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77" w:lineRule="exact"/>
        <w:rPr>
          <w:sz w:val="20"/>
          <w:szCs w:val="20"/>
          <w:color w:val="auto"/>
        </w:rPr>
      </w:pPr>
    </w:p>
    <w:p>
      <w:pPr>
        <w:ind w:firstLine="1042"/>
        <w:spacing w:after="0" w:line="258" w:lineRule="auto"/>
        <w:tabs>
          <w:tab w:leader="none" w:pos="135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Agent Fees</w:t>
      </w:r>
      <w:r>
        <w:rPr>
          <w:rFonts w:ascii="Times New Roman" w:cs="Times New Roman" w:eastAsia="Times New Roman" w:hAnsi="Times New Roman"/>
          <w:sz w:val="22"/>
          <w:szCs w:val="22"/>
          <w:color w:val="auto"/>
        </w:rPr>
        <w:t>. The Borrower agrees to pay to the Administrative Agent, for its own account, fees payable in the amounts and at the times separately agreed upon between the Borrower and the Administrative Agent.</w:t>
      </w:r>
    </w:p>
    <w:p>
      <w:pPr>
        <w:spacing w:after="0" w:line="158"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5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042"/>
        <w:spacing w:after="0" w:line="258" w:lineRule="auto"/>
        <w:tabs>
          <w:tab w:leader="none" w:pos="13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ABR Loans</w:t>
      </w:r>
      <w:r>
        <w:rPr>
          <w:rFonts w:ascii="Times New Roman" w:cs="Times New Roman" w:eastAsia="Times New Roman" w:hAnsi="Times New Roman"/>
          <w:sz w:val="22"/>
          <w:szCs w:val="22"/>
          <w:color w:val="auto"/>
        </w:rPr>
        <w:t xml:space="preserve">. The Loans constituting each ABR Borrowing (including each Swingline Loan) shall bear interest at a rate per annum equal to the Alternate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58" w:lineRule="exact"/>
        <w:rPr>
          <w:rFonts w:ascii="Times New Roman" w:cs="Times New Roman" w:eastAsia="Times New Roman" w:hAnsi="Times New Roman"/>
          <w:sz w:val="22"/>
          <w:szCs w:val="22"/>
          <w:color w:val="auto"/>
        </w:rPr>
      </w:pPr>
    </w:p>
    <w:p>
      <w:pPr>
        <w:ind w:firstLine="1042"/>
        <w:spacing w:after="0" w:line="258" w:lineRule="auto"/>
        <w:tabs>
          <w:tab w:leader="none" w:pos="13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Eurocurrency Loans</w:t>
      </w:r>
      <w:r>
        <w:rPr>
          <w:rFonts w:ascii="Times New Roman" w:cs="Times New Roman" w:eastAsia="Times New Roman" w:hAnsi="Times New Roman"/>
          <w:sz w:val="22"/>
          <w:szCs w:val="22"/>
          <w:color w:val="auto"/>
        </w:rPr>
        <w:t xml:space="preserve">. The Loans constituting each Eurocurrency Borrowing shall bear interest at a rate per annum equal to the Adjusted LIBO Rate for the related Interest Period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Margin.</w:t>
      </w:r>
    </w:p>
    <w:p>
      <w:pPr>
        <w:spacing w:after="0" w:line="158"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4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otherwise applicable to such Loan as provided above, (ii) in the case of any Letter of Credit,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fee otherwise applicable to such Letter of Credit as provided in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in the case of any fee or other amount,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applicable to ABR Loans as provided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w:t>
      </w:r>
    </w:p>
    <w:p>
      <w:pPr>
        <w:spacing w:after="0" w:line="182"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5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Interest</w:t>
      </w:r>
      <w:r>
        <w:rPr>
          <w:rFonts w:ascii="Times New Roman" w:cs="Times New Roman" w:eastAsia="Times New Roman" w:hAnsi="Times New Roman"/>
          <w:sz w:val="22"/>
          <w:szCs w:val="22"/>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83"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55"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Computation</w:t>
      </w:r>
      <w:r>
        <w:rPr>
          <w:rFonts w:ascii="Times New Roman" w:cs="Times New Roman" w:eastAsia="Times New Roman" w:hAnsi="Times New Roman"/>
          <w:sz w:val="22"/>
          <w:szCs w:val="22"/>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8" w:name="page139"/>
    <w:bookmarkEnd w:id="138"/>
    <w:p>
      <w:pPr>
        <w:spacing w:after="0" w:line="258" w:lineRule="auto"/>
        <w:rPr>
          <w:sz w:val="20"/>
          <w:szCs w:val="20"/>
          <w:color w:val="auto"/>
        </w:rPr>
      </w:pPr>
      <w:r>
        <w:rPr>
          <w:rFonts w:ascii="Times New Roman" w:cs="Times New Roman" w:eastAsia="Times New Roman" w:hAnsi="Times New Roman"/>
          <w:sz w:val="22"/>
          <w:szCs w:val="22"/>
          <w:color w:val="auto"/>
        </w:rPr>
        <w:t>applicable Alternate Base Rate or Adjusted LIBO Rate shall be determined by the Administrative Agent and such determination shall be conclusive absent manifest error.</w:t>
      </w:r>
    </w:p>
    <w:p>
      <w:pPr>
        <w:spacing w:after="0" w:line="158" w:lineRule="exact"/>
        <w:rPr>
          <w:sz w:val="20"/>
          <w:szCs w:val="20"/>
          <w:color w:val="auto"/>
        </w:rPr>
      </w:pPr>
    </w:p>
    <w:p>
      <w:pPr>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Alternate Rate of Interest</w:t>
      </w:r>
      <w:r>
        <w:rPr>
          <w:rFonts w:ascii="Times New Roman" w:cs="Times New Roman" w:eastAsia="Times New Roman" w:hAnsi="Times New Roman"/>
          <w:sz w:val="22"/>
          <w:szCs w:val="22"/>
          <w:color w:val="auto"/>
        </w:rPr>
        <w:t>. If prior to the commencement of the Interest Period for any Eurocurrency Borrowing of a Class (the Currency of such Borrowing herein called the “</w:t>
      </w:r>
      <w:r>
        <w:rPr>
          <w:rFonts w:ascii="Times New Roman" w:cs="Times New Roman" w:eastAsia="Times New Roman" w:hAnsi="Times New Roman"/>
          <w:sz w:val="22"/>
          <w:szCs w:val="22"/>
          <w:u w:val="single" w:color="auto"/>
          <w:color w:val="auto"/>
        </w:rPr>
        <w:t>Affected Currency</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1042"/>
        <w:spacing w:after="0" w:line="282" w:lineRule="auto"/>
        <w:tabs>
          <w:tab w:leader="none" w:pos="1336"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134" w:lineRule="exact"/>
        <w:rPr>
          <w:rFonts w:ascii="Times New Roman" w:cs="Times New Roman" w:eastAsia="Times New Roman" w:hAnsi="Times New Roman"/>
          <w:sz w:val="21"/>
          <w:szCs w:val="21"/>
          <w:color w:val="auto"/>
        </w:rPr>
      </w:pPr>
    </w:p>
    <w:p>
      <w:pPr>
        <w:jc w:val="both"/>
        <w:ind w:firstLine="1042"/>
        <w:spacing w:after="0" w:line="244" w:lineRule="auto"/>
        <w:tabs>
          <w:tab w:leader="none" w:pos="136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then the Administrative Agent shall give notice thereof to the Borrower and the affected Lenders by telephone or telecopy as promptly as practicable thereafter and, until the Administrative Agent notifies the Borrower and such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w:t>
      </w:r>
    </w:p>
    <w:p>
      <w:pPr>
        <w:ind w:right="20" w:firstLine="8"/>
        <w:spacing w:after="0" w:line="237" w:lineRule="auto"/>
        <w:tabs>
          <w:tab w:leader="none" w:pos="38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Affected Currency is a Foreign Currency, any Borrowing Request that requests a Eurocurrency Borrowing denominated in the Affected Currency shall be ineffective.</w:t>
      </w:r>
    </w:p>
    <w:p>
      <w:pPr>
        <w:spacing w:after="0" w:line="1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40" w:hanging="298"/>
        <w:spacing w:after="0"/>
        <w:tabs>
          <w:tab w:leader="none" w:pos="13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06" w:lineRule="exact"/>
        <w:rPr>
          <w:rFonts w:ascii="Times New Roman" w:cs="Times New Roman" w:eastAsia="Times New Roman" w:hAnsi="Times New Roman"/>
          <w:sz w:val="22"/>
          <w:szCs w:val="22"/>
          <w:color w:val="auto"/>
        </w:rPr>
      </w:pPr>
    </w:p>
    <w:p>
      <w:pPr>
        <w:jc w:val="both"/>
        <w:ind w:left="520" w:firstLine="501"/>
        <w:spacing w:after="0" w:line="244" w:lineRule="auto"/>
        <w:tabs>
          <w:tab w:leader="none" w:pos="131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any Issuing Bank; or</w:t>
      </w:r>
    </w:p>
    <w:p>
      <w:pPr>
        <w:spacing w:after="0" w:line="173" w:lineRule="exact"/>
        <w:rPr>
          <w:rFonts w:ascii="Times New Roman" w:cs="Times New Roman" w:eastAsia="Times New Roman" w:hAnsi="Times New Roman"/>
          <w:sz w:val="22"/>
          <w:szCs w:val="22"/>
          <w:color w:val="auto"/>
        </w:rPr>
      </w:pPr>
    </w:p>
    <w:p>
      <w:pPr>
        <w:jc w:val="both"/>
        <w:ind w:left="520" w:firstLine="501"/>
        <w:spacing w:after="0" w:line="244" w:lineRule="auto"/>
        <w:tabs>
          <w:tab w:leader="none" w:pos="135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any Issuing Bank or the London interbank market any other condition, cost or expense (other than Taxes) affecting this Agreement or Eurocurrency Loans made by such Lender or any Letter of Credit or participation therein;</w:t>
      </w:r>
    </w:p>
    <w:p>
      <w:pPr>
        <w:spacing w:after="0" w:line="1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Lenders of making, converting to, continuing or maintaining any Eurocurrency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in Dollars, such additional amount or amounts as will compensate such Lender or such Issuing Bank, as the case may be, for such additional costs incurred or reduction suffered.</w:t>
      </w:r>
    </w:p>
    <w:p>
      <w:pPr>
        <w:spacing w:after="0" w:line="182" w:lineRule="exact"/>
        <w:rPr>
          <w:sz w:val="20"/>
          <w:szCs w:val="20"/>
          <w:color w:val="auto"/>
        </w:rPr>
      </w:pPr>
    </w:p>
    <w:p>
      <w:pPr>
        <w:jc w:val="both"/>
        <w:ind w:firstLine="1042"/>
        <w:spacing w:after="0" w:line="244" w:lineRule="auto"/>
        <w:tabs>
          <w:tab w:leader="none" w:pos="13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9" w:name="page140"/>
    <w:bookmarkEnd w:id="139"/>
    <w:p>
      <w:pPr>
        <w:jc w:val="both"/>
        <w:spacing w:after="0" w:line="235" w:lineRule="auto"/>
        <w:rPr>
          <w:sz w:val="20"/>
          <w:szCs w:val="20"/>
          <w:color w:val="auto"/>
        </w:rPr>
      </w:pPr>
      <w:r>
        <w:rPr>
          <w:rFonts w:ascii="Times New Roman" w:cs="Times New Roman" w:eastAsia="Times New Roman" w:hAnsi="Times New Roman"/>
          <w:sz w:val="22"/>
          <w:szCs w:val="22"/>
          <w:color w:val="auto"/>
        </w:rPr>
        <w:t>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by an amount deemed to be material by such Lender or such Issuing Bank, then from time to time the Borrower will pay to such Lender or such Issuing Bank, as the case may be, in Dollars, such additional amount or amounts as will compensate such Lender or such Issuing Bank or such Lender’s or such Issuing Bank’s holding company for any such reduction suffered.</w:t>
      </w:r>
    </w:p>
    <w:p>
      <w:pPr>
        <w:spacing w:after="0" w:line="179" w:lineRule="exact"/>
        <w:rPr>
          <w:sz w:val="20"/>
          <w:szCs w:val="20"/>
          <w:color w:val="auto"/>
        </w:rPr>
      </w:pPr>
    </w:p>
    <w:p>
      <w:pPr>
        <w:jc w:val="both"/>
        <w:ind w:firstLine="1042"/>
        <w:spacing w:after="0" w:line="238" w:lineRule="auto"/>
        <w:tabs>
          <w:tab w:leader="none" w:pos="13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from Lenders</w:t>
      </w:r>
      <w:r>
        <w:rPr>
          <w:rFonts w:ascii="Times New Roman" w:cs="Times New Roman" w:eastAsia="Times New Roman" w:hAnsi="Times New Roman"/>
          <w:sz w:val="22"/>
          <w:szCs w:val="22"/>
          <w:color w:val="auto"/>
        </w:rPr>
        <w:t xml:space="preserve">. A certificate of a Lender or an Issuing Bank setting forth the amount or amounts, in Dollars, necessary to compensate such Lender or such Issuing Bank or its holding company, as the case may be, as specified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shall be promptly delivered to the Borrower and shall be conclusive absent manifest error. The Borrower shall pay such Lender or such Issuing Bank, as the case may be, the amount shown as due on any such certificate within 10 days after receipt thereof.</w:t>
      </w:r>
    </w:p>
    <w:p>
      <w:pPr>
        <w:spacing w:after="0" w:line="177"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6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Change in Law giving rise to such increased costs or reductions is retroactive, then the six-month period referred to above shall be extended to include the period of retroactive effect thereof.</w:t>
      </w:r>
    </w:p>
    <w:p>
      <w:pPr>
        <w:spacing w:after="0" w:line="179"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xml:space="preserve"> and is revoked in accordance herewith), or (d) the assignment as a result of a request by the Borrower pursuant to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 xml:space="preserve"> of any Eurocurrency Loan other than on the last day of an Interest Period therefor, then, in any such event, the Borrower shall compensate each Lender for the loss, cost and reasonable expense attributable to such event. In the case of a Eurocurrency Loan, the loss to any Lender attributable to any such event shall be deemed to include an amount determined by such Lender to be equal to the excess, if any, of</w:t>
      </w:r>
    </w:p>
    <w:p>
      <w:pPr>
        <w:spacing w:after="0" w:line="180" w:lineRule="exact"/>
        <w:rPr>
          <w:sz w:val="20"/>
          <w:szCs w:val="20"/>
          <w:color w:val="auto"/>
        </w:rPr>
      </w:pPr>
    </w:p>
    <w:p>
      <w:pPr>
        <w:jc w:val="both"/>
        <w:ind w:left="520" w:firstLine="501"/>
        <w:spacing w:after="0" w:line="238" w:lineRule="auto"/>
        <w:tabs>
          <w:tab w:leader="none" w:pos="131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Times New Roman" w:cs="Times New Roman" w:eastAsia="Times New Roman" w:hAnsi="Times New Roman"/>
          <w:sz w:val="22"/>
          <w:szCs w:val="22"/>
          <w:u w:val="single" w:color="auto"/>
          <w:color w:val="auto"/>
        </w:rPr>
        <w:t>over</w:t>
      </w:r>
    </w:p>
    <w:p>
      <w:pPr>
        <w:spacing w:after="0" w:line="177" w:lineRule="exact"/>
        <w:rPr>
          <w:rFonts w:ascii="Times New Roman" w:cs="Times New Roman" w:eastAsia="Times New Roman" w:hAnsi="Times New Roman"/>
          <w:sz w:val="22"/>
          <w:szCs w:val="22"/>
          <w:color w:val="auto"/>
        </w:rPr>
      </w:pPr>
    </w:p>
    <w:p>
      <w:pPr>
        <w:jc w:val="both"/>
        <w:ind w:left="520" w:firstLine="501"/>
        <w:spacing w:after="0" w:line="239" w:lineRule="auto"/>
        <w:tabs>
          <w:tab w:leader="none" w:pos="133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0" w:name="page141"/>
    <w:bookmarkEnd w:id="140"/>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5" w:lineRule="auto"/>
        <w:tabs>
          <w:tab w:leader="none" w:pos="1341"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w:t>
      </w:r>
    </w:p>
    <w:p>
      <w:pPr>
        <w:spacing w:after="0" w:line="3" w:lineRule="exact"/>
        <w:rPr>
          <w:rFonts w:ascii="Times New Roman" w:cs="Times New Roman" w:eastAsia="Times New Roman" w:hAnsi="Times New Roman"/>
          <w:sz w:val="21"/>
          <w:szCs w:val="21"/>
          <w:color w:val="auto"/>
        </w:rPr>
      </w:pPr>
    </w:p>
    <w:p>
      <w:pPr>
        <w:ind w:right="20" w:firstLine="8"/>
        <w:spacing w:after="0" w:line="237" w:lineRule="auto"/>
        <w:tabs>
          <w:tab w:leader="none" w:pos="38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make such deductions and (iii) the Borrower shall pay the full amount deducted to the relevant Governmental Authority in accordance with applicable law.</w:t>
      </w:r>
    </w:p>
    <w:p>
      <w:pPr>
        <w:spacing w:after="0" w:line="178" w:lineRule="exact"/>
        <w:rPr>
          <w:rFonts w:ascii="Times New Roman" w:cs="Times New Roman" w:eastAsia="Times New Roman" w:hAnsi="Times New Roman"/>
          <w:sz w:val="22"/>
          <w:szCs w:val="22"/>
          <w:color w:val="auto"/>
        </w:rPr>
      </w:pPr>
    </w:p>
    <w:p>
      <w:pPr>
        <w:ind w:firstLine="1042"/>
        <w:spacing w:after="0" w:line="258" w:lineRule="auto"/>
        <w:tabs>
          <w:tab w:leader="none" w:pos="1367"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In addition, the Borrower shall pay any Other Taxes to the relevant Governmental Authority in accordance with applicable law.</w:t>
      </w:r>
    </w:p>
    <w:p>
      <w:pPr>
        <w:spacing w:after="0" w:line="158" w:lineRule="exact"/>
        <w:rPr>
          <w:rFonts w:ascii="Times New Roman" w:cs="Times New Roman" w:eastAsia="Times New Roman" w:hAnsi="Times New Roman"/>
          <w:sz w:val="22"/>
          <w:szCs w:val="22"/>
          <w:color w:val="auto"/>
        </w:rPr>
      </w:pPr>
    </w:p>
    <w:p>
      <w:pPr>
        <w:jc w:val="both"/>
        <w:ind w:firstLine="1042"/>
        <w:spacing w:after="0" w:line="234" w:lineRule="auto"/>
        <w:tabs>
          <w:tab w:leader="none" w:pos="1341"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the Administrative Agent, each Lender and each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80" w:lineRule="exact"/>
        <w:rPr>
          <w:rFonts w:ascii="Times New Roman" w:cs="Times New Roman" w:eastAsia="Times New Roman" w:hAnsi="Times New Roman"/>
          <w:sz w:val="22"/>
          <w:szCs w:val="22"/>
          <w:color w:val="auto"/>
        </w:rPr>
      </w:pPr>
    </w:p>
    <w:p>
      <w:pPr>
        <w:jc w:val="both"/>
        <w:ind w:firstLine="1042"/>
        <w:spacing w:after="0" w:line="233" w:lineRule="auto"/>
        <w:tabs>
          <w:tab w:leader="none" w:pos="138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9.04(f)</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firstLine="1042"/>
        <w:spacing w:after="0" w:line="258" w:lineRule="auto"/>
        <w:tabs>
          <w:tab w:leader="none" w:pos="135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As soon as practicable after any payment of Indemnified Taxes or Other Taxes by the Borrower to a Governmental Authority, the Borrower shall deliver to the Administrative Agent the</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1" w:name="page142"/>
    <w:bookmarkEnd w:id="141"/>
    <w:p>
      <w:pPr>
        <w:spacing w:after="0" w:line="258" w:lineRule="auto"/>
        <w:rPr>
          <w:sz w:val="20"/>
          <w:szCs w:val="20"/>
          <w:color w:val="auto"/>
        </w:rPr>
      </w:pPr>
      <w:r>
        <w:rPr>
          <w:rFonts w:ascii="Times New Roman" w:cs="Times New Roman" w:eastAsia="Times New Roman" w:hAnsi="Times New Roman"/>
          <w:sz w:val="22"/>
          <w:szCs w:val="22"/>
          <w:color w:val="auto"/>
        </w:rPr>
        <w:t>original or a certified copy of a receipt issued by such Governmental Authority evidencing such payment, a copy of the return reporting such payment or other evidence of such payment reasonably satisfactory to the Administrative Agent.</w:t>
      </w:r>
    </w:p>
    <w:p>
      <w:pPr>
        <w:spacing w:after="0" w:line="158" w:lineRule="exact"/>
        <w:rPr>
          <w:sz w:val="20"/>
          <w:szCs w:val="20"/>
          <w:color w:val="auto"/>
        </w:rPr>
      </w:pPr>
    </w:p>
    <w:p>
      <w:pPr>
        <w:jc w:val="both"/>
        <w:ind w:firstLine="1042"/>
        <w:spacing w:after="0" w:line="233" w:lineRule="auto"/>
        <w:tabs>
          <w:tab w:leader="none" w:pos="131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Documentation</w:t>
      </w:r>
      <w:r>
        <w:rPr>
          <w:rFonts w:ascii="Times New Roman" w:cs="Times New Roman" w:eastAsia="Times New Roman" w:hAnsi="Times New Roman"/>
          <w:sz w:val="22"/>
          <w:szCs w:val="22"/>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2"/>
          <w:szCs w:val="22"/>
          <w:u w:val="single" w:color="auto"/>
          <w:color w:val="auto"/>
        </w:rPr>
        <w:t>Section 2.16(f)(ii)</w:t>
      </w:r>
      <w:r>
        <w:rPr>
          <w:rFonts w:ascii="Times New Roman" w:cs="Times New Roman" w:eastAsia="Times New Roman" w:hAnsi="Times New Roman"/>
          <w:sz w:val="22"/>
          <w:szCs w:val="22"/>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6" w:lineRule="exact"/>
        <w:rPr>
          <w:sz w:val="20"/>
          <w:szCs w:val="20"/>
          <w:color w:val="auto"/>
        </w:rPr>
      </w:pPr>
    </w:p>
    <w:p>
      <w:pPr>
        <w:ind w:left="1340" w:hanging="319"/>
        <w:spacing w:after="0"/>
        <w:tabs>
          <w:tab w:leader="none" w:pos="13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rFonts w:ascii="Times New Roman" w:cs="Times New Roman" w:eastAsia="Times New Roman" w:hAnsi="Times New Roman"/>
          <w:sz w:val="22"/>
          <w:szCs w:val="22"/>
          <w:color w:val="auto"/>
        </w:rPr>
      </w:pPr>
    </w:p>
    <w:p>
      <w:pPr>
        <w:jc w:val="both"/>
        <w:ind w:left="1040" w:firstLine="473"/>
        <w:spacing w:after="0" w:line="236" w:lineRule="auto"/>
        <w:tabs>
          <w:tab w:leader="none" w:pos="186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“United States person” (as defined under Section 7701(a)(30) of the Code)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82" w:lineRule="exact"/>
        <w:rPr>
          <w:rFonts w:ascii="Times New Roman" w:cs="Times New Roman" w:eastAsia="Times New Roman" w:hAnsi="Times New Roman"/>
          <w:sz w:val="22"/>
          <w:szCs w:val="22"/>
          <w:color w:val="auto"/>
        </w:rPr>
      </w:pPr>
    </w:p>
    <w:p>
      <w:pPr>
        <w:jc w:val="both"/>
        <w:ind w:left="1040" w:firstLine="473"/>
        <w:spacing w:after="0" w:line="239" w:lineRule="auto"/>
        <w:tabs>
          <w:tab w:leader="none" w:pos="185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80" w:lineRule="exact"/>
        <w:rPr>
          <w:rFonts w:ascii="Times New Roman" w:cs="Times New Roman" w:eastAsia="Times New Roman" w:hAnsi="Times New Roman"/>
          <w:sz w:val="22"/>
          <w:szCs w:val="22"/>
          <w:color w:val="auto"/>
        </w:rPr>
      </w:pPr>
    </w:p>
    <w:p>
      <w:pPr>
        <w:ind w:left="1560" w:firstLine="447"/>
        <w:spacing w:after="0" w:line="282" w:lineRule="auto"/>
        <w:tabs>
          <w:tab w:leader="none" w:pos="2373"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completed and executed copies of Internal Revenue Service Form W-8BEN or W-8BEN-E or any successor form claiming eligibility for benefits of an income tax treaty to which the United States is a party,</w:t>
      </w:r>
    </w:p>
    <w:p>
      <w:pPr>
        <w:spacing w:after="0" w:line="134" w:lineRule="exact"/>
        <w:rPr>
          <w:rFonts w:ascii="Times New Roman" w:cs="Times New Roman" w:eastAsia="Times New Roman" w:hAnsi="Times New Roman"/>
          <w:sz w:val="21"/>
          <w:szCs w:val="21"/>
          <w:color w:val="auto"/>
        </w:rPr>
      </w:pPr>
    </w:p>
    <w:p>
      <w:pPr>
        <w:jc w:val="both"/>
        <w:ind w:left="1560" w:firstLine="447"/>
        <w:spacing w:after="0" w:line="244" w:lineRule="auto"/>
        <w:tabs>
          <w:tab w:leader="none" w:pos="2324"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73" w:lineRule="exact"/>
        <w:rPr>
          <w:rFonts w:ascii="Times New Roman" w:cs="Times New Roman" w:eastAsia="Times New Roman" w:hAnsi="Times New Roman"/>
          <w:sz w:val="22"/>
          <w:szCs w:val="22"/>
          <w:color w:val="auto"/>
        </w:rPr>
      </w:pPr>
    </w:p>
    <w:p>
      <w:pPr>
        <w:jc w:val="both"/>
        <w:ind w:left="1560" w:firstLine="447"/>
        <w:spacing w:after="0" w:line="249" w:lineRule="auto"/>
        <w:tabs>
          <w:tab w:leader="none" w:pos="2353" w:val="left"/>
        </w:tabs>
        <w:numPr>
          <w:ilvl w:val="2"/>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United States Person, or</w:t>
      </w:r>
    </w:p>
    <w:p>
      <w:pPr>
        <w:spacing w:after="0" w:line="179"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2" w:name="page143"/>
    <w:bookmarkEnd w:id="142"/>
    <w:p>
      <w:pPr>
        <w:jc w:val="both"/>
        <w:ind w:left="1560" w:firstLine="447"/>
        <w:spacing w:after="0" w:line="239" w:lineRule="auto"/>
        <w:tabs>
          <w:tab w:leader="none" w:pos="230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80" w:lineRule="exact"/>
        <w:rPr>
          <w:rFonts w:ascii="Times New Roman" w:cs="Times New Roman" w:eastAsia="Times New Roman" w:hAnsi="Times New Roman"/>
          <w:sz w:val="22"/>
          <w:szCs w:val="22"/>
          <w:color w:val="auto"/>
        </w:rPr>
      </w:pPr>
    </w:p>
    <w:p>
      <w:pPr>
        <w:jc w:val="both"/>
        <w:ind w:left="520" w:firstLine="501"/>
        <w:spacing w:after="0" w:line="238" w:lineRule="auto"/>
        <w:tabs>
          <w:tab w:leader="none" w:pos="140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each Lender shall deliver such forms promptly upon the obsolescence, expiration or invalidity of any form previously delivered by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77" w:lineRule="exact"/>
        <w:rPr>
          <w:sz w:val="20"/>
          <w:szCs w:val="20"/>
          <w:color w:val="auto"/>
        </w:rPr>
      </w:pPr>
    </w:p>
    <w:p>
      <w:pPr>
        <w:jc w:val="both"/>
        <w:ind w:firstLine="1042"/>
        <w:spacing w:after="0" w:line="234" w:lineRule="auto"/>
        <w:tabs>
          <w:tab w:leader="none" w:pos="135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Documentation Required by FATCA</w:t>
      </w:r>
      <w:r>
        <w:rPr>
          <w:rFonts w:ascii="Times New Roman" w:cs="Times New Roman" w:eastAsia="Times New Roman" w:hAnsi="Times New Roman"/>
          <w:sz w:val="22"/>
          <w:szCs w:val="22"/>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2.16(g)</w:t>
      </w:r>
      <w:r>
        <w:rPr>
          <w:rFonts w:ascii="Times New Roman" w:cs="Times New Roman" w:eastAsia="Times New Roman" w:hAnsi="Times New Roman"/>
          <w:sz w:val="22"/>
          <w:szCs w:val="22"/>
          <w:color w:val="auto"/>
        </w:rPr>
        <w:t>, “FATCA” shall include any amendments made to FATCA after the date of this Agreement.</w:t>
      </w:r>
    </w:p>
    <w:p>
      <w:pPr>
        <w:spacing w:after="0" w:line="184" w:lineRule="exact"/>
        <w:rPr>
          <w:rFonts w:ascii="Times New Roman" w:cs="Times New Roman" w:eastAsia="Times New Roman" w:hAnsi="Times New Roman"/>
          <w:sz w:val="22"/>
          <w:szCs w:val="22"/>
          <w:color w:val="auto"/>
        </w:rPr>
      </w:pPr>
    </w:p>
    <w:p>
      <w:pPr>
        <w:jc w:val="both"/>
        <w:ind w:firstLine="1042"/>
        <w:spacing w:after="0" w:line="232" w:lineRule="auto"/>
        <w:tabs>
          <w:tab w:leader="none" w:pos="13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in no event will the Administrative Agent, any Lender or an Issuing Bank be required to pay any amount to Borrower pursuant to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9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Payments Generally; Pro Rata Treatment: Sharing of Set-offs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4" w:lineRule="auto"/>
        <w:tabs>
          <w:tab w:leader="none" w:pos="132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the Borrower</w:t>
      </w:r>
      <w:r>
        <w:rPr>
          <w:rFonts w:ascii="Times New Roman" w:cs="Times New Roman" w:eastAsia="Times New Roman" w:hAnsi="Times New Roman"/>
          <w:sz w:val="22"/>
          <w:szCs w:val="22"/>
          <w:color w:val="auto"/>
        </w:rPr>
        <w:t xml:space="preserve">. The Borrower shall make each payment required to be made by it hereunder (whether of principal, interest, fees or reimbursement of LC Disbursements, or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or otherwise) or under any other Loan Document (except to the extent otherwise provided</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3" w:name="page144"/>
    <w:bookmarkEnd w:id="143"/>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0"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 xml:space="preserve">All amounts owing under this Agreement (including commitment fees, payments required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and payments required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relating to any Loan denominated in Dollars, but not including principal of and interest on any Loan denominated in any Foreign Currency or payments relating to any such Loan required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84"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84" w:lineRule="exact"/>
        <w:rPr>
          <w:sz w:val="20"/>
          <w:szCs w:val="20"/>
          <w:color w:val="auto"/>
        </w:rPr>
      </w:pPr>
    </w:p>
    <w:p>
      <w:pPr>
        <w:jc w:val="both"/>
        <w:ind w:firstLine="1042"/>
        <w:spacing w:after="0" w:line="236" w:lineRule="auto"/>
        <w:tabs>
          <w:tab w:leader="none" w:pos="13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Insufficient Payments</w:t>
      </w:r>
      <w:r>
        <w:rPr>
          <w:rFonts w:ascii="Times New Roman" w:cs="Times New Roman" w:eastAsia="Times New Roman" w:hAnsi="Times New Roman"/>
          <w:sz w:val="22"/>
          <w:szCs w:val="22"/>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82" w:lineRule="exact"/>
        <w:rPr>
          <w:rFonts w:ascii="Times New Roman" w:cs="Times New Roman" w:eastAsia="Times New Roman" w:hAnsi="Times New Roman"/>
          <w:sz w:val="22"/>
          <w:szCs w:val="22"/>
          <w:color w:val="auto"/>
        </w:rPr>
      </w:pPr>
    </w:p>
    <w:p>
      <w:pPr>
        <w:jc w:val="both"/>
        <w:ind w:firstLine="1042"/>
        <w:spacing w:after="0" w:line="239" w:lineRule="auto"/>
        <w:tabs>
          <w:tab w:leader="none" w:pos="132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Treatment</w:t>
      </w:r>
      <w:r>
        <w:rPr>
          <w:rFonts w:ascii="Times New Roman" w:cs="Times New Roman" w:eastAsia="Times New Roman" w:hAnsi="Times New Roman"/>
          <w:sz w:val="22"/>
          <w:szCs w:val="22"/>
          <w:color w:val="auto"/>
        </w:rPr>
        <w:t xml:space="preserve">. Except to the extent otherwise provided herein: (i) each Syndicated Borrowing of a Class shall be made from the Lenders of such Class, each payment of commitment fee under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be made for account of the Lenders of the applicable Class, and each termination or reduction of the amount of the Commitments of a Class under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shall be applied to the respective</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Commitments of the Lenders of such Class, pro rata according to the amounts of their respective Commitments of such Class;</w:t>
      </w:r>
    </w:p>
    <w:p>
      <w:pPr>
        <w:spacing w:after="0" w:line="14" w:lineRule="exact"/>
        <w:rPr>
          <w:sz w:val="20"/>
          <w:szCs w:val="20"/>
          <w:color w:val="auto"/>
        </w:rPr>
      </w:pPr>
    </w:p>
    <w:p>
      <w:pPr>
        <w:jc w:val="both"/>
        <w:ind w:firstLine="8"/>
        <w:spacing w:after="0" w:line="232" w:lineRule="auto"/>
        <w:tabs>
          <w:tab w:leader="none" w:pos="32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81" w:lineRule="exact"/>
        <w:rPr>
          <w:rFonts w:ascii="Times New Roman" w:cs="Times New Roman" w:eastAsia="Times New Roman" w:hAnsi="Times New Roman"/>
          <w:sz w:val="22"/>
          <w:szCs w:val="22"/>
          <w:color w:val="auto"/>
        </w:rPr>
      </w:pPr>
    </w:p>
    <w:p>
      <w:pPr>
        <w:jc w:val="both"/>
        <w:ind w:firstLine="1042"/>
        <w:spacing w:after="0" w:line="232" w:lineRule="auto"/>
        <w:tabs>
          <w:tab w:leader="none" w:pos="139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Sharing of Payments by Lenders</w:t>
      </w:r>
      <w:r>
        <w:rPr>
          <w:rFonts w:ascii="Times New Roman" w:cs="Times New Roman" w:eastAsia="Times New Roman" w:hAnsi="Times New Roman"/>
          <w:sz w:val="22"/>
          <w:szCs w:val="22"/>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9"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2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Presumptions of Payment</w:t>
      </w:r>
      <w:r>
        <w:rPr>
          <w:rFonts w:ascii="Times New Roman" w:cs="Times New Roman" w:eastAsia="Times New Roman" w:hAnsi="Times New Roman"/>
          <w:sz w:val="22"/>
          <w:szCs w:val="22"/>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79"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0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Deductions by the Administrative Agent</w:t>
      </w:r>
      <w:r>
        <w:rPr>
          <w:rFonts w:ascii="Times New Roman" w:cs="Times New Roman" w:eastAsia="Times New Roman" w:hAnsi="Times New Roman"/>
          <w:sz w:val="22"/>
          <w:szCs w:val="22"/>
          <w:color w:val="auto"/>
        </w:rPr>
        <w:t xml:space="preserve">. If any Lender shall fail to make any payment required to be made by it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2.17(e)</w:t>
      </w:r>
      <w:r>
        <w:rPr>
          <w:rFonts w:ascii="Times New Roman" w:cs="Times New Roman" w:eastAsia="Times New Roman" w:hAnsi="Times New Roman"/>
          <w:sz w:val="22"/>
          <w:szCs w:val="22"/>
          <w:color w:val="auto"/>
        </w:rPr>
        <w:t>, then the Administrative Agent may, in its discretion (notwithstanding any contrary provision hereof), apply any amounts thereafter</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5" w:name="page146"/>
    <w:bookmarkEnd w:id="145"/>
    <w:p>
      <w:pPr>
        <w:spacing w:after="0" w:line="258" w:lineRule="auto"/>
        <w:rPr>
          <w:sz w:val="20"/>
          <w:szCs w:val="20"/>
          <w:color w:val="auto"/>
        </w:rPr>
      </w:pPr>
      <w:r>
        <w:rPr>
          <w:rFonts w:ascii="Times New Roman" w:cs="Times New Roman" w:eastAsia="Times New Roman" w:hAnsi="Times New Roman"/>
          <w:sz w:val="22"/>
          <w:szCs w:val="22"/>
          <w:color w:val="auto"/>
        </w:rPr>
        <w:t>received by the Administrative Agent for account of such Lender to satisfy such Lender’s obligations under such Sections until all such unsatisfied obligations are fully paid.</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Mitigation Obligations; Replacement of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5" w:lineRule="auto"/>
        <w:tabs>
          <w:tab w:leader="none" w:pos="135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 Different Lending Office</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79" w:lineRule="exact"/>
        <w:rPr>
          <w:rFonts w:ascii="Times New Roman" w:cs="Times New Roman" w:eastAsia="Times New Roman" w:hAnsi="Times New Roman"/>
          <w:sz w:val="22"/>
          <w:szCs w:val="22"/>
          <w:color w:val="auto"/>
        </w:rPr>
      </w:pPr>
    </w:p>
    <w:p>
      <w:pPr>
        <w:jc w:val="both"/>
        <w:ind w:firstLine="1042"/>
        <w:spacing w:after="0" w:line="232" w:lineRule="auto"/>
        <w:tabs>
          <w:tab w:leader="none" w:pos="13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if the Borrower is required to pay any additional amount to any Lender or any Governmental Authority for account of any Lender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or if any Lender becomes a Defaulting Lender or is a Non-Consenting Lender (as provided in </w:t>
      </w:r>
      <w:r>
        <w:rPr>
          <w:rFonts w:ascii="Times New Roman" w:cs="Times New Roman" w:eastAsia="Times New Roman" w:hAnsi="Times New Roman"/>
          <w:sz w:val="22"/>
          <w:szCs w:val="22"/>
          <w:u w:val="single" w:color="auto"/>
          <w:color w:val="auto"/>
        </w:rPr>
        <w:t>Section 9.02(d)</w:t>
      </w:r>
      <w:r>
        <w:rPr>
          <w:rFonts w:ascii="Times New Roman" w:cs="Times New Roman" w:eastAsia="Times New Roman" w:hAnsi="Times New Roman"/>
          <w:sz w:val="22"/>
          <w:szCs w:val="22"/>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shall have received the prior written consent of the Administrative Agent (and, if a Commitment is being assigned, each Issuing Bank and each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9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4" w:lineRule="auto"/>
        <w:tabs>
          <w:tab w:leader="none" w:pos="136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3" w:lineRule="exact"/>
        <w:rPr>
          <w:rFonts w:ascii="Times New Roman" w:cs="Times New Roman" w:eastAsia="Times New Roman" w:hAnsi="Times New Roman"/>
          <w:sz w:val="22"/>
          <w:szCs w:val="22"/>
          <w:color w:val="auto"/>
        </w:rPr>
      </w:pPr>
    </w:p>
    <w:p>
      <w:pPr>
        <w:jc w:val="both"/>
        <w:ind w:left="520" w:firstLine="501"/>
        <w:spacing w:after="0" w:line="235" w:lineRule="auto"/>
        <w:tabs>
          <w:tab w:leader="none" w:pos="128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Waterfall</w:t>
      </w:r>
      <w:r>
        <w:rPr>
          <w:rFonts w:ascii="Times New Roman" w:cs="Times New Roman" w:eastAsia="Times New Roman" w:hAnsi="Times New Roman"/>
          <w:sz w:val="22"/>
          <w:szCs w:val="22"/>
          <w:color w:val="auto"/>
        </w:rPr>
        <w:t xml:space="preserve">. 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otherwise) or received by Administrative Agent from a Defaulting Lender pursuant to </w:t>
      </w:r>
      <w:r>
        <w:rPr>
          <w:rFonts w:ascii="Times New Roman" w:cs="Times New Roman" w:eastAsia="Times New Roman" w:hAnsi="Times New Roman"/>
          <w:sz w:val="22"/>
          <w:szCs w:val="22"/>
          <w:u w:val="single" w:color="auto"/>
          <w:color w:val="auto"/>
        </w:rPr>
        <w:t>Section 9.08</w:t>
      </w:r>
      <w:r>
        <w:rPr>
          <w:rFonts w:ascii="Times New Roman" w:cs="Times New Roman" w:eastAsia="Times New Roman" w:hAnsi="Times New Roman"/>
          <w:sz w:val="22"/>
          <w:szCs w:val="22"/>
          <w:color w:val="auto"/>
        </w:rPr>
        <w:t xml:space="preserve"> shall be applied at such time or times as may be determined by Administrative Agent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such Defaulting Lender to Administrative Agent hereunder;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payment on a pro rata basis of any amounts owing by such Defaulting Lender to any Issuing Bank or any Swingline Lender hereunder;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Cash Collateralize each Issuing Bank’s Fronting Exposure with respect to such Defaulting Lender in the manner described in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as Borrower may request (so long as no Default exists), to the funding of any Loan</w:t>
      </w:r>
    </w:p>
    <w:p>
      <w:pPr>
        <w:spacing w:after="0" w:line="186"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6" w:name="page147"/>
    <w:bookmarkEnd w:id="146"/>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in respect of which such Defaulting Lender has failed to fund its portion thereof as required by this Agreement, as determined by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cs="Times New Roman" w:eastAsia="Times New Roman" w:hAnsi="Times New Roman"/>
          <w:sz w:val="21"/>
          <w:szCs w:val="21"/>
          <w:u w:val="single" w:color="auto"/>
          <w:color w:val="auto"/>
        </w:rPr>
        <w:t>Section 2.19(a)(iii)</w:t>
      </w:r>
      <w:r>
        <w:rPr>
          <w:rFonts w:ascii="Times New Roman" w:cs="Times New Roman" w:eastAsia="Times New Roman" w:hAnsi="Times New Roman"/>
          <w:sz w:val="21"/>
          <w:szCs w:val="21"/>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2.19(a)(i)</w:t>
      </w:r>
      <w:r>
        <w:rPr>
          <w:rFonts w:ascii="Times New Roman" w:cs="Times New Roman" w:eastAsia="Times New Roman" w:hAnsi="Times New Roman"/>
          <w:sz w:val="21"/>
          <w:szCs w:val="21"/>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30" w:lineRule="exact"/>
        <w:rPr>
          <w:sz w:val="20"/>
          <w:szCs w:val="20"/>
          <w:color w:val="auto"/>
        </w:rPr>
      </w:pPr>
    </w:p>
    <w:p>
      <w:pPr>
        <w:ind w:left="820" w:hanging="319"/>
        <w:spacing w:after="0"/>
        <w:tabs>
          <w:tab w:leader="none" w:pos="8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520" w:firstLine="473"/>
        <w:spacing w:after="0" w:line="236" w:lineRule="auto"/>
        <w:tabs>
          <w:tab w:leader="none" w:pos="1356"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Defaulting Lender shall be entitled to receive any fee pursuant to </w:t>
      </w:r>
      <w:r>
        <w:rPr>
          <w:rFonts w:ascii="Times New Roman" w:cs="Times New Roman" w:eastAsia="Times New Roman" w:hAnsi="Times New Roman"/>
          <w:sz w:val="22"/>
          <w:szCs w:val="22"/>
          <w:u w:val="single" w:color="auto"/>
          <w:color w:val="auto"/>
        </w:rPr>
        <w:t>Sections 2.11(a)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for any period during which that Lender is a Defaulting Lender (and Borrower shall not be required to pay any such fee that otherwise would have been required to have been paid to that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Defaulting Lender shall be entitled to receive fees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1340" w:hanging="347"/>
        <w:spacing w:after="0"/>
        <w:tabs>
          <w:tab w:leader="none" w:pos="1340" w:val="left"/>
        </w:tabs>
        <w:numPr>
          <w:ilvl w:val="2"/>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fees not required to be paid to any Defaulting Lender pursuant to </w:t>
      </w:r>
      <w:r>
        <w:rPr>
          <w:rFonts w:ascii="Times New Roman" w:cs="Times New Roman" w:eastAsia="Times New Roman" w:hAnsi="Times New Roman"/>
          <w:sz w:val="22"/>
          <w:szCs w:val="22"/>
          <w:u w:val="single" w:color="auto"/>
          <w:color w:val="auto"/>
        </w:rPr>
        <w:t>clause</w:t>
      </w:r>
    </w:p>
    <w:p>
      <w:pPr>
        <w:spacing w:after="0" w:line="14" w:lineRule="exact"/>
        <w:rPr>
          <w:rFonts w:ascii="Times New Roman" w:cs="Times New Roman" w:eastAsia="Times New Roman" w:hAnsi="Times New Roman"/>
          <w:sz w:val="22"/>
          <w:szCs w:val="22"/>
          <w:color w:val="auto"/>
        </w:rPr>
      </w:pPr>
    </w:p>
    <w:p>
      <w:pPr>
        <w:jc w:val="both"/>
        <w:ind w:left="520" w:firstLine="2"/>
        <w:spacing w:after="0" w:line="245" w:lineRule="auto"/>
        <w:tabs>
          <w:tab w:leader="none" w:pos="896" w:val="left"/>
        </w:tabs>
        <w:numPr>
          <w:ilvl w:val="1"/>
          <w:numId w:val="12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74" w:lineRule="exact"/>
        <w:rPr>
          <w:rFonts w:ascii="Times New Roman" w:cs="Times New Roman" w:eastAsia="Times New Roman" w:hAnsi="Times New Roman"/>
          <w:sz w:val="21"/>
          <w:szCs w:val="21"/>
          <w:u w:val="single" w:color="auto"/>
          <w:color w:val="auto"/>
        </w:rPr>
      </w:pPr>
    </w:p>
    <w:p>
      <w:pPr>
        <w:jc w:val="both"/>
        <w:ind w:firstLine="501"/>
        <w:spacing w:after="0" w:line="244" w:lineRule="auto"/>
        <w:tabs>
          <w:tab w:leader="none" w:pos="92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Participations to Reduce Fronting Exposure</w:t>
      </w:r>
      <w:r>
        <w:rPr>
          <w:rFonts w:ascii="Times New Roman" w:cs="Times New Roman" w:eastAsia="Times New Roman" w:hAnsi="Times New Roman"/>
          <w:sz w:val="22"/>
          <w:szCs w:val="22"/>
          <w:color w:val="auto"/>
        </w:rPr>
        <w:t>. All or any part of such Defaulting Lender’s participation in Letters of Credit and Swingline Loans shall be reallocated (effective no later than one (1) Business Day after the Administrative Agent has actual knowledge that such Lender has become a</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74295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544" w:right="239" w:bottom="1440" w:gutter="0" w:footer="0" w:header="0"/>
        </w:sectPr>
      </w:pPr>
    </w:p>
    <w:bookmarkStart w:id="147" w:name="page148"/>
    <w:bookmarkEnd w:id="147"/>
    <w:p>
      <w:pPr>
        <w:jc w:val="both"/>
        <w:ind w:left="520"/>
        <w:spacing w:after="0" w:line="234" w:lineRule="auto"/>
        <w:rPr>
          <w:sz w:val="20"/>
          <w:szCs w:val="20"/>
          <w:color w:val="auto"/>
        </w:rPr>
      </w:pPr>
      <w:r>
        <w:rPr>
          <w:rFonts w:ascii="Times New Roman" w:cs="Times New Roman" w:eastAsia="Times New Roman" w:hAnsi="Times New Roman"/>
          <w:sz w:val="22"/>
          <w:szCs w:val="22"/>
          <w:color w:val="auto"/>
        </w:rPr>
        <w:t xml:space="preserve">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4" w:lineRule="exact"/>
        <w:rPr>
          <w:sz w:val="20"/>
          <w:szCs w:val="20"/>
          <w:color w:val="auto"/>
        </w:rPr>
      </w:pPr>
    </w:p>
    <w:p>
      <w:pPr>
        <w:jc w:val="both"/>
        <w:ind w:left="520" w:firstLine="501"/>
        <w:spacing w:after="0" w:line="234" w:lineRule="auto"/>
        <w:tabs>
          <w:tab w:leader="none" w:pos="139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 Repayment of Swingline Loans</w:t>
      </w:r>
      <w:r>
        <w:rPr>
          <w:rFonts w:ascii="Times New Roman" w:cs="Times New Roman" w:eastAsia="Times New Roman" w:hAnsi="Times New Roman"/>
          <w:sz w:val="22"/>
          <w:szCs w:val="22"/>
          <w:color w:val="auto"/>
        </w:rPr>
        <w:t xml:space="preserve">. If the reallocation described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80" w:lineRule="exact"/>
        <w:rPr>
          <w:sz w:val="20"/>
          <w:szCs w:val="20"/>
          <w:color w:val="auto"/>
        </w:rPr>
      </w:pPr>
    </w:p>
    <w:p>
      <w:pPr>
        <w:jc w:val="both"/>
        <w:ind w:firstLine="1042"/>
        <w:spacing w:after="0" w:line="233" w:lineRule="auto"/>
        <w:tabs>
          <w:tab w:leader="none" w:pos="135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cs="Times New Roman" w:eastAsia="Times New Roman" w:hAnsi="Times New Roman"/>
          <w:sz w:val="22"/>
          <w:szCs w:val="22"/>
          <w:u w:val="single" w:color="auto"/>
          <w:color w:val="auto"/>
        </w:rPr>
        <w:t>Section 2.19(a)(iii)</w:t>
      </w:r>
      <w:r>
        <w:rPr>
          <w:rFonts w:ascii="Times New Roman" w:cs="Times New Roman" w:eastAsia="Times New Roman" w:hAnsi="Times New Roman"/>
          <w:sz w:val="22"/>
          <w:szCs w:val="22"/>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3"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2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Swingline Loans/Letters of Credit</w:t>
      </w:r>
      <w:r>
        <w:rPr>
          <w:rFonts w:ascii="Times New Roman" w:cs="Times New Roman" w:eastAsia="Times New Roman" w:hAnsi="Times New Roman"/>
          <w:sz w:val="22"/>
          <w:szCs w:val="22"/>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cs="Times New Roman" w:eastAsia="Times New Roman" w:hAnsi="Times New Roman"/>
          <w:sz w:val="22"/>
          <w:szCs w:val="22"/>
          <w:u w:val="single" w:color="auto"/>
          <w:color w:val="auto"/>
        </w:rPr>
        <w:t>clause (a)(iii)</w:t>
      </w:r>
      <w:r>
        <w:rPr>
          <w:rFonts w:ascii="Times New Roman" w:cs="Times New Roman" w:eastAsia="Times New Roman" w:hAnsi="Times New Roman"/>
          <w:sz w:val="22"/>
          <w:szCs w:val="22"/>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cs="Times New Roman" w:eastAsia="Times New Roman" w:hAnsi="Times New Roman"/>
          <w:sz w:val="22"/>
          <w:szCs w:val="22"/>
          <w:u w:val="single" w:color="auto"/>
          <w:color w:val="auto"/>
        </w:rPr>
        <w:t>clause (a)(iii)</w:t>
      </w:r>
      <w:r>
        <w:rPr>
          <w:rFonts w:ascii="Times New Roman" w:cs="Times New Roman" w:eastAsia="Times New Roman" w:hAnsi="Times New Roman"/>
          <w:sz w:val="22"/>
          <w:szCs w:val="22"/>
          <w:color w:val="auto"/>
        </w:rPr>
        <w:t xml:space="preserve"> above and such Defaulting</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8" w:name="page149"/>
    <w:bookmarkEnd w:id="148"/>
    <w:p>
      <w:pPr>
        <w:spacing w:after="0" w:line="258" w:lineRule="auto"/>
        <w:rPr>
          <w:sz w:val="20"/>
          <w:szCs w:val="20"/>
          <w:color w:val="auto"/>
        </w:rPr>
      </w:pPr>
      <w:r>
        <w:rPr>
          <w:rFonts w:ascii="Times New Roman" w:cs="Times New Roman" w:eastAsia="Times New Roman" w:hAnsi="Times New Roman"/>
          <w:sz w:val="22"/>
          <w:szCs w:val="22"/>
          <w:color w:val="auto"/>
        </w:rPr>
        <w:t xml:space="preserve">Lender shall not participate therein except to the extent such Defaulting Lender’s participation has been or will be fully Cash Collateralized in accordance with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042"/>
        <w:spacing w:after="0" w:line="239" w:lineRule="auto"/>
        <w:tabs>
          <w:tab w:leader="none" w:pos="1353"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cs="Times New Roman" w:eastAsia="Times New Roman" w:hAnsi="Times New Roman"/>
          <w:sz w:val="22"/>
          <w:szCs w:val="22"/>
          <w:u w:val="single" w:color="auto"/>
          <w:color w:val="auto"/>
        </w:rPr>
        <w:t>Section 2.19(a)(iii)</w:t>
      </w:r>
      <w:r>
        <w:rPr>
          <w:rFonts w:ascii="Times New Roman" w:cs="Times New Roman" w:eastAsia="Times New Roman" w:hAnsi="Times New Roman"/>
          <w:sz w:val="22"/>
          <w:szCs w:val="22"/>
          <w:color w:val="auto"/>
        </w:rPr>
        <w:t xml:space="preserve"> and any Cash Collateral provided by such Defaulting Lender) in an amount not less than the Minimum Collateral Amount.</w:t>
      </w:r>
    </w:p>
    <w:p>
      <w:pPr>
        <w:spacing w:after="0" w:line="180" w:lineRule="exact"/>
        <w:rPr>
          <w:rFonts w:ascii="Times New Roman" w:cs="Times New Roman" w:eastAsia="Times New Roman" w:hAnsi="Times New Roman"/>
          <w:sz w:val="22"/>
          <w:szCs w:val="22"/>
          <w:color w:val="auto"/>
        </w:rPr>
      </w:pPr>
    </w:p>
    <w:p>
      <w:pPr>
        <w:jc w:val="both"/>
        <w:ind w:left="520" w:firstLine="501"/>
        <w:spacing w:after="0" w:line="233" w:lineRule="auto"/>
        <w:tabs>
          <w:tab w:leader="none" w:pos="127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186" w:lineRule="exact"/>
        <w:rPr>
          <w:rFonts w:ascii="Times New Roman" w:cs="Times New Roman" w:eastAsia="Times New Roman" w:hAnsi="Times New Roman"/>
          <w:sz w:val="22"/>
          <w:szCs w:val="22"/>
          <w:color w:val="auto"/>
        </w:rPr>
      </w:pPr>
    </w:p>
    <w:p>
      <w:pPr>
        <w:jc w:val="both"/>
        <w:ind w:left="520" w:firstLine="501"/>
        <w:spacing w:after="0" w:line="238" w:lineRule="auto"/>
        <w:tabs>
          <w:tab w:leader="none" w:pos="133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77" w:lineRule="exact"/>
        <w:rPr>
          <w:rFonts w:ascii="Times New Roman" w:cs="Times New Roman" w:eastAsia="Times New Roman" w:hAnsi="Times New Roman"/>
          <w:sz w:val="22"/>
          <w:szCs w:val="22"/>
          <w:color w:val="auto"/>
        </w:rPr>
      </w:pPr>
    </w:p>
    <w:p>
      <w:pPr>
        <w:jc w:val="both"/>
        <w:ind w:left="520" w:firstLine="501"/>
        <w:spacing w:after="0" w:line="235" w:lineRule="auto"/>
        <w:tabs>
          <w:tab w:leader="none" w:pos="139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Requirement</w:t>
      </w:r>
      <w:r>
        <w:rPr>
          <w:rFonts w:ascii="Times New Roman" w:cs="Times New Roman" w:eastAsia="Times New Roman" w:hAnsi="Times New Roman"/>
          <w:sz w:val="22"/>
          <w:szCs w:val="22"/>
          <w:color w:val="auto"/>
        </w:rPr>
        <w:t xml:space="preserve">. Cash Collateral (or the appropriate portion thereof) provided to reduce Issuing Bank’s Fronting Exposure shall no longer be required to be held as Cash Collateral pursuant to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the other provisions of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the Person providing Cash Collateral and each Issuing Bank may agree that Cash Collateral shall be held to support future anticipated Fronting Exposure;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to the extent that such Cash Collateral was provided by Borrower, such Cash Collateral shall remain subject to the security interest granted pursuant to the Loan Documents.</w:t>
      </w:r>
    </w:p>
    <w:p>
      <w:pPr>
        <w:spacing w:after="0" w:line="17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Assignment and Reallocation of Existing Commitments and Existing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  On  the  Fourth  Amendment  Effective  Date,  the  Borrower  shall  (A)  prepay  the  outstanding  Loans  and</w:t>
      </w:r>
    </w:p>
    <w:p>
      <w:pPr>
        <w:spacing w:after="0" w:line="4" w:lineRule="exact"/>
        <w:rPr>
          <w:sz w:val="20"/>
          <w:szCs w:val="20"/>
          <w:color w:val="auto"/>
        </w:rPr>
      </w:pPr>
    </w:p>
    <w:p>
      <w:pPr>
        <w:ind w:left="360" w:hanging="352"/>
        <w:spacing w:after="0"/>
        <w:tabs>
          <w:tab w:leader="none" w:pos="3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simultaneously borrow new Loans in an amount equal to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and</w:t>
      </w:r>
    </w:p>
    <w:p>
      <w:pPr>
        <w:jc w:val="both"/>
        <w:ind w:firstLine="8"/>
        <w:spacing w:after="0" w:line="246" w:lineRule="auto"/>
        <w:tabs>
          <w:tab w:leader="none" w:pos="288" w:val="left"/>
        </w:tabs>
        <w:numPr>
          <w:ilvl w:val="0"/>
          <w:numId w:val="13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 the prepayment to, and borrowing from, any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9" w:name="page150"/>
    <w:bookmarkEnd w:id="149"/>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loans, which, for the purposes of this Agreement and each other Loan Document, will be as set forth opposite such Person’s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81" w:lineRule="exact"/>
        <w:rPr>
          <w:sz w:val="20"/>
          <w:szCs w:val="20"/>
          <w:color w:val="auto"/>
        </w:rPr>
      </w:pPr>
    </w:p>
    <w:p>
      <w:pPr>
        <w:jc w:val="both"/>
        <w:ind w:firstLine="1042"/>
        <w:spacing w:after="0" w:line="235" w:lineRule="auto"/>
        <w:tabs>
          <w:tab w:leader="none" w:pos="134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 (B) 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III</w:t>
      </w: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The Borrower represents and warrants to the Lenders that:</w:t>
      </w:r>
    </w:p>
    <w:p>
      <w:pPr>
        <w:spacing w:after="0" w:line="206"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7"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4" w:lineRule="exact"/>
        <w:rPr>
          <w:sz w:val="20"/>
          <w:szCs w:val="20"/>
          <w:color w:val="auto"/>
        </w:rPr>
      </w:pPr>
    </w:p>
    <w:p>
      <w:pPr>
        <w:jc w:val="both"/>
        <w:ind w:firstLine="1034"/>
        <w:spacing w:after="0" w:line="245"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Governmental Approvals; No Conflicts.</w:t>
      </w:r>
      <w:r>
        <w:rPr>
          <w:rFonts w:ascii="Times New Roman" w:cs="Times New Roman" w:eastAsia="Times New Roman" w:hAnsi="Times New Roman"/>
          <w:sz w:val="21"/>
          <w:szCs w:val="21"/>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w:t>
      </w:r>
    </w:p>
    <w:p>
      <w:pPr>
        <w:ind w:firstLine="8"/>
        <w:spacing w:after="0" w:line="237" w:lineRule="auto"/>
        <w:tabs>
          <w:tab w:leader="none" w:pos="31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Liens created pursuant to this Agreement or the Security Documents, will not result in the creation or imposition of any Lien on any asset of the Borrower or any of its Subsidiaries.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0" w:name="page151"/>
    <w:bookmarkEnd w:id="150"/>
    <w:p>
      <w:pPr>
        <w:ind w:left="1040"/>
        <w:spacing w:after="0"/>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Financial Condition; No Material Adverse Change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8" w:lineRule="auto"/>
        <w:tabs>
          <w:tab w:leader="none" w:pos="132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77"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Since the date of the most recent Applicable Financial Statements, there has not been any event, development or circumstance (herein, a “</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84"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77"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Compliance with Laws and Agreements</w:t>
      </w:r>
      <w:r>
        <w:rPr>
          <w:rFonts w:ascii="Times New Roman" w:cs="Times New Roman" w:eastAsia="Times New Roman" w:hAnsi="Times New Roman"/>
          <w:sz w:val="22"/>
          <w:szCs w:val="22"/>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2"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77"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4"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As of the date hereof,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date hereof,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1" w:name="page152"/>
    <w:bookmarkEnd w:id="151"/>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projected financial information, the Borrower represents only that such information was prepared in good faith based upon assumptions believed to be reasonable at the time.</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Investment Company Act; Margin Regulations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042"/>
        <w:spacing w:after="0" w:line="258" w:lineRule="auto"/>
        <w:tabs>
          <w:tab w:leader="none" w:pos="132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as Business Development Company</w:t>
      </w:r>
      <w:r>
        <w:rPr>
          <w:rFonts w:ascii="Times New Roman" w:cs="Times New Roman" w:eastAsia="Times New Roman" w:hAnsi="Times New Roman"/>
          <w:sz w:val="22"/>
          <w:szCs w:val="22"/>
          <w:color w:val="auto"/>
        </w:rPr>
        <w:t>. The Borrower has elected to be regulated as a “business development company” within the meaning of the Investment Company Act and qualifies as a RIC.</w:t>
      </w:r>
    </w:p>
    <w:p>
      <w:pPr>
        <w:spacing w:after="0" w:line="158"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Investment Company Act</w:t>
      </w:r>
      <w:r>
        <w:rPr>
          <w:rFonts w:ascii="Times New Roman" w:cs="Times New Roman" w:eastAsia="Times New Roman" w:hAnsi="Times New Roman"/>
          <w:sz w:val="22"/>
          <w:szCs w:val="22"/>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77" w:lineRule="exact"/>
        <w:rPr>
          <w:rFonts w:ascii="Times New Roman" w:cs="Times New Roman" w:eastAsia="Times New Roman" w:hAnsi="Times New Roman"/>
          <w:sz w:val="22"/>
          <w:szCs w:val="22"/>
          <w:color w:val="auto"/>
        </w:rPr>
      </w:pPr>
    </w:p>
    <w:p>
      <w:pPr>
        <w:jc w:val="both"/>
        <w:ind w:right="20" w:firstLine="1042"/>
        <w:spacing w:after="0" w:line="244" w:lineRule="auto"/>
        <w:tabs>
          <w:tab w:leader="none" w:pos="132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173"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5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Credit</w:t>
      </w:r>
      <w:r>
        <w:rPr>
          <w:rFonts w:ascii="Times New Roman" w:cs="Times New Roman" w:eastAsia="Times New Roman" w:hAnsi="Times New Roman"/>
          <w:sz w:val="22"/>
          <w:szCs w:val="22"/>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Material Agreements and Liens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51" w:lineRule="auto"/>
        <w:tabs>
          <w:tab w:leader="none" w:pos="1341"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Agreements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 A</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3.11</w:t>
      </w:r>
      <w:r>
        <w:rPr>
          <w:rFonts w:ascii="Times New Roman" w:cs="Times New Roman" w:eastAsia="Times New Roman" w:hAnsi="Times New Roman"/>
          <w:sz w:val="21"/>
          <w:szCs w:val="21"/>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Times New Roman" w:cs="Times New Roman" w:eastAsia="Times New Roman" w:hAnsi="Times New Roman"/>
          <w:sz w:val="21"/>
          <w:szCs w:val="21"/>
          <w:u w:val="single" w:color="auto"/>
          <w:color w:val="auto"/>
        </w:rPr>
        <w:t>Part A</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3.11</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firstLine="1042"/>
        <w:spacing w:after="0" w:line="239" w:lineRule="auto"/>
        <w:tabs>
          <w:tab w:leader="none" w:pos="136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Subsidiaries and Investments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40" w:hanging="298"/>
        <w:spacing w:after="0"/>
        <w:tabs>
          <w:tab w:leader="none" w:pos="134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xml:space="preserve">. Set forth on </w:t>
      </w:r>
      <w:r>
        <w:rPr>
          <w:rFonts w:ascii="Times New Roman" w:cs="Times New Roman" w:eastAsia="Times New Roman" w:hAnsi="Times New Roman"/>
          <w:sz w:val="21"/>
          <w:szCs w:val="21"/>
          <w:u w:val="single" w:color="auto"/>
          <w:color w:val="auto"/>
        </w:rPr>
        <w:t>Schedule 3.12(a)</w:t>
      </w:r>
      <w:r>
        <w:rPr>
          <w:rFonts w:ascii="Times New Roman" w:cs="Times New Roman" w:eastAsia="Times New Roman" w:hAnsi="Times New Roman"/>
          <w:sz w:val="21"/>
          <w:szCs w:val="21"/>
          <w:color w:val="auto"/>
        </w:rPr>
        <w:t xml:space="preserve"> is a list of the Borrower’s Subsidiaries as of the Original Effective Date.</w:t>
      </w:r>
    </w:p>
    <w:p>
      <w:pPr>
        <w:spacing w:after="0" w:line="217" w:lineRule="exact"/>
        <w:rPr>
          <w:rFonts w:ascii="Times New Roman" w:cs="Times New Roman" w:eastAsia="Times New Roman" w:hAnsi="Times New Roman"/>
          <w:sz w:val="21"/>
          <w:szCs w:val="21"/>
          <w:color w:val="auto"/>
        </w:rPr>
      </w:pPr>
    </w:p>
    <w:p>
      <w:pPr>
        <w:jc w:val="both"/>
        <w:ind w:firstLine="1042"/>
        <w:spacing w:after="0" w:line="244" w:lineRule="auto"/>
        <w:tabs>
          <w:tab w:leader="none" w:pos="135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 xml:space="preserve"> is a complete and correct list, as of the Original Effective Date, of all Investments (other than Investments of the types referred to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held by the Borrower or any of the Subsidiary Guarantors in any Person on the Original Effective</w:t>
      </w:r>
    </w:p>
    <w:p>
      <w:pPr>
        <w:spacing w:after="0" w:line="18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2" w:name="page153"/>
    <w:bookmarkEnd w:id="15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Date and, for each such Investment, (x) the identity of the Person or Persons holding such Investment and (y) the nature of such Investment. Except as disclosed in </w:t>
      </w:r>
      <w:r>
        <w:rPr>
          <w:rFonts w:ascii="Times New Roman" w:cs="Times New Roman" w:eastAsia="Times New Roman" w:hAnsi="Times New Roman"/>
          <w:sz w:val="22"/>
          <w:szCs w:val="22"/>
          <w:u w:val="single" w:color="auto"/>
          <w:color w:val="auto"/>
        </w:rPr>
        <w:t>Schedule 3.12</w:t>
      </w:r>
      <w:r>
        <w:rPr>
          <w:rFonts w:ascii="Times New Roman" w:cs="Times New Roman" w:eastAsia="Times New Roman" w:hAnsi="Times New Roman"/>
          <w:sz w:val="22"/>
          <w:szCs w:val="22"/>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4" w:lineRule="auto"/>
        <w:tabs>
          <w:tab w:leader="none" w:pos="132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Generally</w:t>
      </w:r>
      <w:r>
        <w:rPr>
          <w:rFonts w:ascii="Times New Roman" w:cs="Times New Roman" w:eastAsia="Times New Roman" w:hAnsi="Times New Roman"/>
          <w:sz w:val="22"/>
          <w:szCs w:val="22"/>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73"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4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77"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4" w:lineRule="auto"/>
        <w:tabs>
          <w:tab w:leader="none" w:pos="135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Borrower or any of its Subsidiaries nor, to the knowledge of the Borrower, any of their respective directors, officers or authorized signors, (a)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(b) engages in any dealings or transactions prohibited by Section 2 of such executive order, or is otherwise associated with any such person in any manner violative of Section 2 of such executive order, (c) is a person on the list of Specially Designated Nationals and Blocked Persons or subject to, or the subject of, the limitations or prohibitions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under (A) any other U.S. Department of Treasury’s Office of Foreign Assets Control or U.S. Department of State regulation or executive order or (B) any international economic sanction administered or enforced by the United Nations Security Counsel, Her Majesty’s Treasury or the European Union or (d) is located, organized or resident in a Sanctioned Country.</w:t>
      </w:r>
    </w:p>
    <w:p>
      <w:pPr>
        <w:spacing w:after="0" w:line="180"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7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74"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will be used, directly or indirectly, for any payments to (i) any governmental official or employee, political party, official of a political party, candidate for political office, or anyone else acting in an official</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3" w:name="page154"/>
    <w:bookmarkEnd w:id="153"/>
    <w:p>
      <w:pPr>
        <w:jc w:val="both"/>
        <w:spacing w:after="0" w:line="236" w:lineRule="auto"/>
        <w:rPr>
          <w:sz w:val="20"/>
          <w:szCs w:val="20"/>
          <w:color w:val="auto"/>
        </w:rPr>
      </w:pPr>
      <w:r>
        <w:rPr>
          <w:rFonts w:ascii="Times New Roman" w:cs="Times New Roman" w:eastAsia="Times New Roman" w:hAnsi="Times New Roman"/>
          <w:sz w:val="22"/>
          <w:szCs w:val="22"/>
          <w:color w:val="auto"/>
        </w:rPr>
        <w:t>capacity, in order to obtain, retain or direct business or obtain any improper advantage, all in violation by the Borrower or its Subsidiaries of the United States Foreign Corrupt Practices Act of 1977, as amended, or in material violation of regulation implementing the OECD Convention on Combating Bribery of Foreign Public Officials in International Business Transactions (collectively, the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or (ii) any Person for the purpose of financing the activities of any Person, at the time of such financing (A) subject to, or the subject of, any Sanctions or (B) organized or resident in a Sanctioned Country, in each case as would result in a violation of Sanctions.</w:t>
      </w:r>
    </w:p>
    <w:p>
      <w:pPr>
        <w:spacing w:after="0" w:line="182"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The provisions of the Security Documents are effective to create in favor of the Collateral Agent a legal, valid and enforceable first priority Lien (subject to Liens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7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IV</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06"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firstLine="1042"/>
        <w:spacing w:after="0" w:line="258" w:lineRule="auto"/>
        <w:tabs>
          <w:tab w:leader="none" w:pos="134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Administrative Agent shall have received each of the following documents, each of which shall be satisfactory to the Administrative Agent (and to the extent specified below to each Lender) in form and substance:</w:t>
      </w:r>
    </w:p>
    <w:p>
      <w:pPr>
        <w:spacing w:after="0" w:line="158" w:lineRule="exact"/>
        <w:rPr>
          <w:rFonts w:ascii="Times New Roman" w:cs="Times New Roman" w:eastAsia="Times New Roman" w:hAnsi="Times New Roman"/>
          <w:sz w:val="22"/>
          <w:szCs w:val="22"/>
          <w:color w:val="auto"/>
        </w:rPr>
      </w:pPr>
    </w:p>
    <w:p>
      <w:pPr>
        <w:jc w:val="both"/>
        <w:ind w:left="520" w:firstLine="501"/>
        <w:spacing w:after="0" w:line="244" w:lineRule="auto"/>
        <w:tabs>
          <w:tab w:leader="none" w:pos="127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Executed Counterparts</w:t>
      </w:r>
      <w:r>
        <w:rPr>
          <w:rFonts w:ascii="Times New Roman" w:cs="Times New Roman" w:eastAsia="Times New Roman" w:hAnsi="Times New Roman"/>
          <w:sz w:val="22"/>
          <w:szCs w:val="22"/>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73" w:lineRule="exact"/>
        <w:rPr>
          <w:rFonts w:ascii="Times New Roman" w:cs="Times New Roman" w:eastAsia="Times New Roman" w:hAnsi="Times New Roman"/>
          <w:sz w:val="22"/>
          <w:szCs w:val="22"/>
          <w:color w:val="auto"/>
        </w:rPr>
      </w:pPr>
    </w:p>
    <w:p>
      <w:pPr>
        <w:jc w:val="both"/>
        <w:ind w:left="520" w:firstLine="501"/>
        <w:spacing w:after="0" w:line="238" w:lineRule="auto"/>
        <w:tabs>
          <w:tab w:leader="none" w:pos="134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 of Counsel to the Borrower</w:t>
      </w:r>
      <w:r>
        <w:rPr>
          <w:rFonts w:ascii="Times New Roman" w:cs="Times New Roman" w:eastAsia="Times New Roman" w:hAnsi="Times New Roman"/>
          <w:sz w:val="22"/>
          <w:szCs w:val="22"/>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77" w:lineRule="exact"/>
        <w:rPr>
          <w:rFonts w:ascii="Times New Roman" w:cs="Times New Roman" w:eastAsia="Times New Roman" w:hAnsi="Times New Roman"/>
          <w:sz w:val="22"/>
          <w:szCs w:val="22"/>
          <w:color w:val="auto"/>
        </w:rPr>
      </w:pPr>
    </w:p>
    <w:p>
      <w:pPr>
        <w:jc w:val="both"/>
        <w:ind w:left="520" w:firstLine="501"/>
        <w:spacing w:after="0" w:line="239" w:lineRule="auto"/>
        <w:tabs>
          <w:tab w:leader="none" w:pos="139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Documents</w:t>
      </w:r>
      <w:r>
        <w:rPr>
          <w:rFonts w:ascii="Times New Roman" w:cs="Times New Roman" w:eastAsia="Times New Roman" w:hAnsi="Times New Roman"/>
          <w:sz w:val="22"/>
          <w:szCs w:val="22"/>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80" w:lineRule="exact"/>
        <w:rPr>
          <w:rFonts w:ascii="Times New Roman" w:cs="Times New Roman" w:eastAsia="Times New Roman" w:hAnsi="Times New Roman"/>
          <w:sz w:val="22"/>
          <w:szCs w:val="22"/>
          <w:color w:val="auto"/>
        </w:rPr>
      </w:pPr>
    </w:p>
    <w:p>
      <w:pPr>
        <w:jc w:val="both"/>
        <w:ind w:left="520" w:firstLine="501"/>
        <w:spacing w:after="0" w:line="244" w:lineRule="auto"/>
        <w:tabs>
          <w:tab w:leader="none" w:pos="140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4" w:name="page155"/>
    <w:bookmarkEnd w:id="154"/>
    <w:p>
      <w:pPr>
        <w:jc w:val="both"/>
        <w:ind w:firstLine="1042"/>
        <w:spacing w:after="0" w:line="244" w:lineRule="auto"/>
        <w:tabs>
          <w:tab w:leader="none" w:pos="134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74" w:lineRule="exact"/>
        <w:rPr>
          <w:sz w:val="20"/>
          <w:szCs w:val="20"/>
          <w:color w:val="auto"/>
        </w:rPr>
      </w:pPr>
    </w:p>
    <w:p>
      <w:pPr>
        <w:ind w:right="20"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The obligation of each Lender to make any Loan, and of each Issuing Bank to issue, amend, renew or extend any Letter of Credit, is additionally subject to the satisfaction of the following conditions:</w:t>
      </w:r>
    </w:p>
    <w:p>
      <w:pPr>
        <w:spacing w:after="0" w:line="158" w:lineRule="exact"/>
        <w:rPr>
          <w:sz w:val="20"/>
          <w:szCs w:val="20"/>
          <w:color w:val="auto"/>
        </w:rPr>
      </w:pPr>
    </w:p>
    <w:p>
      <w:pPr>
        <w:jc w:val="both"/>
        <w:ind w:firstLine="1042"/>
        <w:spacing w:after="0" w:line="238" w:lineRule="auto"/>
        <w:tabs>
          <w:tab w:leader="none" w:pos="134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77" w:lineRule="exact"/>
        <w:rPr>
          <w:rFonts w:ascii="Times New Roman" w:cs="Times New Roman" w:eastAsia="Times New Roman" w:hAnsi="Times New Roman"/>
          <w:sz w:val="22"/>
          <w:szCs w:val="22"/>
          <w:color w:val="auto"/>
        </w:rPr>
      </w:pPr>
    </w:p>
    <w:p>
      <w:pPr>
        <w:ind w:firstLine="1042"/>
        <w:spacing w:after="0" w:line="258" w:lineRule="auto"/>
        <w:tabs>
          <w:tab w:leader="none" w:pos="134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Loan or the issuance, amendment, renewal or extension of such Letter of Credit, as applicable, no Default shall have occurred and be continuing; and</w:t>
      </w:r>
    </w:p>
    <w:p>
      <w:pPr>
        <w:spacing w:after="0" w:line="158"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4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82"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06"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74"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and Other Information</w:t>
      </w:r>
      <w:r>
        <w:rPr>
          <w:rFonts w:ascii="Times New Roman" w:cs="Times New Roman" w:eastAsia="Times New Roman" w:hAnsi="Times New Roman"/>
          <w:sz w:val="22"/>
          <w:szCs w:val="22"/>
          <w:color w:val="auto"/>
        </w:rPr>
        <w:t>. The Borrower will furnish to the Administrative Agent and each Lender:</w:t>
      </w:r>
    </w:p>
    <w:p>
      <w:pPr>
        <w:spacing w:after="0" w:line="158" w:lineRule="exact"/>
        <w:rPr>
          <w:sz w:val="20"/>
          <w:szCs w:val="20"/>
          <w:color w:val="auto"/>
        </w:rPr>
      </w:pPr>
    </w:p>
    <w:p>
      <w:pPr>
        <w:jc w:val="both"/>
        <w:ind w:firstLine="1042"/>
        <w:spacing w:after="0" w:line="235" w:lineRule="auto"/>
        <w:tabs>
          <w:tab w:leader="none" w:pos="137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may be fulfilled by providing to the Administrative Agent and the Lenders the report of the Borrower to the SEC on Form 10-K for the applicable fiscal year;</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5" w:name="page156"/>
    <w:bookmarkEnd w:id="155"/>
    <w:p>
      <w:pPr>
        <w:jc w:val="both"/>
        <w:ind w:firstLine="1042"/>
        <w:spacing w:after="0" w:line="234" w:lineRule="auto"/>
        <w:tabs>
          <w:tab w:leader="none" w:pos="137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may be fulfilled by providing to the Lenders the report of the Borrower to the SEC on Form 10-Q for the applicable quarterly period;</w:t>
      </w:r>
    </w:p>
    <w:p>
      <w:pPr>
        <w:spacing w:after="0" w:line="184"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6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any delivery of financial statements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6.07</w:t>
      </w:r>
      <w:r>
        <w:rPr>
          <w:rFonts w:ascii="Times New Roman" w:cs="Times New Roman" w:eastAsia="Times New Roman" w:hAnsi="Times New Roman"/>
          <w:sz w:val="22"/>
          <w:szCs w:val="22"/>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79" w:lineRule="exact"/>
        <w:rPr>
          <w:rFonts w:ascii="Times New Roman" w:cs="Times New Roman" w:eastAsia="Times New Roman" w:hAnsi="Times New Roman"/>
          <w:sz w:val="22"/>
          <w:szCs w:val="22"/>
          <w:color w:val="auto"/>
        </w:rPr>
      </w:pPr>
    </w:p>
    <w:p>
      <w:pPr>
        <w:jc w:val="both"/>
        <w:ind w:firstLine="1042"/>
        <w:spacing w:after="0" w:line="239" w:lineRule="auto"/>
        <w:tabs>
          <w:tab w:leader="none" w:pos="134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w:t>
      </w:r>
    </w:p>
    <w:p>
      <w:pPr>
        <w:spacing w:after="0" w:line="180"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4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no later than five Business Days after the Borrower shall at any time have knowledge that there is a Borrowing Base Deficiency, a Borrowing Base Certificate as at the date the Borrower has knowledge of such Borrowing Base Deficiency indicating the amount of 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177" w:lineRule="exact"/>
        <w:rPr>
          <w:rFonts w:ascii="Times New Roman" w:cs="Times New Roman" w:eastAsia="Times New Roman" w:hAnsi="Times New Roman"/>
          <w:sz w:val="22"/>
          <w:szCs w:val="22"/>
          <w:color w:val="auto"/>
        </w:rPr>
      </w:pPr>
    </w:p>
    <w:p>
      <w:pPr>
        <w:jc w:val="both"/>
        <w:ind w:firstLine="1042"/>
        <w:spacing w:after="0" w:line="239" w:lineRule="auto"/>
        <w:tabs>
          <w:tab w:leader="none" w:pos="13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0" w:lineRule="exact"/>
        <w:rPr>
          <w:rFonts w:ascii="Times New Roman" w:cs="Times New Roman" w:eastAsia="Times New Roman" w:hAnsi="Times New Roman"/>
          <w:sz w:val="22"/>
          <w:szCs w:val="22"/>
          <w:color w:val="auto"/>
        </w:rPr>
      </w:pPr>
    </w:p>
    <w:p>
      <w:pPr>
        <w:jc w:val="both"/>
        <w:ind w:firstLine="1042"/>
        <w:spacing w:after="0" w:line="239" w:lineRule="auto"/>
        <w:tabs>
          <w:tab w:leader="none" w:pos="135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80"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6" w:name="page157"/>
    <w:bookmarkEnd w:id="156"/>
    <w:p>
      <w:pPr>
        <w:jc w:val="both"/>
        <w:ind w:firstLine="1042"/>
        <w:spacing w:after="0" w:line="234" w:lineRule="auto"/>
        <w:tabs>
          <w:tab w:leader="none" w:pos="1315"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and each Lender acknowledge that certain of the Lenders may be Public Lenders and, if documents or notices required to be delivered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otherwise are being distributed through IntraLinks/IntraAgency, SyndTrak or another relevant website or other information platform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of this Agreement).</w:t>
      </w:r>
    </w:p>
    <w:p>
      <w:pPr>
        <w:spacing w:after="0" w:line="180" w:lineRule="exact"/>
        <w:rPr>
          <w:rFonts w:ascii="Times New Roman" w:cs="Times New Roman" w:eastAsia="Times New Roman" w:hAnsi="Times New Roman"/>
          <w:sz w:val="22"/>
          <w:szCs w:val="22"/>
          <w:color w:val="auto"/>
        </w:rPr>
      </w:pPr>
    </w:p>
    <w:p>
      <w:pPr>
        <w:ind w:left="1300" w:hanging="258"/>
        <w:spacing w:after="0"/>
        <w:tabs>
          <w:tab w:leader="none" w:pos="1300"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herein, the requirements to deliver documents set forth in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w:t>
      </w:r>
    </w:p>
    <w:p>
      <w:pPr>
        <w:spacing w:after="0" w:line="25" w:lineRule="exact"/>
        <w:rPr>
          <w:rFonts w:ascii="Times New Roman" w:cs="Times New Roman" w:eastAsia="Times New Roman" w:hAnsi="Times New Roman"/>
          <w:sz w:val="21"/>
          <w:szCs w:val="21"/>
          <w:color w:val="auto"/>
        </w:rPr>
      </w:pPr>
    </w:p>
    <w:p>
      <w:pPr>
        <w:jc w:val="both"/>
        <w:ind w:firstLine="8"/>
        <w:spacing w:after="0" w:line="235" w:lineRule="auto"/>
        <w:tabs>
          <w:tab w:leader="none" w:pos="320" w:val="left"/>
        </w:tabs>
        <w:numPr>
          <w:ilvl w:val="0"/>
          <w:numId w:val="1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will be fulfilled by filing by the Borrower of the applicable documents for public availability on the SEC’s Electronic Data Gathering and Retrieval system;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Borrower shall notify the Administrative Agent (by telecopier or electronic mail) of the posting of any such documents.</w:t>
      </w:r>
    </w:p>
    <w:p>
      <w:pPr>
        <w:spacing w:after="0" w:line="178" w:lineRule="exact"/>
        <w:rPr>
          <w:sz w:val="20"/>
          <w:szCs w:val="20"/>
          <w:color w:val="auto"/>
        </w:rPr>
      </w:pPr>
    </w:p>
    <w:p>
      <w:pPr>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Borrower will furnish to the Administrative Agent and each Lender prompt written notice of the following:</w:t>
      </w:r>
    </w:p>
    <w:p>
      <w:pPr>
        <w:spacing w:after="0" w:line="158" w:lineRule="exact"/>
        <w:rPr>
          <w:sz w:val="20"/>
          <w:szCs w:val="20"/>
          <w:color w:val="auto"/>
        </w:rPr>
      </w:pPr>
    </w:p>
    <w:p>
      <w:pPr>
        <w:ind w:left="1340" w:hanging="298"/>
        <w:spacing w:after="0"/>
        <w:tabs>
          <w:tab w:leader="none" w:pos="13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06"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3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liability of the Borrower and its Subsidiaries in an aggregate amount exceeding $25,000,000; and</w:t>
      </w:r>
    </w:p>
    <w:p>
      <w:pPr>
        <w:spacing w:after="0" w:line="173"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results in, or could reasonably be expected to result in, a Material Adverse Effect.</w:t>
      </w:r>
    </w:p>
    <w:p>
      <w:pPr>
        <w:spacing w:after="0" w:line="206" w:lineRule="exact"/>
        <w:rPr>
          <w:sz w:val="20"/>
          <w:szCs w:val="20"/>
          <w:color w:val="auto"/>
        </w:rPr>
      </w:pPr>
    </w:p>
    <w:p>
      <w:pPr>
        <w:jc w:val="both"/>
        <w:ind w:right="20" w:firstLine="1034"/>
        <w:spacing w:after="0" w:line="244" w:lineRule="auto"/>
        <w:rPr>
          <w:sz w:val="20"/>
          <w:szCs w:val="20"/>
          <w:color w:val="auto"/>
        </w:rPr>
      </w:pPr>
      <w:r>
        <w:rPr>
          <w:rFonts w:ascii="Times New Roman" w:cs="Times New Roman" w:eastAsia="Times New Roman" w:hAnsi="Times New Roman"/>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4"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any merger, consolidation, liquidation or dissolution permitted under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034"/>
        <w:spacing w:after="0" w:line="249"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Payment of Obligations</w:t>
      </w:r>
      <w:r>
        <w:rPr>
          <w:rFonts w:ascii="Times New Roman" w:cs="Times New Roman" w:eastAsia="Times New Roman" w:hAnsi="Times New Roman"/>
          <w:sz w:val="21"/>
          <w:szCs w:val="21"/>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w:t>
      </w:r>
    </w:p>
    <w:p>
      <w:pPr>
        <w:spacing w:after="0" w:line="2" w:lineRule="exact"/>
        <w:rPr>
          <w:sz w:val="20"/>
          <w:szCs w:val="20"/>
          <w:color w:val="auto"/>
        </w:rPr>
      </w:pPr>
    </w:p>
    <w:p>
      <w:pPr>
        <w:jc w:val="both"/>
        <w:ind w:firstLine="8"/>
        <w:spacing w:after="0" w:line="235" w:lineRule="auto"/>
        <w:tabs>
          <w:tab w:leader="none" w:pos="30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7" w:name="page158"/>
    <w:bookmarkEnd w:id="157"/>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7"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Books and Records; Inspection and Audit Rights</w:t>
      </w:r>
      <w:r>
        <w:rPr>
          <w:rFonts w:ascii="Times New Roman" w:cs="Times New Roman" w:eastAsia="Times New Roman" w:hAnsi="Times New Roman"/>
          <w:sz w:val="22"/>
          <w:szCs w:val="22"/>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or such Obligor shall be entitled to have its representatives and advisors present during any inspection of its books and records.</w:t>
      </w:r>
    </w:p>
    <w:p>
      <w:pPr>
        <w:spacing w:after="0" w:line="179" w:lineRule="exact"/>
        <w:rPr>
          <w:sz w:val="20"/>
          <w:szCs w:val="20"/>
          <w:color w:val="auto"/>
        </w:rPr>
      </w:pPr>
    </w:p>
    <w:p>
      <w:pPr>
        <w:jc w:val="both"/>
        <w:ind w:firstLine="1034"/>
        <w:spacing w:after="0" w:line="236"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Certain Obligations Respecting Subsidiaries; Further Assurances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6" w:lineRule="auto"/>
        <w:tabs>
          <w:tab w:leader="none" w:pos="13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Subsidiary Guarantors</w:t>
      </w:r>
      <w:r>
        <w:rPr>
          <w:rFonts w:ascii="Times New Roman" w:cs="Times New Roman" w:eastAsia="Times New Roman" w:hAnsi="Times New Roman"/>
          <w:sz w:val="22"/>
          <w:szCs w:val="22"/>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upon the Effective Date or as the Administrative Agent shall have requested.</w:t>
      </w:r>
    </w:p>
    <w:p>
      <w:pPr>
        <w:spacing w:after="0" w:line="182" w:lineRule="exact"/>
        <w:rPr>
          <w:rFonts w:ascii="Times New Roman" w:cs="Times New Roman" w:eastAsia="Times New Roman" w:hAnsi="Times New Roman"/>
          <w:sz w:val="22"/>
          <w:szCs w:val="22"/>
          <w:color w:val="auto"/>
        </w:rPr>
      </w:pPr>
    </w:p>
    <w:p>
      <w:pPr>
        <w:ind w:firstLine="1042"/>
        <w:spacing w:after="0" w:line="258" w:lineRule="auto"/>
        <w:tabs>
          <w:tab w:leader="none" w:pos="135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The Borrower will, and will cause each of its Subsidiaries to, take such action from time to time as shall be necessary to ensure that each of its Subsidiaries is a wholly owned Subsidiary.</w:t>
      </w:r>
    </w:p>
    <w:p>
      <w:pPr>
        <w:spacing w:after="0" w:line="158" w:lineRule="exact"/>
        <w:rPr>
          <w:rFonts w:ascii="Times New Roman" w:cs="Times New Roman" w:eastAsia="Times New Roman" w:hAnsi="Times New Roman"/>
          <w:sz w:val="22"/>
          <w:szCs w:val="22"/>
          <w:color w:val="auto"/>
        </w:rPr>
      </w:pPr>
    </w:p>
    <w:p>
      <w:pPr>
        <w:jc w:val="both"/>
        <w:ind w:firstLine="1042"/>
        <w:spacing w:after="0" w:line="234" w:lineRule="auto"/>
        <w:tabs>
          <w:tab w:leader="none" w:pos="132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security interest or Lien shall be subject to the relevant requirements of the Security Documents, (ii) in the case of any Portfolio Investment consisting of a Bank Loan (as defined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8" w:name="page159"/>
    <w:bookmarkEnd w:id="158"/>
    <w:p>
      <w:pPr>
        <w:jc w:val="both"/>
        <w:spacing w:after="0" w:line="233" w:lineRule="auto"/>
        <w:rPr>
          <w:sz w:val="20"/>
          <w:szCs w:val="20"/>
          <w:color w:val="auto"/>
        </w:rPr>
      </w:pPr>
      <w:r>
        <w:rPr>
          <w:rFonts w:ascii="Times New Roman" w:cs="Times New Roman" w:eastAsia="Times New Roman" w:hAnsi="Times New Roman"/>
          <w:sz w:val="22"/>
          <w:szCs w:val="22"/>
          <w:color w:val="auto"/>
        </w:rPr>
        <w:t>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84"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3.16</w:t>
      </w:r>
      <w:r>
        <w:rPr>
          <w:rFonts w:ascii="Times New Roman" w:cs="Times New Roman" w:eastAsia="Times New Roman" w:hAnsi="Times New Roman"/>
          <w:sz w:val="22"/>
          <w:szCs w:val="22"/>
          <w:color w:val="auto"/>
        </w:rPr>
        <w:t>. Margin Stock shall be purchased by the Obligors only with the proceeds of Indebtedness not directly or indirectly secured by Margin Stock, or with the proceeds of equity capital of the Borrower.</w:t>
      </w:r>
    </w:p>
    <w:p>
      <w:pPr>
        <w:spacing w:after="0" w:line="179"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Status of RIC and BDC</w:t>
      </w:r>
      <w:r>
        <w:rPr>
          <w:rFonts w:ascii="Times New Roman" w:cs="Times New Roman" w:eastAsia="Times New Roman" w:hAnsi="Times New Roman"/>
          <w:sz w:val="22"/>
          <w:szCs w:val="22"/>
          <w:color w:val="auto"/>
        </w:rPr>
        <w:t>. The Borrower shall at all times, subject to applicable grace periods set forth in the Code, maintain its status as a RIC under the Code, and as a “business development company” under the Investment Company Act.</w:t>
      </w:r>
    </w:p>
    <w:p>
      <w:pPr>
        <w:spacing w:after="0" w:line="174"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The Borrower shall at all times be in compliance in all material respects with its Investment Policies (after giving effect to any Permitted Policy Amendments).</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Portfolio Valuation and Diversification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6" w:lineRule="auto"/>
        <w:tabs>
          <w:tab w:leader="none" w:pos="1382"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Industry Classification Groups</w:t>
      </w:r>
      <w:r>
        <w:rPr>
          <w:rFonts w:ascii="Times New Roman" w:cs="Times New Roman" w:eastAsia="Times New Roman" w:hAnsi="Times New Roman"/>
          <w:sz w:val="22"/>
          <w:szCs w:val="22"/>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82"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Portfolio Valuation Etc</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520" w:firstLine="501"/>
        <w:spacing w:after="0" w:line="239" w:lineRule="auto"/>
        <w:tabs>
          <w:tab w:leader="none" w:pos="1313"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 Basis</w:t>
      </w:r>
      <w:r>
        <w:rPr>
          <w:rFonts w:ascii="Times New Roman" w:cs="Times New Roman" w:eastAsia="Times New Roman" w:hAnsi="Times New Roman"/>
          <w:sz w:val="22"/>
          <w:szCs w:val="22"/>
          <w:color w:val="auto"/>
        </w:rPr>
        <w:t>.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9" w:name="page160"/>
    <w:bookmarkEnd w:id="159"/>
    <w:p>
      <w:pPr>
        <w:spacing w:after="0" w:line="258" w:lineRule="auto"/>
        <w:rPr>
          <w:sz w:val="20"/>
          <w:szCs w:val="20"/>
          <w:color w:val="auto"/>
        </w:rPr>
      </w:pPr>
      <w:r>
        <w:rPr>
          <w:rFonts w:ascii="Times New Roman" w:cs="Times New Roman" w:eastAsia="Times New Roman" w:hAnsi="Times New Roman"/>
          <w:sz w:val="22"/>
          <w:szCs w:val="22"/>
          <w:color w:val="auto"/>
        </w:rPr>
        <w:t xml:space="preserve">Portfolio Investment until such sale has settled);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investment shall be included as a Portfolio Investment to the extent it has not been paid for in full.</w:t>
      </w:r>
    </w:p>
    <w:p>
      <w:pPr>
        <w:spacing w:after="0" w:line="158" w:lineRule="exact"/>
        <w:rPr>
          <w:sz w:val="20"/>
          <w:szCs w:val="20"/>
          <w:color w:val="auto"/>
        </w:rPr>
      </w:pPr>
    </w:p>
    <w:p>
      <w:pPr>
        <w:ind w:firstLine="501"/>
        <w:spacing w:after="0" w:line="258" w:lineRule="auto"/>
        <w:tabs>
          <w:tab w:leader="none" w:pos="82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Values</w:t>
      </w:r>
      <w:r>
        <w:rPr>
          <w:rFonts w:ascii="Times New Roman" w:cs="Times New Roman" w:eastAsia="Times New Roman" w:hAnsi="Times New Roman"/>
          <w:sz w:val="22"/>
          <w:szCs w:val="22"/>
          <w:color w:val="auto"/>
        </w:rPr>
        <w:t>. The Borrower will conduct reviews of the value to be assigned to each of its Portfolio Investments as follows:</w:t>
      </w:r>
    </w:p>
    <w:p>
      <w:pPr>
        <w:spacing w:after="0" w:line="158" w:lineRule="exact"/>
        <w:rPr>
          <w:rFonts w:ascii="Times New Roman" w:cs="Times New Roman" w:eastAsia="Times New Roman" w:hAnsi="Times New Roman"/>
          <w:sz w:val="22"/>
          <w:szCs w:val="22"/>
          <w:color w:val="auto"/>
        </w:rPr>
      </w:pPr>
    </w:p>
    <w:p>
      <w:pPr>
        <w:jc w:val="both"/>
        <w:ind w:left="520" w:firstLine="473"/>
        <w:spacing w:after="0" w:line="239" w:lineRule="auto"/>
        <w:tabs>
          <w:tab w:leader="none" w:pos="1439"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Quoted Investments - External Review</w:t>
      </w:r>
      <w:r>
        <w:rPr>
          <w:rFonts w:ascii="Times New Roman" w:cs="Times New Roman" w:eastAsia="Times New Roman" w:hAnsi="Times New Roman"/>
          <w:sz w:val="22"/>
          <w:szCs w:val="22"/>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80" w:lineRule="exact"/>
        <w:rPr>
          <w:rFonts w:ascii="Times New Roman" w:cs="Times New Roman" w:eastAsia="Times New Roman" w:hAnsi="Times New Roman"/>
          <w:sz w:val="22"/>
          <w:szCs w:val="22"/>
          <w:color w:val="auto"/>
        </w:rPr>
      </w:pPr>
    </w:p>
    <w:p>
      <w:pPr>
        <w:ind w:left="1040" w:firstLine="447"/>
        <w:spacing w:after="0" w:line="258" w:lineRule="auto"/>
        <w:tabs>
          <w:tab w:leader="none" w:pos="1850"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public and 144A securities, the average of the bid prices as determined by two Approved Dealers selected by the Borrower,</w:t>
      </w:r>
    </w:p>
    <w:p>
      <w:pPr>
        <w:spacing w:after="0" w:line="158" w:lineRule="exact"/>
        <w:rPr>
          <w:rFonts w:ascii="Times New Roman" w:cs="Times New Roman" w:eastAsia="Times New Roman" w:hAnsi="Times New Roman"/>
          <w:sz w:val="22"/>
          <w:szCs w:val="22"/>
          <w:color w:val="auto"/>
        </w:rPr>
      </w:pPr>
    </w:p>
    <w:p>
      <w:pPr>
        <w:ind w:left="1800" w:hanging="313"/>
        <w:spacing w:after="0"/>
        <w:tabs>
          <w:tab w:leader="none" w:pos="1800"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bank loans, the bid price as determined by one Approved Dealer selected by the Borrower,</w:t>
      </w:r>
    </w:p>
    <w:p>
      <w:pPr>
        <w:spacing w:after="0" w:line="217" w:lineRule="exact"/>
        <w:rPr>
          <w:rFonts w:ascii="Times New Roman" w:cs="Times New Roman" w:eastAsia="Times New Roman" w:hAnsi="Times New Roman"/>
          <w:sz w:val="21"/>
          <w:szCs w:val="21"/>
          <w:color w:val="auto"/>
        </w:rPr>
      </w:pPr>
    </w:p>
    <w:p>
      <w:pPr>
        <w:ind w:left="1040" w:firstLine="447"/>
        <w:spacing w:after="0" w:line="258" w:lineRule="auto"/>
        <w:tabs>
          <w:tab w:leader="none" w:pos="1832"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Portfolio Investment traded on an exchange, the closing price for such Portfolio Investment most recently posted on such exchange, and</w:t>
      </w:r>
    </w:p>
    <w:p>
      <w:pPr>
        <w:spacing w:after="0" w:line="158" w:lineRule="exact"/>
        <w:rPr>
          <w:rFonts w:ascii="Times New Roman" w:cs="Times New Roman" w:eastAsia="Times New Roman" w:hAnsi="Times New Roman"/>
          <w:sz w:val="22"/>
          <w:szCs w:val="22"/>
          <w:color w:val="auto"/>
        </w:rPr>
      </w:pPr>
    </w:p>
    <w:p>
      <w:pPr>
        <w:ind w:left="1040" w:right="20" w:firstLine="447"/>
        <w:spacing w:after="0" w:line="258" w:lineRule="auto"/>
        <w:tabs>
          <w:tab w:leader="none" w:pos="1835" w:val="left"/>
        </w:tabs>
        <w:numPr>
          <w:ilvl w:val="2"/>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other Portfolio Investment, the fair market value thereof as determined by an Approved Pricing Service; and</w:t>
      </w:r>
    </w:p>
    <w:p>
      <w:pPr>
        <w:spacing w:after="0" w:line="158" w:lineRule="exact"/>
        <w:rPr>
          <w:rFonts w:ascii="Times New Roman" w:cs="Times New Roman" w:eastAsia="Times New Roman" w:hAnsi="Times New Roman"/>
          <w:sz w:val="22"/>
          <w:szCs w:val="22"/>
          <w:color w:val="auto"/>
        </w:rPr>
      </w:pPr>
    </w:p>
    <w:p>
      <w:pPr>
        <w:jc w:val="both"/>
        <w:ind w:left="520" w:firstLine="473"/>
        <w:spacing w:after="0" w:line="251" w:lineRule="auto"/>
        <w:tabs>
          <w:tab w:leader="none" w:pos="1374"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Unquoted Investments- External Review</w:t>
      </w:r>
      <w:r>
        <w:rPr>
          <w:rFonts w:ascii="Times New Roman" w:cs="Times New Roman" w:eastAsia="Times New Roman" w:hAnsi="Times New Roman"/>
          <w:sz w:val="21"/>
          <w:szCs w:val="21"/>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cs="Times New Roman" w:eastAsia="Times New Roman" w:hAnsi="Times New Roman"/>
          <w:sz w:val="21"/>
          <w:szCs w:val="21"/>
          <w:u w:val="single" w:color="auto"/>
          <w:color w:val="auto"/>
        </w:rPr>
        <w:t>Testing Quarter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68" w:lineRule="exact"/>
        <w:rPr>
          <w:rFonts w:ascii="Times New Roman" w:cs="Times New Roman" w:eastAsia="Times New Roman" w:hAnsi="Times New Roman"/>
          <w:sz w:val="21"/>
          <w:szCs w:val="21"/>
          <w:color w:val="auto"/>
        </w:rPr>
      </w:pPr>
    </w:p>
    <w:p>
      <w:pPr>
        <w:jc w:val="both"/>
        <w:ind w:left="1040" w:firstLine="447"/>
        <w:spacing w:after="0" w:line="238" w:lineRule="auto"/>
        <w:tabs>
          <w:tab w:leader="none" w:pos="1804"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xml:space="preserve"> as at the last day of the next succeeding Testing Quarter with respect to such Portfolio Investment;</w:t>
      </w:r>
    </w:p>
    <w:p>
      <w:pPr>
        <w:spacing w:after="0" w:line="177" w:lineRule="exact"/>
        <w:rPr>
          <w:rFonts w:ascii="Times New Roman" w:cs="Times New Roman" w:eastAsia="Times New Roman" w:hAnsi="Times New Roman"/>
          <w:sz w:val="22"/>
          <w:szCs w:val="22"/>
          <w:color w:val="auto"/>
        </w:rPr>
      </w:pPr>
    </w:p>
    <w:p>
      <w:pPr>
        <w:jc w:val="both"/>
        <w:ind w:left="1040" w:firstLine="447"/>
        <w:spacing w:after="0" w:line="234" w:lineRule="auto"/>
        <w:tabs>
          <w:tab w:leader="none" w:pos="1800"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74295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544" w:right="239" w:bottom="1440" w:gutter="0" w:footer="0" w:header="0"/>
        </w:sectPr>
      </w:pPr>
    </w:p>
    <w:bookmarkStart w:id="160" w:name="page161"/>
    <w:bookmarkEnd w:id="160"/>
    <w:p>
      <w:pPr>
        <w:jc w:val="both"/>
        <w:ind w:left="520" w:firstLine="447"/>
        <w:spacing w:after="0" w:line="244" w:lineRule="auto"/>
        <w:tabs>
          <w:tab w:leader="none" w:pos="1272"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173" w:lineRule="exact"/>
        <w:rPr>
          <w:rFonts w:ascii="Times New Roman" w:cs="Times New Roman" w:eastAsia="Times New Roman" w:hAnsi="Times New Roman"/>
          <w:sz w:val="22"/>
          <w:szCs w:val="22"/>
          <w:color w:val="auto"/>
        </w:rPr>
      </w:pPr>
    </w:p>
    <w:p>
      <w:pPr>
        <w:jc w:val="both"/>
        <w:ind w:firstLine="473"/>
        <w:spacing w:after="0" w:line="234" w:lineRule="auto"/>
        <w:tabs>
          <w:tab w:leader="none" w:pos="81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Review</w:t>
      </w:r>
      <w:r>
        <w:rPr>
          <w:rFonts w:ascii="Times New Roman" w:cs="Times New Roman" w:eastAsia="Times New Roman" w:hAnsi="Times New Roman"/>
          <w:sz w:val="22"/>
          <w:szCs w:val="22"/>
          <w:color w:val="auto"/>
        </w:rPr>
        <w:t xml:space="preserve">.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 </w:t>
      </w:r>
      <w:r>
        <w:rPr>
          <w:rFonts w:ascii="Times New Roman" w:cs="Times New Roman" w:eastAsia="Times New Roman" w:hAnsi="Times New Roman"/>
          <w:sz w:val="22"/>
          <w:szCs w:val="22"/>
          <w:u w:val="single" w:color="auto"/>
          <w:color w:val="auto"/>
        </w:rPr>
        <w:t>Section 5.12(b)(ii)(C)</w:t>
      </w:r>
      <w:r>
        <w:rPr>
          <w:rFonts w:ascii="Times New Roman" w:cs="Times New Roman" w:eastAsia="Times New Roman" w:hAnsi="Times New Roman"/>
          <w:sz w:val="22"/>
          <w:szCs w:val="22"/>
          <w:color w:val="auto"/>
        </w:rPr>
        <w:t xml:space="preserve"> is lower than the value of such Portfolio Investment as most recently determined pursuant to </w:t>
      </w:r>
      <w:r>
        <w:rPr>
          <w:rFonts w:ascii="Times New Roman" w:cs="Times New Roman" w:eastAsia="Times New Roman" w:hAnsi="Times New Roman"/>
          <w:sz w:val="22"/>
          <w:szCs w:val="22"/>
          <w:u w:val="single" w:color="auto"/>
          <w:color w:val="auto"/>
        </w:rPr>
        <w:t>Section 5.12(b)(ii)(A)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such lower value shall be deemed to be the “Value” of such Portfolio Investment for purposes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76" w:lineRule="exact"/>
        <w:rPr>
          <w:rFonts w:ascii="Times New Roman" w:cs="Times New Roman" w:eastAsia="Times New Roman" w:hAnsi="Times New Roman"/>
          <w:sz w:val="22"/>
          <w:szCs w:val="22"/>
          <w:color w:val="auto"/>
        </w:rPr>
      </w:pPr>
    </w:p>
    <w:p>
      <w:pPr>
        <w:jc w:val="both"/>
        <w:ind w:firstLine="473"/>
        <w:spacing w:after="0" w:line="244" w:lineRule="auto"/>
        <w:tabs>
          <w:tab w:leader="none" w:pos="82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Determine Values</w:t>
      </w:r>
      <w:r>
        <w:rPr>
          <w:rFonts w:ascii="Times New Roman" w:cs="Times New Roman" w:eastAsia="Times New Roman" w:hAnsi="Times New Roman"/>
          <w:sz w:val="22"/>
          <w:szCs w:val="22"/>
          <w:color w:val="auto"/>
        </w:rPr>
        <w:t xml:space="preserve">. If the Borrower shall fail to (x) determine the value of any Portfolio Investment as at any date pursuant to the requirements of the foregoing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then the “Value” of such Portfolio Investment as at such date shall be deemed to be zero.</w:t>
      </w:r>
    </w:p>
    <w:p>
      <w:pPr>
        <w:spacing w:after="0" w:line="173" w:lineRule="exact"/>
        <w:rPr>
          <w:rFonts w:ascii="Times New Roman" w:cs="Times New Roman" w:eastAsia="Times New Roman" w:hAnsi="Times New Roman"/>
          <w:sz w:val="22"/>
          <w:szCs w:val="22"/>
          <w:color w:val="auto"/>
        </w:rPr>
      </w:pPr>
    </w:p>
    <w:p>
      <w:pPr>
        <w:ind w:left="800" w:hanging="327"/>
        <w:spacing w:after="0"/>
        <w:tabs>
          <w:tab w:leader="none" w:pos="8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Testing of Values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520" w:firstLine="447"/>
        <w:spacing w:after="0" w:line="235" w:lineRule="auto"/>
        <w:tabs>
          <w:tab w:leader="none" w:pos="1282"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second calendar month immediately following the end of each fiscal quarter (the last such fiscal quarter is referred to herein as, the “</w:t>
      </w:r>
      <w:r>
        <w:rPr>
          <w:rFonts w:ascii="Times New Roman" w:cs="Times New Roman" w:eastAsia="Times New Roman" w:hAnsi="Times New Roman"/>
          <w:sz w:val="22"/>
          <w:szCs w:val="22"/>
          <w:u w:val="single" w:color="auto"/>
          <w:color w:val="auto"/>
        </w:rPr>
        <w:t>Testing Period</w:t>
      </w:r>
      <w:r>
        <w:rPr>
          <w:rFonts w:ascii="Times New Roman" w:cs="Times New Roman" w:eastAsia="Times New Roman" w:hAnsi="Times New Roman"/>
          <w:sz w:val="22"/>
          <w:szCs w:val="22"/>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 w:cs="Times New Roman" w:eastAsia="Times New Roman" w:hAnsi="Times New Roman"/>
          <w:sz w:val="22"/>
          <w:szCs w:val="22"/>
          <w:u w:val="single" w:color="auto"/>
          <w:color w:val="auto"/>
        </w:rPr>
        <w:t>sub-clause (F)</w:t>
      </w:r>
      <w:r>
        <w:rPr>
          <w:rFonts w:ascii="Times New Roman" w:cs="Times New Roman" w:eastAsia="Times New Roman" w:hAnsi="Times New Roman"/>
          <w:sz w:val="22"/>
          <w:szCs w:val="22"/>
          <w:color w:val="auto"/>
        </w:rPr>
        <w:t xml:space="preserve"> below.</w:t>
      </w:r>
    </w:p>
    <w:p>
      <w:pPr>
        <w:spacing w:after="0" w:line="183" w:lineRule="exact"/>
        <w:rPr>
          <w:rFonts w:ascii="Times New Roman" w:cs="Times New Roman" w:eastAsia="Times New Roman" w:hAnsi="Times New Roman"/>
          <w:sz w:val="22"/>
          <w:szCs w:val="22"/>
          <w:color w:val="auto"/>
        </w:rPr>
      </w:pPr>
    </w:p>
    <w:p>
      <w:pPr>
        <w:jc w:val="both"/>
        <w:ind w:left="520" w:firstLine="447"/>
        <w:spacing w:after="0" w:line="233" w:lineRule="auto"/>
        <w:tabs>
          <w:tab w:leader="none" w:pos="1321"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Appraisal Testing Period</w:t>
      </w:r>
      <w:r>
        <w:rPr>
          <w:rFonts w:ascii="Times New Roman" w:cs="Times New Roman" w:eastAsia="Times New Roman" w:hAnsi="Times New Roman"/>
          <w:sz w:val="22"/>
          <w:szCs w:val="22"/>
          <w:color w:val="auto"/>
        </w:rPr>
        <w:t>”) and would be reflected in the Borrowing Base Certificate for such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Approved Third-Party Appraiser delivers such valuation at least seven (7) Business Days before the 20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74295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80"/>
          </w:cols>
          <w:pgMar w:left="1280" w:top="544" w:right="239" w:bottom="1440" w:gutter="0" w:footer="0" w:header="0"/>
        </w:sectPr>
      </w:pPr>
    </w:p>
    <w:bookmarkStart w:id="161" w:name="page162"/>
    <w:bookmarkEnd w:id="161"/>
    <w:p>
      <w:pPr>
        <w:ind w:left="1560"/>
        <w:spacing w:after="0" w:line="258" w:lineRule="auto"/>
        <w:rPr>
          <w:sz w:val="20"/>
          <w:szCs w:val="20"/>
          <w:color w:val="auto"/>
        </w:rPr>
      </w:pPr>
      <w:r>
        <w:rPr>
          <w:rFonts w:ascii="Times New Roman" w:cs="Times New Roman" w:eastAsia="Times New Roman" w:hAnsi="Times New Roman"/>
          <w:sz w:val="22"/>
          <w:szCs w:val="22"/>
          <w:color w:val="auto"/>
        </w:rPr>
        <w:t>February, or (yy) if such valuations were received after such time, they would be included in the April 20, 2013 Borrowing Base Certificate for the month of March.</w:t>
      </w:r>
    </w:p>
    <w:p>
      <w:pPr>
        <w:spacing w:after="0" w:line="158" w:lineRule="exact"/>
        <w:rPr>
          <w:sz w:val="20"/>
          <w:szCs w:val="20"/>
          <w:color w:val="auto"/>
        </w:rPr>
      </w:pPr>
    </w:p>
    <w:p>
      <w:pPr>
        <w:ind w:left="1560"/>
        <w:spacing w:after="0" w:line="258" w:lineRule="auto"/>
        <w:rPr>
          <w:sz w:val="20"/>
          <w:szCs w:val="20"/>
          <w:color w:val="auto"/>
        </w:rPr>
      </w:pPr>
      <w:r>
        <w:rPr>
          <w:rFonts w:ascii="Times New Roman" w:cs="Times New Roman" w:eastAsia="Times New Roman" w:hAnsi="Times New Roman"/>
          <w:sz w:val="22"/>
          <w:szCs w:val="22"/>
          <w:color w:val="auto"/>
        </w:rPr>
        <w:t xml:space="preserve">For the avoidance of doubt, all calculations of value pursuant to this </w:t>
      </w:r>
      <w:r>
        <w:rPr>
          <w:rFonts w:ascii="Times New Roman" w:cs="Times New Roman" w:eastAsia="Times New Roman" w:hAnsi="Times New Roman"/>
          <w:sz w:val="22"/>
          <w:szCs w:val="22"/>
          <w:u w:val="single" w:color="auto"/>
          <w:color w:val="auto"/>
        </w:rPr>
        <w:t>Section 5.12(b)(ii)(E)</w:t>
      </w:r>
      <w:r>
        <w:rPr>
          <w:rFonts w:ascii="Times New Roman" w:cs="Times New Roman" w:eastAsia="Times New Roman" w:hAnsi="Times New Roman"/>
          <w:sz w:val="22"/>
          <w:szCs w:val="22"/>
          <w:color w:val="auto"/>
        </w:rPr>
        <w:t xml:space="preserve"> shall be determined without application of the Advance Rates.</w:t>
      </w:r>
    </w:p>
    <w:p>
      <w:pPr>
        <w:spacing w:after="0" w:line="158" w:lineRule="exact"/>
        <w:rPr>
          <w:sz w:val="20"/>
          <w:szCs w:val="20"/>
          <w:color w:val="auto"/>
        </w:rPr>
      </w:pPr>
    </w:p>
    <w:p>
      <w:pPr>
        <w:jc w:val="both"/>
        <w:ind w:left="1040" w:firstLine="473"/>
        <w:spacing w:after="0" w:line="233" w:lineRule="auto"/>
        <w:tabs>
          <w:tab w:leader="none" w:pos="1856"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Valuation Dispute Resolution</w:t>
      </w:r>
      <w:r>
        <w:rPr>
          <w:rFonts w:ascii="Times New Roman" w:cs="Times New Roman" w:eastAsia="Times New Roman" w:hAnsi="Times New Roman"/>
          <w:sz w:val="22"/>
          <w:szCs w:val="22"/>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 xml:space="preserve"> and the valuation of any Approved Third-Party Appraiser selected by the Administrative Agent pursuant to </w:t>
      </w:r>
      <w:r>
        <w:rPr>
          <w:rFonts w:ascii="Times New Roman" w:cs="Times New Roman" w:eastAsia="Times New Roman" w:hAnsi="Times New Roman"/>
          <w:sz w:val="22"/>
          <w:szCs w:val="22"/>
          <w:u w:val="single" w:color="auto"/>
          <w:color w:val="auto"/>
        </w:rPr>
        <w:t>Section 5.12(b)(ii)(E)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86"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6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RIC Diversification Requirements</w:t>
      </w:r>
      <w:r>
        <w:rPr>
          <w:rFonts w:ascii="Times New Roman" w:cs="Times New Roman" w:eastAsia="Times New Roman" w:hAnsi="Times New Roman"/>
          <w:sz w:val="22"/>
          <w:szCs w:val="22"/>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74"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Calculation of Borrowing Base</w:t>
      </w:r>
      <w:r>
        <w:rPr>
          <w:rFonts w:ascii="Times New Roman" w:cs="Times New Roman" w:eastAsia="Times New Roman" w:hAnsi="Times New Roman"/>
          <w:sz w:val="22"/>
          <w:szCs w:val="22"/>
          <w:color w:val="auto"/>
        </w:rPr>
        <w:t>. For purposes of this Agreement, the “</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xml:space="preserve">” shall be determined, as at any date of determination, as the sum of the Advance Rates of the Value of each Portfolio Investment (excluding any Cash Collateral held by the Administrative Agent pursuant to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xml:space="preserve"> or the last paragraph of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1" w:lineRule="exact"/>
        <w:rPr>
          <w:sz w:val="20"/>
          <w:szCs w:val="20"/>
          <w:color w:val="auto"/>
        </w:rPr>
      </w:pPr>
    </w:p>
    <w:p>
      <w:pPr>
        <w:jc w:val="both"/>
        <w:ind w:firstLine="1042"/>
        <w:spacing w:after="0" w:line="239" w:lineRule="auto"/>
        <w:tabs>
          <w:tab w:leader="none" w:pos="1345"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Advance Rate applicable to that portion of the aggregate Value of the Portfolio Investments of all issuers in a consolidated group of corporations or other entities (collectively, a “</w:t>
      </w:r>
      <w:r>
        <w:rPr>
          <w:rFonts w:ascii="Times New Roman" w:cs="Times New Roman" w:eastAsia="Times New Roman" w:hAnsi="Times New Roman"/>
          <w:sz w:val="22"/>
          <w:szCs w:val="22"/>
          <w:u w:val="single" w:color="auto"/>
          <w:color w:val="auto"/>
        </w:rPr>
        <w:t>Consolidated Group</w:t>
      </w:r>
      <w:r>
        <w:rPr>
          <w:rFonts w:ascii="Times New Roman" w:cs="Times New Roman" w:eastAsia="Times New Roman" w:hAnsi="Times New Roman"/>
          <w:sz w:val="22"/>
          <w:szCs w:val="22"/>
          <w:color w:val="auto"/>
        </w:rPr>
        <w:t>”), in accordance with GAAP, that exceeds 6% of the aggregate Value of all Portfolio Investments in the Collateral Pool as of the end of the most recent quarter shall be 50% of the Advance Rate otherwise applicable;</w:t>
      </w:r>
    </w:p>
    <w:p>
      <w:pPr>
        <w:spacing w:after="0" w:line="180"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5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73"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6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2" w:name="page163"/>
    <w:bookmarkEnd w:id="162"/>
    <w:p>
      <w:pPr>
        <w:jc w:val="both"/>
        <w:ind w:firstLine="1042"/>
        <w:spacing w:after="0" w:line="239" w:lineRule="auto"/>
        <w:tabs>
          <w:tab w:leader="none" w:pos="13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0" w:lineRule="exact"/>
        <w:rPr>
          <w:rFonts w:ascii="Times New Roman" w:cs="Times New Roman" w:eastAsia="Times New Roman" w:hAnsi="Times New Roman"/>
          <w:sz w:val="22"/>
          <w:szCs w:val="22"/>
          <w:color w:val="auto"/>
        </w:rPr>
      </w:pPr>
    </w:p>
    <w:p>
      <w:pPr>
        <w:ind w:firstLine="1042"/>
        <w:spacing w:after="0" w:line="258" w:lineRule="auto"/>
        <w:tabs>
          <w:tab w:leader="none" w:pos="132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58" w:lineRule="exact"/>
        <w:rPr>
          <w:rFonts w:ascii="Times New Roman" w:cs="Times New Roman" w:eastAsia="Times New Roman" w:hAnsi="Times New Roman"/>
          <w:sz w:val="22"/>
          <w:szCs w:val="22"/>
          <w:color w:val="auto"/>
        </w:rPr>
      </w:pPr>
    </w:p>
    <w:p>
      <w:pPr>
        <w:ind w:firstLine="1042"/>
        <w:spacing w:after="0" w:line="258" w:lineRule="auto"/>
        <w:tabs>
          <w:tab w:leader="none" w:pos="131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Equity Interests shall not exceed 10% (it being understood that in no event shall Equity Interests of Financing Subsidiaries be included in the Borrowing Base);</w:t>
      </w:r>
    </w:p>
    <w:p>
      <w:pPr>
        <w:spacing w:after="0" w:line="158" w:lineRule="exact"/>
        <w:rPr>
          <w:rFonts w:ascii="Times New Roman" w:cs="Times New Roman" w:eastAsia="Times New Roman" w:hAnsi="Times New Roman"/>
          <w:sz w:val="22"/>
          <w:szCs w:val="22"/>
          <w:color w:val="auto"/>
        </w:rPr>
      </w:pPr>
    </w:p>
    <w:p>
      <w:pPr>
        <w:jc w:val="both"/>
        <w:ind w:right="20" w:firstLine="1042"/>
        <w:spacing w:after="0" w:line="244" w:lineRule="auto"/>
        <w:tabs>
          <w:tab w:leader="none" w:pos="135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and</w:t>
      </w:r>
    </w:p>
    <w:p>
      <w:pPr>
        <w:spacing w:after="0" w:line="173" w:lineRule="exact"/>
        <w:rPr>
          <w:rFonts w:ascii="Times New Roman" w:cs="Times New Roman" w:eastAsia="Times New Roman" w:hAnsi="Times New Roman"/>
          <w:sz w:val="22"/>
          <w:szCs w:val="22"/>
          <w:color w:val="auto"/>
        </w:rPr>
      </w:pPr>
    </w:p>
    <w:p>
      <w:pPr>
        <w:jc w:val="both"/>
        <w:ind w:firstLine="1042"/>
        <w:spacing w:after="0" w:line="262" w:lineRule="auto"/>
        <w:tabs>
          <w:tab w:leader="none" w:pos="1348"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5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As used herein, the following terms have the following meanings:</w:t>
      </w:r>
    </w:p>
    <w:p>
      <w:pPr>
        <w:spacing w:after="0" w:line="206" w:lineRule="exact"/>
        <w:rPr>
          <w:sz w:val="20"/>
          <w:szCs w:val="20"/>
          <w:color w:val="auto"/>
        </w:rPr>
      </w:pPr>
    </w:p>
    <w:p>
      <w:pPr>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w:t>
      </w:r>
      <w:r>
        <w:rPr>
          <w:rFonts w:ascii="Times New Roman" w:cs="Times New Roman" w:eastAsia="Times New Roman" w:hAnsi="Times New Roman"/>
          <w:sz w:val="22"/>
          <w:szCs w:val="22"/>
          <w:color w:val="auto"/>
        </w:rPr>
        <w:t xml:space="preserve">” means, as to any Portfolio Investment and subject to adjustment as provided in </w:t>
      </w:r>
      <w:r>
        <w:rPr>
          <w:rFonts w:ascii="Times New Roman" w:cs="Times New Roman" w:eastAsia="Times New Roman" w:hAnsi="Times New Roman"/>
          <w:sz w:val="22"/>
          <w:szCs w:val="22"/>
          <w:u w:val="single" w:color="auto"/>
          <w:color w:val="auto"/>
        </w:rPr>
        <w:t>Section 5.13(a)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the following percentages with respect to such Portfolio Investment:</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w w:val="96"/>
              </w:rPr>
              <w:t>Portfolio Investment</w:t>
            </w:r>
          </w:p>
        </w:tc>
        <w:tc>
          <w:tcPr>
            <w:tcW w:w="1460" w:type="dxa"/>
            <w:vAlign w:val="bottom"/>
          </w:tcPr>
          <w:p>
            <w:pPr>
              <w:spacing w:after="0"/>
              <w:rPr>
                <w:sz w:val="22"/>
                <w:szCs w:val="22"/>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Quoted</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w w:val="96"/>
              </w:rPr>
              <w:t>Unquoted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Cash, Cash Equivalents and</w:t>
            </w:r>
          </w:p>
        </w:tc>
        <w:tc>
          <w:tcPr>
            <w:tcW w:w="1460" w:type="dxa"/>
            <w:vAlign w:val="bottom"/>
          </w:tcPr>
          <w:p>
            <w:pPr>
              <w:spacing w:after="0"/>
              <w:rPr>
                <w:sz w:val="20"/>
                <w:szCs w:val="20"/>
                <w:color w:val="auto"/>
              </w:rPr>
            </w:pPr>
          </w:p>
        </w:tc>
        <w:tc>
          <w:tcPr>
            <w:tcW w:w="86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7"/>
              </w:rPr>
              <w:t>100%</w:t>
            </w:r>
          </w:p>
        </w:tc>
        <w:tc>
          <w:tcPr>
            <w:tcW w:w="680" w:type="dxa"/>
            <w:vAlign w:val="bottom"/>
          </w:tcPr>
          <w:p>
            <w:pPr>
              <w:spacing w:after="0"/>
              <w:rPr>
                <w:sz w:val="20"/>
                <w:szCs w:val="2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466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Short-Term U.S. Government Securities</w:t>
            </w:r>
          </w:p>
        </w:tc>
        <w:tc>
          <w:tcPr>
            <w:tcW w:w="860" w:type="dxa"/>
            <w:vAlign w:val="bottom"/>
            <w:gridSpan w:val="2"/>
            <w:vMerge w:val="continue"/>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Long-Term U.S. Government Securities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95%</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First Lien Bank Loans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85%</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75%</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Unitranche Loans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80%</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70%</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Second Lien Bank Loans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75%</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65%</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Cash Pay High Yield Securities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70%</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60%</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Cash Pay Mezzanine Investments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65%</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55%</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Non-Cash Pay High Yield Securities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60%</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50%</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Non-Cash Pay Mezzanine Investments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55%</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45%</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Non-Performing First Lien Bank Loans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45%</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45%</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Non-Performing Unitranche Loans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40%</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40%</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Non-Performing Second Lien Bank Loans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40%</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Non-Performing High Yield Securities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Non-Performing Cash Pay Mezzanine Investments</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25%</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Performing Common Equity (and zero cost or</w:t>
            </w:r>
          </w:p>
        </w:tc>
        <w:tc>
          <w:tcPr>
            <w:tcW w:w="86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30%</w:t>
            </w:r>
          </w:p>
        </w:tc>
        <w:tc>
          <w:tcPr>
            <w:tcW w:w="68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w:t>
            </w:r>
          </w:p>
        </w:tc>
        <w:tc>
          <w:tcPr>
            <w:tcW w:w="0" w:type="dxa"/>
            <w:vAlign w:val="bottom"/>
          </w:tcPr>
          <w:p>
            <w:pPr>
              <w:spacing w:after="0"/>
              <w:rPr>
                <w:sz w:val="1"/>
                <w:szCs w:val="1"/>
                <w:color w:val="auto"/>
              </w:rPr>
            </w:pPr>
          </w:p>
        </w:tc>
      </w:tr>
      <w:tr>
        <w:trPr>
          <w:trHeight w:val="243"/>
        </w:trPr>
        <w:tc>
          <w:tcPr>
            <w:tcW w:w="466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penny warrants with performing debt)</w:t>
            </w:r>
          </w:p>
        </w:tc>
        <w:tc>
          <w:tcPr>
            <w:tcW w:w="860" w:type="dxa"/>
            <w:vAlign w:val="bottom"/>
            <w:gridSpan w:val="2"/>
            <w:vMerge w:val="continue"/>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Non-Performing Common Equity</w:t>
            </w:r>
          </w:p>
        </w:tc>
        <w:tc>
          <w:tcPr>
            <w:tcW w:w="860" w:type="dxa"/>
            <w:vAlign w:val="bottom"/>
            <w:gridSpan w:val="2"/>
          </w:tcPr>
          <w:p>
            <w:pPr>
              <w:jc w:val="center"/>
              <w:ind w:left="112"/>
              <w:spacing w:after="0" w:line="243" w:lineRule="exact"/>
              <w:rPr>
                <w:sz w:val="20"/>
                <w:szCs w:val="20"/>
                <w:color w:val="auto"/>
              </w:rPr>
            </w:pPr>
            <w:r>
              <w:rPr>
                <w:rFonts w:ascii="Times New Roman" w:cs="Times New Roman" w:eastAsia="Times New Roman" w:hAnsi="Times New Roman"/>
                <w:sz w:val="22"/>
                <w:szCs w:val="22"/>
                <w:color w:val="auto"/>
                <w:w w:val="95"/>
              </w:rPr>
              <w:t>0%</w:t>
            </w:r>
          </w:p>
        </w:tc>
        <w:tc>
          <w:tcPr>
            <w:tcW w:w="6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3"/>
        </w:trPr>
        <w:tc>
          <w:tcPr>
            <w:tcW w:w="46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Structured Finance Obligations and Finance Leases</w:t>
            </w:r>
          </w:p>
        </w:tc>
        <w:tc>
          <w:tcPr>
            <w:tcW w:w="860" w:type="dxa"/>
            <w:vAlign w:val="bottom"/>
            <w:gridSpan w:val="2"/>
          </w:tcPr>
          <w:p>
            <w:pPr>
              <w:jc w:val="center"/>
              <w:ind w:left="112"/>
              <w:spacing w:after="0"/>
              <w:rPr>
                <w:sz w:val="20"/>
                <w:szCs w:val="20"/>
                <w:color w:val="auto"/>
              </w:rPr>
            </w:pPr>
            <w:r>
              <w:rPr>
                <w:rFonts w:ascii="Times New Roman" w:cs="Times New Roman" w:eastAsia="Times New Roman" w:hAnsi="Times New Roman"/>
                <w:sz w:val="22"/>
                <w:szCs w:val="22"/>
                <w:color w:val="auto"/>
                <w:w w:val="95"/>
              </w:rPr>
              <w:t>0%</w:t>
            </w:r>
          </w:p>
        </w:tc>
        <w:tc>
          <w:tcPr>
            <w:tcW w:w="6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3" w:name="page164"/>
    <w:bookmarkEnd w:id="163"/>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Loans</w:t>
      </w:r>
      <w:r>
        <w:rPr>
          <w:rFonts w:ascii="Times New Roman" w:cs="Times New Roman" w:eastAsia="Times New Roman" w:hAnsi="Times New Roman"/>
          <w:sz w:val="22"/>
          <w:szCs w:val="22"/>
          <w:color w:val="auto"/>
        </w:rPr>
        <w:t>” means debt obligations (including term loans,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w:t>
      </w:r>
    </w:p>
    <w:p>
      <w:pPr>
        <w:spacing w:after="0" w:line="181"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Credit Agreement.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Credit Agreement.</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58"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Bank Loan</w:t>
      </w:r>
      <w:r>
        <w:rPr>
          <w:rFonts w:ascii="Times New Roman" w:cs="Times New Roman" w:eastAsia="Times New Roman" w:hAnsi="Times New Roman"/>
          <w:sz w:val="22"/>
          <w:szCs w:val="22"/>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High Yield Securities</w:t>
      </w:r>
      <w:r>
        <w:rPr>
          <w:rFonts w:ascii="Times New Roman" w:cs="Times New Roman" w:eastAsia="Times New Roman" w:hAnsi="Times New Roman"/>
          <w:sz w:val="21"/>
          <w:szCs w:val="21"/>
          <w:color w:val="auto"/>
        </w:rPr>
        <w:t>” means debt Securities and Preferred Stock, in each case (a) issued by public or private issuers,</w:t>
      </w:r>
    </w:p>
    <w:p>
      <w:pPr>
        <w:spacing w:after="0" w:line="26" w:lineRule="exact"/>
        <w:rPr>
          <w:sz w:val="20"/>
          <w:szCs w:val="20"/>
          <w:color w:val="auto"/>
        </w:rPr>
      </w:pPr>
    </w:p>
    <w:p>
      <w:pPr>
        <w:jc w:val="both"/>
        <w:ind w:firstLine="8"/>
        <w:spacing w:after="0" w:line="235" w:lineRule="auto"/>
        <w:tabs>
          <w:tab w:leader="none" w:pos="33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7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U.S. Government Securities</w:t>
      </w:r>
      <w:r>
        <w:rPr>
          <w:rFonts w:ascii="Times New Roman" w:cs="Times New Roman" w:eastAsia="Times New Roman" w:hAnsi="Times New Roman"/>
          <w:sz w:val="22"/>
          <w:szCs w:val="22"/>
          <w:color w:val="auto"/>
        </w:rPr>
        <w:t>” means U.S. Government Securities maturing more than one year from the applicable date of determination.</w:t>
      </w:r>
    </w:p>
    <w:p>
      <w:pPr>
        <w:spacing w:after="0" w:line="158" w:lineRule="exact"/>
        <w:rPr>
          <w:sz w:val="20"/>
          <w:szCs w:val="20"/>
          <w:color w:val="auto"/>
        </w:rPr>
      </w:pPr>
    </w:p>
    <w:p>
      <w:pPr>
        <w:jc w:val="both"/>
        <w:ind w:firstLine="1034"/>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Mezzanine Investments</w:t>
      </w:r>
      <w:r>
        <w:rPr>
          <w:rFonts w:ascii="Times New Roman" w:cs="Times New Roman" w:eastAsia="Times New Roman" w:hAnsi="Times New Roman"/>
          <w:sz w:val="21"/>
          <w:szCs w:val="21"/>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62"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Common Equity</w:t>
      </w:r>
      <w:r>
        <w:rPr>
          <w:rFonts w:ascii="Times New Roman" w:cs="Times New Roman" w:eastAsia="Times New Roman" w:hAnsi="Times New Roman"/>
          <w:sz w:val="22"/>
          <w:szCs w:val="22"/>
          <w:color w:val="auto"/>
        </w:rPr>
        <w:t>” means Capital Stock (other than Preferred Stock) and warrants of an issuer having any debt outstanding that is non-Performing.</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Non-Performing First Lien Bank Loans</w:t>
      </w:r>
      <w:r>
        <w:rPr>
          <w:rFonts w:ascii="Times New Roman" w:cs="Times New Roman" w:eastAsia="Times New Roman" w:hAnsi="Times New Roman"/>
          <w:sz w:val="21"/>
          <w:szCs w:val="21"/>
          <w:color w:val="auto"/>
        </w:rPr>
        <w:t>” means First Lien Bank Loans other than Performing First Lien Bank Loans.</w:t>
      </w:r>
    </w:p>
    <w:p>
      <w:pPr>
        <w:spacing w:after="0" w:line="2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High Yield Securities</w:t>
      </w:r>
      <w:r>
        <w:rPr>
          <w:rFonts w:ascii="Times New Roman" w:cs="Times New Roman" w:eastAsia="Times New Roman" w:hAnsi="Times New Roman"/>
          <w:sz w:val="22"/>
          <w:szCs w:val="22"/>
          <w:color w:val="auto"/>
        </w:rPr>
        <w:t>” means High Yield Securities other than Performing High Yield Securities.</w:t>
      </w:r>
    </w:p>
    <w:p>
      <w:pPr>
        <w:spacing w:after="0" w:line="206" w:lineRule="exact"/>
        <w:rPr>
          <w:sz w:val="20"/>
          <w:szCs w:val="20"/>
          <w:color w:val="auto"/>
        </w:rPr>
      </w:pPr>
    </w:p>
    <w:p>
      <w:pPr>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Mezzanine Investments</w:t>
      </w:r>
      <w:r>
        <w:rPr>
          <w:rFonts w:ascii="Times New Roman" w:cs="Times New Roman" w:eastAsia="Times New Roman" w:hAnsi="Times New Roman"/>
          <w:sz w:val="22"/>
          <w:szCs w:val="22"/>
          <w:color w:val="auto"/>
        </w:rPr>
        <w:t>” means Mezzanine Investments other than Performing Mezzanine Investments.</w:t>
      </w:r>
    </w:p>
    <w:p>
      <w:pPr>
        <w:spacing w:after="0" w:line="158" w:lineRule="exact"/>
        <w:rPr>
          <w:sz w:val="20"/>
          <w:szCs w:val="20"/>
          <w:color w:val="auto"/>
        </w:rPr>
      </w:pPr>
    </w:p>
    <w:p>
      <w:pPr>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Portfolio Investment</w:t>
      </w:r>
      <w:r>
        <w:rPr>
          <w:rFonts w:ascii="Times New Roman" w:cs="Times New Roman" w:eastAsia="Times New Roman" w:hAnsi="Times New Roman"/>
          <w:sz w:val="22"/>
          <w:szCs w:val="22"/>
          <w:color w:val="auto"/>
        </w:rPr>
        <w:t>” means Portfolio Investments for which the issuer is in default of any payment obligations of principal or interest in respect thereof after the expiration of any applicable grace period.</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64" w:name="page165"/>
    <w:bookmarkEnd w:id="164"/>
    <w:p>
      <w:pPr>
        <w:ind w:left="10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Non-Performing Second Lien Bank Loans</w:t>
      </w:r>
      <w:r>
        <w:rPr>
          <w:rFonts w:ascii="Times New Roman" w:cs="Times New Roman" w:eastAsia="Times New Roman" w:hAnsi="Times New Roman"/>
          <w:sz w:val="21"/>
          <w:szCs w:val="21"/>
          <w:color w:val="auto"/>
        </w:rPr>
        <w:t>” means Second Lien Bank Loans other than Performing Second Lien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Loans.</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Unitranche Loans</w:t>
      </w:r>
      <w:r>
        <w:rPr>
          <w:rFonts w:ascii="Times New Roman" w:cs="Times New Roman" w:eastAsia="Times New Roman" w:hAnsi="Times New Roman"/>
          <w:sz w:val="22"/>
          <w:szCs w:val="22"/>
          <w:color w:val="auto"/>
        </w:rPr>
        <w:t>” means Unitranche Loans other than Performing Unitranche Loans.</w:t>
      </w:r>
    </w:p>
    <w:p>
      <w:pPr>
        <w:spacing w:after="0" w:line="206"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w:t>
      </w:r>
      <w:r>
        <w:rPr>
          <w:rFonts w:ascii="Times New Roman" w:cs="Times New Roman" w:eastAsia="Times New Roman" w:hAnsi="Times New Roman"/>
          <w:sz w:val="22"/>
          <w:szCs w:val="22"/>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1"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Cash Pay High Yield Securities</w:t>
      </w:r>
      <w:r>
        <w:rPr>
          <w:rFonts w:ascii="Times New Roman" w:cs="Times New Roman" w:eastAsia="Times New Roman" w:hAnsi="Times New Roman"/>
          <w:sz w:val="22"/>
          <w:szCs w:val="22"/>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Cash Pay Mezzanine Investments</w:t>
      </w:r>
      <w:r>
        <w:rPr>
          <w:rFonts w:ascii="Times New Roman" w:cs="Times New Roman" w:eastAsia="Times New Roman" w:hAnsi="Times New Roman"/>
          <w:sz w:val="22"/>
          <w:szCs w:val="22"/>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4"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Common Equity</w:t>
      </w:r>
      <w:r>
        <w:rPr>
          <w:rFonts w:ascii="Times New Roman" w:cs="Times New Roman" w:eastAsia="Times New Roman" w:hAnsi="Times New Roman"/>
          <w:sz w:val="22"/>
          <w:szCs w:val="22"/>
          <w:color w:val="auto"/>
        </w:rPr>
        <w:t>” means Capital Stock (other than Preferred Stock) and warrants of an issuer all of whose outstanding debt is Performing.</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First Lien Bank Loans</w:t>
      </w:r>
      <w:r>
        <w:rPr>
          <w:rFonts w:ascii="Times New Roman" w:cs="Times New Roman" w:eastAsia="Times New Roman" w:hAnsi="Times New Roman"/>
          <w:sz w:val="22"/>
          <w:szCs w:val="22"/>
          <w:color w:val="auto"/>
        </w:rPr>
        <w:t>” means First Lien Bank Loans which are Performing.</w:t>
      </w:r>
    </w:p>
    <w:p>
      <w:pPr>
        <w:spacing w:after="0" w:line="206" w:lineRule="exact"/>
        <w:rPr>
          <w:sz w:val="20"/>
          <w:szCs w:val="20"/>
          <w:color w:val="auto"/>
        </w:rPr>
      </w:pPr>
    </w:p>
    <w:p>
      <w:pPr>
        <w:jc w:val="both"/>
        <w:ind w:right="20"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Non-Cash Pay High Yield Securities</w:t>
      </w:r>
      <w:r>
        <w:rPr>
          <w:rFonts w:ascii="Times New Roman" w:cs="Times New Roman" w:eastAsia="Times New Roman" w:hAnsi="Times New Roman"/>
          <w:sz w:val="22"/>
          <w:szCs w:val="22"/>
          <w:color w:val="auto"/>
        </w:rPr>
        <w:t>” means Performing High Yield Securities other than Performing Cash Pay High Yield Securities.</w:t>
      </w:r>
    </w:p>
    <w:p>
      <w:pPr>
        <w:spacing w:after="0" w:line="158"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Non-Cash Pay Mezzanine Investments</w:t>
      </w:r>
      <w:r>
        <w:rPr>
          <w:rFonts w:ascii="Times New Roman" w:cs="Times New Roman" w:eastAsia="Times New Roman" w:hAnsi="Times New Roman"/>
          <w:sz w:val="22"/>
          <w:szCs w:val="22"/>
          <w:color w:val="auto"/>
        </w:rPr>
        <w:t>” means Performing Mezzanine Investments other than Performing Cash Pay Mezzanine Investments.</w:t>
      </w:r>
    </w:p>
    <w:p>
      <w:pPr>
        <w:spacing w:after="0" w:line="15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Second Lien Bank Loans</w:t>
      </w:r>
      <w:r>
        <w:rPr>
          <w:rFonts w:ascii="Times New Roman" w:cs="Times New Roman" w:eastAsia="Times New Roman" w:hAnsi="Times New Roman"/>
          <w:sz w:val="22"/>
          <w:szCs w:val="22"/>
          <w:color w:val="auto"/>
        </w:rPr>
        <w:t>” means Second Lien Bank Loans which are Performing.</w:t>
      </w:r>
    </w:p>
    <w:p>
      <w:pPr>
        <w:spacing w:after="0" w:line="206"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77"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Bank Loan</w:t>
      </w:r>
      <w:r>
        <w:rPr>
          <w:rFonts w:ascii="Times New Roman" w:cs="Times New Roman" w:eastAsia="Times New Roman" w:hAnsi="Times New Roman"/>
          <w:sz w:val="22"/>
          <w:szCs w:val="22"/>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74" w:lineRule="exact"/>
        <w:rPr>
          <w:sz w:val="20"/>
          <w:szCs w:val="20"/>
          <w:color w:val="auto"/>
        </w:rPr>
      </w:pPr>
    </w:p>
    <w:p>
      <w:pPr>
        <w:jc w:val="both"/>
        <w:ind w:firstLine="1034"/>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5" w:name="page166"/>
    <w:bookmarkEnd w:id="165"/>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United States Securities Act of 1933, as amended.</w:t>
      </w:r>
    </w:p>
    <w:p>
      <w:pPr>
        <w:spacing w:after="0" w:line="206"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U.S. Government Securities</w:t>
      </w:r>
      <w:r>
        <w:rPr>
          <w:rFonts w:ascii="Times New Roman" w:cs="Times New Roman" w:eastAsia="Times New Roman" w:hAnsi="Times New Roman"/>
          <w:sz w:val="22"/>
          <w:szCs w:val="22"/>
          <w:color w:val="auto"/>
        </w:rPr>
        <w:t>” means U.S. Government Securities maturing within one year of the applicable date of determination.</w:t>
      </w:r>
    </w:p>
    <w:p>
      <w:pPr>
        <w:spacing w:after="0" w:line="158" w:lineRule="exact"/>
        <w:rPr>
          <w:sz w:val="20"/>
          <w:szCs w:val="20"/>
          <w:color w:val="auto"/>
        </w:rPr>
      </w:pPr>
    </w:p>
    <w:p>
      <w:pPr>
        <w:jc w:val="both"/>
        <w:ind w:firstLine="1034"/>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Structured Finance Obligation</w:t>
      </w:r>
      <w:r>
        <w:rPr>
          <w:rFonts w:ascii="Times New Roman" w:cs="Times New Roman" w:eastAsia="Times New Roman" w:hAnsi="Times New Roman"/>
          <w:sz w:val="22"/>
          <w:szCs w:val="22"/>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Unitranche Loan</w:t>
      </w:r>
      <w:r>
        <w:rPr>
          <w:rFonts w:ascii="Times New Roman" w:cs="Times New Roman" w:eastAsia="Times New Roman" w:hAnsi="Times New Roman"/>
          <w:sz w:val="22"/>
          <w:szCs w:val="22"/>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any Portfolio Investment, the lower of:</w:t>
      </w:r>
    </w:p>
    <w:p>
      <w:pPr>
        <w:spacing w:after="0" w:line="206" w:lineRule="exact"/>
        <w:rPr>
          <w:sz w:val="20"/>
          <w:szCs w:val="20"/>
          <w:color w:val="auto"/>
        </w:rPr>
      </w:pPr>
    </w:p>
    <w:p>
      <w:pPr>
        <w:ind w:left="1280" w:hanging="259"/>
        <w:spacing w:after="0"/>
        <w:tabs>
          <w:tab w:leader="none" w:pos="128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most recent internal market value as determined pursuant to </w:t>
      </w:r>
      <w:r>
        <w:rPr>
          <w:rFonts w:ascii="Times New Roman" w:cs="Times New Roman" w:eastAsia="Times New Roman" w:hAnsi="Times New Roman"/>
          <w:sz w:val="22"/>
          <w:szCs w:val="22"/>
          <w:u w:val="single" w:color="auto"/>
          <w:color w:val="auto"/>
        </w:rPr>
        <w:t>Section 5.12(b)(ii)(C)</w:t>
      </w:r>
      <w:r>
        <w:rPr>
          <w:rFonts w:ascii="Times New Roman" w:cs="Times New Roman" w:eastAsia="Times New Roman" w:hAnsi="Times New Roman"/>
          <w:sz w:val="22"/>
          <w:szCs w:val="22"/>
          <w:color w:val="auto"/>
        </w:rPr>
        <w:t xml:space="preserve"> and</w:t>
      </w:r>
    </w:p>
    <w:p>
      <w:pPr>
        <w:spacing w:after="0" w:line="206" w:lineRule="exact"/>
        <w:rPr>
          <w:rFonts w:ascii="Times New Roman" w:cs="Times New Roman" w:eastAsia="Times New Roman" w:hAnsi="Times New Roman"/>
          <w:sz w:val="22"/>
          <w:szCs w:val="22"/>
          <w:color w:val="auto"/>
        </w:rPr>
      </w:pPr>
    </w:p>
    <w:p>
      <w:pPr>
        <w:ind w:left="1340" w:hanging="319"/>
        <w:spacing w:after="0"/>
        <w:tabs>
          <w:tab w:leader="none" w:pos="134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most recent external market value as determined pursuant to </w:t>
      </w:r>
      <w:r>
        <w:rPr>
          <w:rFonts w:ascii="Times New Roman" w:cs="Times New Roman" w:eastAsia="Times New Roman" w:hAnsi="Times New Roman"/>
          <w:sz w:val="22"/>
          <w:szCs w:val="22"/>
          <w:u w:val="single" w:color="auto"/>
          <w:color w:val="auto"/>
        </w:rPr>
        <w:t>Section 5.12(b)(ii)(A)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5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VI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06"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74"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Subject to the last sentence of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the Borrower will not, nor will it permit any of the Subsidiary Guarantors to, create, incur, assume or permit to exist any Indebtedness, except:</w:t>
      </w:r>
    </w:p>
    <w:p>
      <w:pPr>
        <w:spacing w:after="0" w:line="158" w:lineRule="exact"/>
        <w:rPr>
          <w:sz w:val="20"/>
          <w:szCs w:val="20"/>
          <w:color w:val="auto"/>
        </w:rPr>
      </w:pPr>
    </w:p>
    <w:p>
      <w:pPr>
        <w:ind w:left="1340" w:hanging="298"/>
        <w:spacing w:after="0"/>
        <w:tabs>
          <w:tab w:leader="none" w:pos="13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hereunder;</w:t>
      </w:r>
    </w:p>
    <w:p>
      <w:pPr>
        <w:spacing w:after="0" w:line="206"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4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 6.07(b)</w:t>
      </w:r>
      <w:r>
        <w:rPr>
          <w:rFonts w:ascii="Times New Roman" w:cs="Times New Roman" w:eastAsia="Times New Roman" w:hAnsi="Times New Roman"/>
          <w:sz w:val="22"/>
          <w:szCs w:val="22"/>
          <w:color w:val="auto"/>
        </w:rPr>
        <w:t>, and (iii) prior to and immediately after giving effect to the incurrence of any Secured Longer-Term Indebtedness, the Covered Debt Amount does not or would not exceed the Borrowing Base then in effect;</w:t>
      </w:r>
    </w:p>
    <w:p>
      <w:pPr>
        <w:spacing w:after="0" w:line="177"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Permitted Indebtedness;</w:t>
      </w:r>
    </w:p>
    <w:p>
      <w:pPr>
        <w:spacing w:after="0" w:line="206"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Indebtedness otherwise permitted hereunder;</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6" w:name="page167"/>
    <w:bookmarkEnd w:id="166"/>
    <w:p>
      <w:pPr>
        <w:ind w:firstLine="1042"/>
        <w:spacing w:after="0" w:line="258" w:lineRule="auto"/>
        <w:tabs>
          <w:tab w:leader="none" w:pos="1342"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Obligor owing to any other Obligor or, if such Indebtedness is subject to subordination terms and conditions that are satisfactory to the Administrative Agent, any other Subsidiary of the Borrower;</w:t>
      </w:r>
    </w:p>
    <w:p>
      <w:pPr>
        <w:spacing w:after="0" w:line="158" w:lineRule="exact"/>
        <w:rPr>
          <w:rFonts w:ascii="Times New Roman" w:cs="Times New Roman" w:eastAsia="Times New Roman" w:hAnsi="Times New Roman"/>
          <w:sz w:val="22"/>
          <w:szCs w:val="22"/>
          <w:color w:val="auto"/>
        </w:rPr>
      </w:pPr>
    </w:p>
    <w:p>
      <w:pPr>
        <w:ind w:left="1320" w:hanging="278"/>
        <w:spacing w:after="0"/>
        <w:tabs>
          <w:tab w:leader="none" w:pos="13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Financing Subsidiaries;</w:t>
      </w:r>
    </w:p>
    <w:p>
      <w:pPr>
        <w:spacing w:after="0" w:line="206"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arising in the ordinary course of business with respect to U.S. Government Securities;</w:t>
      </w:r>
    </w:p>
    <w:p>
      <w:pPr>
        <w:spacing w:after="0" w:line="206" w:lineRule="exact"/>
        <w:rPr>
          <w:rFonts w:ascii="Times New Roman" w:cs="Times New Roman" w:eastAsia="Times New Roman" w:hAnsi="Times New Roman"/>
          <w:sz w:val="22"/>
          <w:szCs w:val="22"/>
          <w:color w:val="auto"/>
        </w:rPr>
      </w:pPr>
    </w:p>
    <w:p>
      <w:pPr>
        <w:ind w:firstLine="1042"/>
        <w:spacing w:after="0" w:line="258" w:lineRule="auto"/>
        <w:tabs>
          <w:tab w:leader="none" w:pos="135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payable to clearing agencies, brokers or dealers in connection with the purchase or sale of securities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1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 6.07(b)</w:t>
      </w:r>
      <w:r>
        <w:rPr>
          <w:rFonts w:ascii="Times New Roman" w:cs="Times New Roman" w:eastAsia="Times New Roman" w:hAnsi="Times New Roman"/>
          <w:sz w:val="22"/>
          <w:szCs w:val="22"/>
          <w:color w:val="auto"/>
        </w:rPr>
        <w:t>, and (iv) prior to and immediately after giving effect to the incurrence of any such Indebtedness, the Covered Debt Amount does not or would not exceed the Borrowing Base then in effect;</w:t>
      </w:r>
    </w:p>
    <w:p>
      <w:pPr>
        <w:spacing w:after="0" w:line="182" w:lineRule="exact"/>
        <w:rPr>
          <w:rFonts w:ascii="Times New Roman" w:cs="Times New Roman" w:eastAsia="Times New Roman" w:hAnsi="Times New Roman"/>
          <w:sz w:val="22"/>
          <w:szCs w:val="22"/>
          <w:color w:val="auto"/>
        </w:rPr>
      </w:pPr>
    </w:p>
    <w:p>
      <w:pPr>
        <w:ind w:left="1300" w:hanging="258"/>
        <w:spacing w:after="0"/>
        <w:tabs>
          <w:tab w:leader="none" w:pos="13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(including Guarantees) in respect of Standard Securitization Undertakings;</w:t>
      </w:r>
    </w:p>
    <w:p>
      <w:pPr>
        <w:spacing w:after="0" w:line="206"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SBIC Guarantees;</w:t>
      </w:r>
    </w:p>
    <w:p>
      <w:pPr>
        <w:spacing w:after="0" w:line="206" w:lineRule="exact"/>
        <w:rPr>
          <w:rFonts w:ascii="Times New Roman" w:cs="Times New Roman" w:eastAsia="Times New Roman" w:hAnsi="Times New Roman"/>
          <w:sz w:val="22"/>
          <w:szCs w:val="22"/>
          <w:color w:val="auto"/>
        </w:rPr>
      </w:pPr>
    </w:p>
    <w:p>
      <w:pPr>
        <w:ind w:left="1300" w:hanging="258"/>
        <w:spacing w:after="0"/>
        <w:tabs>
          <w:tab w:leader="none" w:pos="13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pursuant to the 2019 Convertible Notes;</w:t>
      </w:r>
    </w:p>
    <w:p>
      <w:pPr>
        <w:spacing w:after="0" w:line="206" w:lineRule="exact"/>
        <w:rPr>
          <w:rFonts w:ascii="Times New Roman" w:cs="Times New Roman" w:eastAsia="Times New Roman" w:hAnsi="Times New Roman"/>
          <w:sz w:val="22"/>
          <w:szCs w:val="22"/>
          <w:color w:val="auto"/>
        </w:rPr>
      </w:pPr>
    </w:p>
    <w:p>
      <w:pPr>
        <w:jc w:val="both"/>
        <w:ind w:firstLine="1042"/>
        <w:spacing w:after="0" w:line="247" w:lineRule="auto"/>
        <w:tabs>
          <w:tab w:leader="none" w:pos="1407"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Times New Roman" w:cs="Times New Roman" w:eastAsia="Times New Roman" w:hAnsi="Times New Roman"/>
          <w:sz w:val="21"/>
          <w:szCs w:val="21"/>
          <w:u w:val="single" w:color="auto"/>
          <w:color w:val="auto"/>
        </w:rPr>
        <w:t>Section 6.01(n)</w:t>
      </w:r>
      <w:r>
        <w:rPr>
          <w:rFonts w:ascii="Times New Roman" w:cs="Times New Roman" w:eastAsia="Times New Roman" w:hAnsi="Times New Roman"/>
          <w:sz w:val="21"/>
          <w:szCs w:val="21"/>
          <w:color w:val="auto"/>
        </w:rPr>
        <w:t xml:space="preserve">, does not exceed $500,000,000,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1"/>
          <w:szCs w:val="21"/>
          <w:u w:val="single" w:color="auto"/>
          <w:color w:val="auto"/>
        </w:rPr>
        <w:t>Section 6.07(b)</w:t>
      </w:r>
      <w:r>
        <w:rPr>
          <w:rFonts w:ascii="Times New Roman" w:cs="Times New Roman" w:eastAsia="Times New Roman" w:hAnsi="Times New Roman"/>
          <w:sz w:val="21"/>
          <w:szCs w:val="21"/>
          <w:color w:val="auto"/>
        </w:rPr>
        <w:t>, and (v) prior to and immediately after giving effect to the incurrence of any such Indebtedness, the Covered Debt Amount does not or would not exceed the Borrowing Base then in effect;</w:t>
      </w:r>
    </w:p>
    <w:p>
      <w:pPr>
        <w:spacing w:after="0" w:line="172" w:lineRule="exact"/>
        <w:rPr>
          <w:rFonts w:ascii="Times New Roman" w:cs="Times New Roman" w:eastAsia="Times New Roman" w:hAnsi="Times New Roman"/>
          <w:sz w:val="21"/>
          <w:szCs w:val="21"/>
          <w:color w:val="auto"/>
        </w:rPr>
      </w:pPr>
    </w:p>
    <w:p>
      <w:pPr>
        <w:jc w:val="both"/>
        <w:ind w:firstLine="1042"/>
        <w:spacing w:after="0" w:line="235" w:lineRule="auto"/>
        <w:tabs>
          <w:tab w:leader="none" w:pos="137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Special Unsecured Indebtedness so long as (i) no Default exists at the time of the incurrence thereof, (ii) the aggregate amount (determined at the time of the incurrence of such Indebtedness) of such Indebtedness does not exceed $400,000,000, (iii) the aggregate amount (determined at the time of the incurrence of such Indebtedness) of such Indebtedness, taken together with then-outstanding Unsecured Shorter-Term Indebtedness incurred pursuant to </w:t>
      </w:r>
      <w:r>
        <w:rPr>
          <w:rFonts w:ascii="Times New Roman" w:cs="Times New Roman" w:eastAsia="Times New Roman" w:hAnsi="Times New Roman"/>
          <w:sz w:val="22"/>
          <w:szCs w:val="22"/>
          <w:u w:val="single" w:color="auto"/>
          <w:color w:val="auto"/>
        </w:rPr>
        <w:t>Section 6.01(m)</w:t>
      </w:r>
      <w:r>
        <w:rPr>
          <w:rFonts w:ascii="Times New Roman" w:cs="Times New Roman" w:eastAsia="Times New Roman" w:hAnsi="Times New Roman"/>
          <w:sz w:val="22"/>
          <w:szCs w:val="22"/>
          <w:color w:val="auto"/>
        </w:rPr>
        <w:t xml:space="preserve">, does not exceed $500,000,000,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 6.07(b)</w:t>
      </w:r>
      <w:r>
        <w:rPr>
          <w:rFonts w:ascii="Times New Roman" w:cs="Times New Roman" w:eastAsia="Times New Roman" w:hAnsi="Times New Roman"/>
          <w:sz w:val="22"/>
          <w:szCs w:val="22"/>
          <w:color w:val="auto"/>
        </w:rPr>
        <w:t>, and (v) prior to and immediately after giving effect to the incurrence of any such Indebtedness, the Covered Debt Amount does not or would not exceed the Borrowing Base then in effect; and</w:t>
      </w:r>
    </w:p>
    <w:p>
      <w:pPr>
        <w:spacing w:after="0" w:line="179" w:lineRule="exact"/>
        <w:rPr>
          <w:rFonts w:ascii="Times New Roman" w:cs="Times New Roman" w:eastAsia="Times New Roman" w:hAnsi="Times New Roman"/>
          <w:sz w:val="22"/>
          <w:szCs w:val="22"/>
          <w:color w:val="auto"/>
        </w:rPr>
      </w:pPr>
    </w:p>
    <w:p>
      <w:pPr>
        <w:ind w:left="1380" w:hanging="338"/>
        <w:spacing w:after="0"/>
        <w:tabs>
          <w:tab w:leader="none" w:pos="138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not to exceed the greater of (i) $25,000,000 and (ii) 5% of Shareholders’ Equity at any time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7" w:name="page168"/>
    <w:bookmarkEnd w:id="167"/>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jc w:val="both"/>
        <w:ind w:firstLine="1042"/>
        <w:spacing w:after="0" w:line="239" w:lineRule="auto"/>
        <w:tabs>
          <w:tab w:leader="none" w:pos="1335"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Borrower existing on the Original Effective Date and set forth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180" w:lineRule="exact"/>
        <w:rPr>
          <w:rFonts w:ascii="Times New Roman" w:cs="Times New Roman" w:eastAsia="Times New Roman" w:hAnsi="Times New Roman"/>
          <w:sz w:val="22"/>
          <w:szCs w:val="22"/>
          <w:color w:val="auto"/>
        </w:rPr>
      </w:pPr>
    </w:p>
    <w:p>
      <w:pPr>
        <w:ind w:right="20" w:firstLine="1042"/>
        <w:spacing w:after="0" w:line="258" w:lineRule="auto"/>
        <w:tabs>
          <w:tab w:leader="none" w:pos="1367"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created pursuant to this Agreement (including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or any of the Security Documents (including Liens in favor of the Designated Indebtedness Holders (as defined in the Guarantee and Security Agreement));</w:t>
      </w:r>
    </w:p>
    <w:p>
      <w:pPr>
        <w:spacing w:after="0" w:line="158"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assets of a Financing Subsidiary securing obligations of such Financing Subsidiary;</w:t>
      </w:r>
    </w:p>
    <w:p>
      <w:pPr>
        <w:spacing w:after="0" w:line="206" w:lineRule="exact"/>
        <w:rPr>
          <w:rFonts w:ascii="Times New Roman" w:cs="Times New Roman" w:eastAsia="Times New Roman" w:hAnsi="Times New Roman"/>
          <w:sz w:val="22"/>
          <w:szCs w:val="22"/>
          <w:color w:val="auto"/>
        </w:rPr>
      </w:pPr>
    </w:p>
    <w:p>
      <w:pPr>
        <w:ind w:right="20" w:firstLine="1042"/>
        <w:spacing w:after="0" w:line="258" w:lineRule="auto"/>
        <w:tabs>
          <w:tab w:leader="none" w:pos="1374"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Special Equity Interests included in the Portfolio Investments of the Borrower but only to the extent securing obligations in the manner provided in the definition of “</w:t>
      </w:r>
      <w:r>
        <w:rPr>
          <w:rFonts w:ascii="Times New Roman" w:cs="Times New Roman" w:eastAsia="Times New Roman" w:hAnsi="Times New Roman"/>
          <w:sz w:val="22"/>
          <w:szCs w:val="22"/>
          <w:u w:val="single" w:color="auto"/>
          <w:color w:val="auto"/>
        </w:rPr>
        <w:t>Special Equity Interests</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43"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or other obligations in an aggregate principal amount not exceeding the greater of (i) $25,000,000 and (ii) 5% of Shareholders’ Equity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does not exceed the lesser of (i) the Borrowing Base and (ii) the amount required to comply with the provisions of </w:t>
      </w:r>
      <w:r>
        <w:rPr>
          <w:rFonts w:ascii="Times New Roman" w:cs="Times New Roman" w:eastAsia="Times New Roman" w:hAnsi="Times New Roman"/>
          <w:sz w:val="22"/>
          <w:szCs w:val="22"/>
          <w:u w:val="single" w:color="auto"/>
          <w:color w:val="auto"/>
        </w:rPr>
        <w:t>Section 6.07(b)</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1320" w:hanging="278"/>
        <w:spacing w:after="0"/>
        <w:tabs>
          <w:tab w:leader="none" w:pos="132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06"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Equity Interests in any SBIC Subsidiary created in favor of the SBA;</w:t>
      </w:r>
    </w:p>
    <w:p>
      <w:pPr>
        <w:spacing w:after="0" w:line="206"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320" w:hanging="278"/>
        <w:spacing w:after="0"/>
        <w:tabs>
          <w:tab w:leader="none" w:pos="132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Liens securing Hedging Agreements permitted under </w:t>
      </w:r>
      <w:r>
        <w:rPr>
          <w:rFonts w:ascii="Times New Roman" w:cs="Times New Roman" w:eastAsia="Times New Roman" w:hAnsi="Times New Roman"/>
          <w:sz w:val="22"/>
          <w:szCs w:val="22"/>
          <w:u w:val="single" w:color="auto"/>
          <w:color w:val="auto"/>
        </w:rPr>
        <w:t>Section 6.04(c)</w:t>
      </w:r>
      <w:r>
        <w:rPr>
          <w:rFonts w:ascii="Times New Roman" w:cs="Times New Roman" w:eastAsia="Times New Roman" w:hAnsi="Times New Roman"/>
          <w:sz w:val="22"/>
          <w:szCs w:val="22"/>
          <w:color w:val="auto"/>
        </w:rPr>
        <w:t xml:space="preserve"> and not otherwise permitted under </w:t>
      </w:r>
      <w:r>
        <w:rPr>
          <w:rFonts w:ascii="Times New Roman" w:cs="Times New Roman" w:eastAsia="Times New Roman" w:hAnsi="Times New Roman"/>
          <w:sz w:val="22"/>
          <w:szCs w:val="22"/>
          <w:u w:val="single" w:color="auto"/>
          <w:color w:val="auto"/>
        </w:rPr>
        <w:t>clause</w:t>
      </w:r>
    </w:p>
    <w:p>
      <w:pPr>
        <w:spacing w:after="0" w:line="14" w:lineRule="exact"/>
        <w:rPr>
          <w:rFonts w:ascii="Times New Roman" w:cs="Times New Roman" w:eastAsia="Times New Roman" w:hAnsi="Times New Roman"/>
          <w:sz w:val="22"/>
          <w:szCs w:val="22"/>
          <w:color w:val="auto"/>
        </w:rPr>
      </w:pPr>
    </w:p>
    <w:p>
      <w:pPr>
        <w:jc w:val="both"/>
        <w:ind w:firstLine="8"/>
        <w:spacing w:after="0" w:line="232" w:lineRule="auto"/>
        <w:tabs>
          <w:tab w:leader="none" w:pos="323" w:val="left"/>
        </w:tabs>
        <w:numPr>
          <w:ilvl w:val="0"/>
          <w:numId w:val="1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cs="Times New Roman" w:eastAsia="Times New Roman" w:hAnsi="Times New Roman"/>
          <w:sz w:val="22"/>
          <w:szCs w:val="22"/>
          <w:u w:val="single" w:color="auto"/>
          <w:color w:val="auto"/>
        </w:rPr>
        <w:t>sub-clause (y)</w:t>
      </w:r>
      <w:r>
        <w:rPr>
          <w:rFonts w:ascii="Times New Roman" w:cs="Times New Roman" w:eastAsia="Times New Roman" w:hAnsi="Times New Roman"/>
          <w:sz w:val="22"/>
          <w:szCs w:val="22"/>
          <w:color w:val="auto"/>
        </w:rPr>
        <w:t xml:space="preserve"> even if such Lender has assigned all of its Loans and other interests in the Credit Agreement and thus has ceased to be a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Obligor be permitted to create, incur or assume any Lien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increase the aggregate amount of collateral securing any Liens previously permitted under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77" w:lineRule="exact"/>
        <w:rPr>
          <w:rFonts w:ascii="Times New Roman" w:cs="Times New Roman" w:eastAsia="Times New Roman" w:hAnsi="Times New Roman"/>
          <w:sz w:val="22"/>
          <w:szCs w:val="22"/>
          <w:u w:val="single" w:color="auto"/>
          <w:color w:val="auto"/>
        </w:rPr>
      </w:pPr>
    </w:p>
    <w:p>
      <w:pPr>
        <w:ind w:left="1320" w:hanging="278"/>
        <w:spacing w:after="0"/>
        <w:tabs>
          <w:tab w:leader="none" w:pos="132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repurchase obligations arising in the ordinary course of business with respect to U.S. Government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68" w:name="page169"/>
    <w:bookmarkEnd w:id="168"/>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Times New Roman" w:cs="Times New Roman" w:eastAsia="Times New Roman" w:hAnsi="Times New Roman"/>
          <w:sz w:val="22"/>
          <w:szCs w:val="22"/>
          <w:u w:val="single" w:color="auto"/>
          <w:color w:val="auto"/>
        </w:rPr>
        <w:t>clauses (d)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below, Portfolio Investments.</w:t>
      </w:r>
    </w:p>
    <w:p>
      <w:pPr>
        <w:spacing w:after="0" w:line="1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Notwithstanding the foregoing provisions of this Section:</w:t>
      </w:r>
    </w:p>
    <w:p>
      <w:pPr>
        <w:spacing w:after="0" w:line="206" w:lineRule="exact"/>
        <w:rPr>
          <w:sz w:val="20"/>
          <w:szCs w:val="20"/>
          <w:color w:val="auto"/>
        </w:rPr>
      </w:pPr>
    </w:p>
    <w:p>
      <w:pPr>
        <w:jc w:val="both"/>
        <w:ind w:firstLine="1042"/>
        <w:spacing w:after="0" w:line="244" w:lineRule="auto"/>
        <w:tabs>
          <w:tab w:leader="none" w:pos="1343"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Guarantor of the Borrower may be merged or consolidated with or into the Borrower or any other Subsidiary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transaction shall be between a Subsidiary Guarantor and a wholly owned Subsidiary Guarantor, the wholly owned Subsidiary Guarantor shall be the continuing or surviving corporation;</w:t>
      </w:r>
    </w:p>
    <w:p>
      <w:pPr>
        <w:spacing w:after="0" w:line="173" w:lineRule="exact"/>
        <w:rPr>
          <w:rFonts w:ascii="Times New Roman" w:cs="Times New Roman" w:eastAsia="Times New Roman" w:hAnsi="Times New Roman"/>
          <w:sz w:val="22"/>
          <w:szCs w:val="22"/>
          <w:color w:val="auto"/>
        </w:rPr>
      </w:pPr>
    </w:p>
    <w:p>
      <w:pPr>
        <w:ind w:firstLine="1042"/>
        <w:spacing w:after="0" w:line="258" w:lineRule="auto"/>
        <w:tabs>
          <w:tab w:leader="none" w:pos="1357"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58" w:lineRule="exact"/>
        <w:rPr>
          <w:rFonts w:ascii="Times New Roman" w:cs="Times New Roman" w:eastAsia="Times New Roman" w:hAnsi="Times New Roman"/>
          <w:sz w:val="22"/>
          <w:szCs w:val="22"/>
          <w:color w:val="auto"/>
        </w:rPr>
      </w:pPr>
    </w:p>
    <w:p>
      <w:pPr>
        <w:ind w:firstLine="1042"/>
        <w:spacing w:after="0" w:line="258" w:lineRule="auto"/>
        <w:tabs>
          <w:tab w:leader="none" w:pos="137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 any Subsidiary of the Borrower may be sold, transferred or otherwise disposed of to the Borrower or any wholly owned Subsidiary Guarantor of the Borrower;</w:t>
      </w:r>
    </w:p>
    <w:p>
      <w:pPr>
        <w:spacing w:after="0" w:line="158" w:lineRule="exact"/>
        <w:rPr>
          <w:rFonts w:ascii="Times New Roman" w:cs="Times New Roman" w:eastAsia="Times New Roman" w:hAnsi="Times New Roman"/>
          <w:sz w:val="22"/>
          <w:szCs w:val="22"/>
          <w:color w:val="auto"/>
        </w:rPr>
      </w:pPr>
    </w:p>
    <w:p>
      <w:pPr>
        <w:jc w:val="both"/>
        <w:ind w:firstLine="1042"/>
        <w:spacing w:after="0" w:line="239" w:lineRule="auto"/>
        <w:tabs>
          <w:tab w:leader="none" w:pos="1347"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80" w:lineRule="exact"/>
        <w:rPr>
          <w:rFonts w:ascii="Times New Roman" w:cs="Times New Roman" w:eastAsia="Times New Roman" w:hAnsi="Times New Roman"/>
          <w:sz w:val="22"/>
          <w:szCs w:val="22"/>
          <w:color w:val="auto"/>
        </w:rPr>
      </w:pPr>
    </w:p>
    <w:p>
      <w:pPr>
        <w:ind w:left="1360" w:hanging="318"/>
        <w:spacing w:after="0"/>
        <w:tabs>
          <w:tab w:leader="none" w:pos="1360"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Obligors may sell, transfer or otherwise dispose of Portfolio Investments to a Financing Subsidiary so long as</w:t>
      </w:r>
    </w:p>
    <w:p>
      <w:pPr>
        <w:spacing w:after="0" w:line="14" w:lineRule="exact"/>
        <w:rPr>
          <w:rFonts w:ascii="Times New Roman" w:cs="Times New Roman" w:eastAsia="Times New Roman" w:hAnsi="Times New Roman"/>
          <w:sz w:val="22"/>
          <w:szCs w:val="22"/>
          <w:color w:val="auto"/>
        </w:rPr>
      </w:pPr>
    </w:p>
    <w:p>
      <w:pPr>
        <w:jc w:val="both"/>
        <w:ind w:firstLine="8"/>
        <w:spacing w:after="0" w:line="233" w:lineRule="auto"/>
        <w:tabs>
          <w:tab w:leader="none" w:pos="30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77"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12"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spacing w:after="0" w:line="173"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51"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9" w:name="page170"/>
    <w:bookmarkEnd w:id="169"/>
    <w:p>
      <w:pPr>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The Borrower will not, nor will it permit any of the Subsidiary Guarantors to, acquire, make or enter into, or hold, any Investments except:</w:t>
      </w:r>
    </w:p>
    <w:p>
      <w:pPr>
        <w:spacing w:after="0" w:line="158" w:lineRule="exact"/>
        <w:rPr>
          <w:sz w:val="20"/>
          <w:szCs w:val="20"/>
          <w:color w:val="auto"/>
        </w:rPr>
      </w:pPr>
    </w:p>
    <w:p>
      <w:pPr>
        <w:ind w:left="1340" w:hanging="298"/>
        <w:spacing w:after="0"/>
        <w:tabs>
          <w:tab w:leader="none" w:pos="13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deposit accounts with banks;</w:t>
      </w:r>
    </w:p>
    <w:p>
      <w:pPr>
        <w:spacing w:after="0" w:line="206"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Borrower and the Subsidiary Guarantors in the Borrower and the Subsidiary Guarantors;</w:t>
      </w:r>
    </w:p>
    <w:p>
      <w:pPr>
        <w:spacing w:after="0" w:line="206" w:lineRule="exact"/>
        <w:rPr>
          <w:rFonts w:ascii="Times New Roman" w:cs="Times New Roman" w:eastAsia="Times New Roman" w:hAnsi="Times New Roman"/>
          <w:sz w:val="22"/>
          <w:szCs w:val="22"/>
          <w:color w:val="auto"/>
        </w:rPr>
      </w:pPr>
    </w:p>
    <w:p>
      <w:pPr>
        <w:ind w:right="20" w:firstLine="1042"/>
        <w:spacing w:after="0" w:line="258" w:lineRule="auto"/>
        <w:tabs>
          <w:tab w:leader="none" w:pos="139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Agreements entered into in the ordinary course of the Borrower’s financial planning and not for speculative purposes;</w:t>
      </w:r>
    </w:p>
    <w:p>
      <w:pPr>
        <w:spacing w:after="0" w:line="158"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5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73" w:lineRule="exact"/>
        <w:rPr>
          <w:rFonts w:ascii="Times New Roman" w:cs="Times New Roman" w:eastAsia="Times New Roman" w:hAnsi="Times New Roman"/>
          <w:sz w:val="22"/>
          <w:szCs w:val="22"/>
          <w:color w:val="auto"/>
        </w:rPr>
      </w:pPr>
    </w:p>
    <w:p>
      <w:pPr>
        <w:jc w:val="both"/>
        <w:ind w:firstLine="1042"/>
        <w:spacing w:after="0" w:line="239" w:lineRule="auto"/>
        <w:tabs>
          <w:tab w:leader="none" w:pos="1365"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Financing Subsidiaries so long as, (i) after giving effect to such Investment, the Covered Debt Amount does not exceed the Borrowing Base and (ii) the sum of (x) all Investments under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that occur after the Commitment Termination Date and (y) all Investments under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below that occur after the Commitment Termination Date, shall not exceed $10,000,000 in the aggregate;</w:t>
      </w:r>
    </w:p>
    <w:p>
      <w:pPr>
        <w:spacing w:after="0" w:line="180"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42"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Investments up to but not exceeding $15,000,000 in the aggregate;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sum of (x) all Investments under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that occur after the Commitment Termination Date and (y) all Investments under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above that occur after the Commitment Termination Date, shall not exceed $10,000,000 in the aggregate;</w:t>
      </w:r>
    </w:p>
    <w:p>
      <w:pPr>
        <w:spacing w:after="0" w:line="173"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described 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300" w:hanging="258"/>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 Financing Subsidiary; and</w:t>
      </w:r>
    </w:p>
    <w:p>
      <w:pPr>
        <w:spacing w:after="0" w:line="206" w:lineRule="exact"/>
        <w:rPr>
          <w:rFonts w:ascii="Times New Roman" w:cs="Times New Roman" w:eastAsia="Times New Roman" w:hAnsi="Times New Roman"/>
          <w:sz w:val="22"/>
          <w:szCs w:val="22"/>
          <w:color w:val="auto"/>
        </w:rPr>
      </w:pPr>
    </w:p>
    <w:p>
      <w:pPr>
        <w:ind w:left="1300" w:hanging="258"/>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the form of Guarantees permitted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aggregate amount of dividends, distributions or other payments received in cash in respect of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8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The Borrower will not, nor will it permit any of the Subsidiary Guarantors to, declare or make, or agree to pay or make, directly or indirectly, any Restricted Payment, except that the Borrower may declare and pay:</w:t>
      </w:r>
    </w:p>
    <w:p>
      <w:pPr>
        <w:spacing w:after="0" w:line="174" w:lineRule="exact"/>
        <w:rPr>
          <w:sz w:val="20"/>
          <w:szCs w:val="20"/>
          <w:color w:val="auto"/>
        </w:rPr>
      </w:pPr>
    </w:p>
    <w:p>
      <w:pPr>
        <w:ind w:left="1360" w:hanging="318"/>
        <w:spacing w:after="0"/>
        <w:tabs>
          <w:tab w:leader="none" w:pos="136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with respect to the capital stock of the Borrower payable solely in additional shares of the Borrower’s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w:t>
      </w:r>
    </w:p>
    <w:p>
      <w:pPr>
        <w:spacing w:after="0" w:line="182" w:lineRule="exact"/>
        <w:rPr>
          <w:rFonts w:ascii="Times New Roman" w:cs="Times New Roman" w:eastAsia="Times New Roman" w:hAnsi="Times New Roman"/>
          <w:sz w:val="22"/>
          <w:szCs w:val="22"/>
          <w:color w:val="auto"/>
        </w:rPr>
      </w:pPr>
    </w:p>
    <w:p>
      <w:pPr>
        <w:ind w:right="20" w:firstLine="1042"/>
        <w:spacing w:after="0" w:line="258" w:lineRule="auto"/>
        <w:tabs>
          <w:tab w:leader="none" w:pos="137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and distributions in either case in cash or other property (excluding for this purpose the Borrower’s common stock) in any taxable year of the Borrower in amounts not to exceed the amount that is</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0" w:name="page171"/>
    <w:bookmarkEnd w:id="170"/>
    <w:p>
      <w:pPr>
        <w:spacing w:after="0" w:line="258" w:lineRule="auto"/>
        <w:rPr>
          <w:sz w:val="20"/>
          <w:szCs w:val="20"/>
          <w:color w:val="auto"/>
        </w:rPr>
      </w:pPr>
      <w:r>
        <w:rPr>
          <w:rFonts w:ascii="Times New Roman" w:cs="Times New Roman" w:eastAsia="Times New Roman" w:hAnsi="Times New Roman"/>
          <w:sz w:val="22"/>
          <w:szCs w:val="22"/>
          <w:color w:val="auto"/>
        </w:rPr>
        <w:t>determined in good faith by the Borrower to be required to (i) maintain the status of the Borrower as a RIC, and (ii) avoid federal excise taxes for such taxable year imposed by Section 4982 of the Code;</w:t>
      </w:r>
    </w:p>
    <w:p>
      <w:pPr>
        <w:spacing w:after="0" w:line="158" w:lineRule="exact"/>
        <w:rPr>
          <w:sz w:val="20"/>
          <w:szCs w:val="20"/>
          <w:color w:val="auto"/>
        </w:rPr>
      </w:pPr>
    </w:p>
    <w:p>
      <w:pPr>
        <w:jc w:val="both"/>
        <w:ind w:right="20" w:firstLine="1042"/>
        <w:spacing w:after="0" w:line="244" w:lineRule="auto"/>
        <w:tabs>
          <w:tab w:leader="none" w:pos="1370" w:val="left"/>
        </w:tabs>
        <w:numPr>
          <w:ilvl w:val="3"/>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and distributions in each case in cash or other property (excluding for this purpose the Borrower’s common stock) in addition to the dividends and distributions permitted under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so long as on the date of such Restricted Payment and after giving effect thereto:</w:t>
      </w:r>
    </w:p>
    <w:p>
      <w:pPr>
        <w:spacing w:after="0" w:line="173" w:lineRule="exact"/>
        <w:rPr>
          <w:rFonts w:ascii="Times New Roman" w:cs="Times New Roman" w:eastAsia="Times New Roman" w:hAnsi="Times New Roman"/>
          <w:sz w:val="22"/>
          <w:szCs w:val="22"/>
          <w:color w:val="auto"/>
        </w:rPr>
      </w:pPr>
    </w:p>
    <w:p>
      <w:pPr>
        <w:ind w:left="1280" w:hanging="259"/>
        <w:spacing w:after="0"/>
        <w:tabs>
          <w:tab w:leader="none" w:pos="1280" w:val="left"/>
        </w:tabs>
        <w:numPr>
          <w:ilvl w:val="2"/>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have occurred and be continuing or would result therefrom; and</w:t>
      </w:r>
    </w:p>
    <w:p>
      <w:pPr>
        <w:spacing w:after="0" w:line="206" w:lineRule="exact"/>
        <w:rPr>
          <w:rFonts w:ascii="Times New Roman" w:cs="Times New Roman" w:eastAsia="Times New Roman" w:hAnsi="Times New Roman"/>
          <w:sz w:val="22"/>
          <w:szCs w:val="22"/>
          <w:color w:val="auto"/>
        </w:rPr>
      </w:pPr>
    </w:p>
    <w:p>
      <w:pPr>
        <w:jc w:val="both"/>
        <w:ind w:left="520" w:firstLine="501"/>
        <w:spacing w:after="0" w:line="238" w:lineRule="auto"/>
        <w:tabs>
          <w:tab w:leader="none" w:pos="1351" w:val="left"/>
        </w:tabs>
        <w:numPr>
          <w:ilvl w:val="2"/>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Restricted Payments made during any taxable year of the Borrower after the date hereof under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not exceed the difference of (x) an amount equal to 10% of the taxable income of the Borrower for such taxable year determined under section 852(b)(2) of the Code, but without regard to </w:t>
      </w:r>
      <w:r>
        <w:rPr>
          <w:rFonts w:ascii="Times New Roman" w:cs="Times New Roman" w:eastAsia="Times New Roman" w:hAnsi="Times New Roman"/>
          <w:sz w:val="22"/>
          <w:szCs w:val="22"/>
          <w:u w:val="single" w:color="auto"/>
          <w:color w:val="auto"/>
        </w:rPr>
        <w:t>subparagraphs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w:t>
      </w:r>
    </w:p>
    <w:p>
      <w:pPr>
        <w:jc w:val="both"/>
        <w:ind w:left="520" w:firstLine="6"/>
        <w:spacing w:after="0" w:line="234" w:lineRule="auto"/>
        <w:tabs>
          <w:tab w:leader="none" w:pos="874" w:val="left"/>
        </w:tabs>
        <w:numPr>
          <w:ilvl w:val="1"/>
          <w:numId w:val="1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thereof,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the amount, if any, by which dividends and distributions made during such taxable year pursuant to the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(whether in respect of such taxable year or the previous taxable year) based upon the Borrower’s estimate of taxable income exceeded the actual amounts specified in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such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for such taxable year.</w:t>
      </w:r>
    </w:p>
    <w:p>
      <w:pPr>
        <w:spacing w:after="0" w:line="177" w:lineRule="exact"/>
        <w:rPr>
          <w:rFonts w:ascii="Times New Roman" w:cs="Times New Roman" w:eastAsia="Times New Roman" w:hAnsi="Times New Roman"/>
          <w:sz w:val="22"/>
          <w:szCs w:val="22"/>
          <w:u w:val="single" w:color="auto"/>
          <w:color w:val="auto"/>
        </w:rPr>
      </w:pPr>
    </w:p>
    <w:p>
      <w:pPr>
        <w:ind w:left="1360" w:hanging="318"/>
        <w:spacing w:after="0"/>
        <w:tabs>
          <w:tab w:leader="none" w:pos="1360" w:val="left"/>
        </w:tabs>
        <w:numPr>
          <w:ilvl w:val="3"/>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Restricted Payments so long as (i) on the date of such other Restricted Payment and after giving effect thereto</w:t>
      </w:r>
    </w:p>
    <w:p>
      <w:pPr>
        <w:spacing w:after="0" w:line="25" w:lineRule="exact"/>
        <w:rPr>
          <w:rFonts w:ascii="Times New Roman" w:cs="Times New Roman" w:eastAsia="Times New Roman" w:hAnsi="Times New Roman"/>
          <w:sz w:val="21"/>
          <w:szCs w:val="21"/>
          <w:color w:val="auto"/>
        </w:rPr>
      </w:pPr>
    </w:p>
    <w:p>
      <w:pPr>
        <w:jc w:val="both"/>
        <w:ind w:firstLine="8"/>
        <w:spacing w:after="0" w:line="230" w:lineRule="auto"/>
        <w:tabs>
          <w:tab w:leader="none" w:pos="34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Times New Roman" w:cs="Times New Roman" w:eastAsia="Times New Roman" w:hAnsi="Times New Roman"/>
          <w:sz w:val="22"/>
          <w:szCs w:val="22"/>
          <w:u w:val="single" w:color="auto"/>
          <w:color w:val="auto"/>
        </w:rPr>
        <w:t>subclause</w:t>
      </w:r>
    </w:p>
    <w:p>
      <w:pPr>
        <w:spacing w:after="0" w:line="1" w:lineRule="exact"/>
        <w:rPr>
          <w:rFonts w:ascii="Times New Roman" w:cs="Times New Roman" w:eastAsia="Times New Roman" w:hAnsi="Times New Roman"/>
          <w:sz w:val="22"/>
          <w:szCs w:val="22"/>
          <w:color w:val="auto"/>
        </w:rPr>
      </w:pPr>
    </w:p>
    <w:p>
      <w:pPr>
        <w:jc w:val="both"/>
        <w:ind w:firstLine="8"/>
        <w:spacing w:after="0" w:line="232" w:lineRule="auto"/>
        <w:tabs>
          <w:tab w:leader="none" w:pos="313" w:val="left"/>
        </w:tabs>
        <w:numPr>
          <w:ilvl w:val="0"/>
          <w:numId w:val="17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after giving effect to such Restricted Payment. For purposes of preparing such Borrowing Base Certificate, (A) the fair market value of Portfolio Investments for which market quotations are readily available shall be the most recent quotation available for such Portfolio Investment and (B) 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Times New Roman" w:cs="Times New Roman" w:eastAsia="Times New Roman" w:hAnsi="Times New Roman"/>
          <w:sz w:val="22"/>
          <w:szCs w:val="22"/>
          <w:u w:val="single" w:color="auto"/>
          <w:color w:val="auto"/>
        </w:rPr>
        <w:t>Section 5.01(d)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reduce the Value of any Portfolio Investment referred to in this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xml:space="preserve"> to the extent necessary to take into account any events of which the Borrower has knowledge that adversely affect the value of such Portfolio Investment.</w:t>
      </w:r>
    </w:p>
    <w:p>
      <w:pPr>
        <w:spacing w:after="0" w:line="182"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Nothing herein shall be deemed to prohibit the payment of Restricted Payments by any Subsidiary of the Borrower to the Borrower or to any other Subsidiary Guarantor.</w:t>
      </w:r>
    </w:p>
    <w:p>
      <w:pPr>
        <w:spacing w:after="0" w:line="158" w:lineRule="exact"/>
        <w:rPr>
          <w:sz w:val="20"/>
          <w:szCs w:val="20"/>
          <w:color w:val="auto"/>
        </w:rPr>
      </w:pPr>
    </w:p>
    <w:p>
      <w:pPr>
        <w:jc w:val="both"/>
        <w:ind w:firstLine="1034"/>
        <w:spacing w:after="0" w:line="245"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u w:val="single" w:color="auto"/>
          <w:color w:val="auto"/>
        </w:rPr>
        <w:t>Certain Restrictions on Subsidiaries</w:t>
      </w:r>
      <w:r>
        <w:rPr>
          <w:rFonts w:ascii="Times New Roman" w:cs="Times New Roman" w:eastAsia="Times New Roman" w:hAnsi="Times New Roman"/>
          <w:sz w:val="21"/>
          <w:szCs w:val="21"/>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1" w:name="page172"/>
    <w:bookmarkEnd w:id="171"/>
    <w:p>
      <w:pPr>
        <w:ind w:left="1040"/>
        <w:spacing w:after="0"/>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Certain Financial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9" w:lineRule="auto"/>
        <w:tabs>
          <w:tab w:leader="none" w:pos="134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Shareholders’ Equity</w:t>
      </w:r>
      <w:r>
        <w:rPr>
          <w:rFonts w:ascii="Times New Roman" w:cs="Times New Roman" w:eastAsia="Times New Roman" w:hAnsi="Times New Roman"/>
          <w:sz w:val="22"/>
          <w:szCs w:val="22"/>
          <w:color w:val="auto"/>
        </w:rPr>
        <w:t xml:space="preserve">. The Borrower will not permit Shareholders’ Equity at the last day of any fiscal quarter of the Borrower to be less than $500,000,000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25% of the net proceeds of the sale of Equity Interests by the Borrower and its Subsidiaries after the Fourth Amendment Effective Date (other than proceeds of sales of Equity Interests by and among the Borrower and its Subsidiaries).</w:t>
      </w:r>
    </w:p>
    <w:p>
      <w:pPr>
        <w:spacing w:after="0" w:line="180" w:lineRule="exact"/>
        <w:rPr>
          <w:rFonts w:ascii="Times New Roman" w:cs="Times New Roman" w:eastAsia="Times New Roman" w:hAnsi="Times New Roman"/>
          <w:sz w:val="22"/>
          <w:szCs w:val="22"/>
          <w:color w:val="auto"/>
        </w:rPr>
      </w:pPr>
    </w:p>
    <w:p>
      <w:pPr>
        <w:ind w:firstLine="1042"/>
        <w:spacing w:after="0" w:line="258" w:lineRule="auto"/>
        <w:tabs>
          <w:tab w:leader="none" w:pos="13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Asset Coverage Ratio</w:t>
      </w:r>
      <w:r>
        <w:rPr>
          <w:rFonts w:ascii="Times New Roman" w:cs="Times New Roman" w:eastAsia="Times New Roman" w:hAnsi="Times New Roman"/>
          <w:sz w:val="22"/>
          <w:szCs w:val="22"/>
          <w:color w:val="auto"/>
        </w:rPr>
        <w:t>. The Borrower will not permit the Asset Coverage Ratio at the last day of any fiscal quarter of the Borrower to be less than 2.00 to 1 at any time.</w:t>
      </w:r>
    </w:p>
    <w:p>
      <w:pPr>
        <w:spacing w:after="0" w:line="158" w:lineRule="exact"/>
        <w:rPr>
          <w:rFonts w:ascii="Times New Roman" w:cs="Times New Roman" w:eastAsia="Times New Roman" w:hAnsi="Times New Roman"/>
          <w:sz w:val="22"/>
          <w:szCs w:val="22"/>
          <w:color w:val="auto"/>
        </w:rPr>
      </w:pPr>
    </w:p>
    <w:p>
      <w:pPr>
        <w:jc w:val="both"/>
        <w:ind w:firstLine="1042"/>
        <w:spacing w:after="0" w:line="251" w:lineRule="auto"/>
        <w:tabs>
          <w:tab w:leader="none" w:pos="1328"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Liquidity Test</w:t>
      </w:r>
      <w:r>
        <w:rPr>
          <w:rFonts w:ascii="Times New Roman" w:cs="Times New Roman" w:eastAsia="Times New Roman" w:hAnsi="Times New Roman"/>
          <w:sz w:val="21"/>
          <w:szCs w:val="21"/>
          <w:color w:val="auto"/>
        </w:rPr>
        <w:t xml:space="preserve">. The Borrower will not permit (a) the sum of (i) the aggregate Value of the Portfolio Investments that are Cash (excluding Cash Collateral for outstanding Letters of Credit) or that can be converted to Cash in fewer than 10 Business Days without more than a 5% change in price,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69"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8"/>
        <w:spacing w:after="0" w:line="233" w:lineRule="auto"/>
        <w:tabs>
          <w:tab w:leader="none" w:pos="33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transactions provided in the Affiliate Agreements, (e) transactions described on </w:t>
      </w:r>
      <w:r>
        <w:rPr>
          <w:rFonts w:ascii="Times New Roman" w:cs="Times New Roman" w:eastAsia="Times New Roman" w:hAnsi="Times New Roman"/>
          <w:sz w:val="22"/>
          <w:szCs w:val="22"/>
          <w:u w:val="single" w:color="auto"/>
          <w:color w:val="auto"/>
        </w:rPr>
        <w:t>Schedule 6.08</w:t>
      </w:r>
      <w:r>
        <w:rPr>
          <w:rFonts w:ascii="Times New Roman" w:cs="Times New Roman" w:eastAsia="Times New Roman" w:hAnsi="Times New Roman"/>
          <w:sz w:val="22"/>
          <w:szCs w:val="22"/>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not less favorable to the Obligors than could be obtained at the time on an arm’s-length basis from unrelated third parties.</w:t>
      </w:r>
    </w:p>
    <w:p>
      <w:pPr>
        <w:spacing w:after="0" w:line="180"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Lines of Business</w:t>
      </w:r>
      <w:r>
        <w:rPr>
          <w:rFonts w:ascii="Times New Roman" w:cs="Times New Roman" w:eastAsia="Times New Roman" w:hAnsi="Times New Roman"/>
          <w:sz w:val="22"/>
          <w:szCs w:val="22"/>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1" w:lineRule="exact"/>
        <w:rPr>
          <w:sz w:val="20"/>
          <w:szCs w:val="20"/>
          <w:color w:val="auto"/>
        </w:rPr>
      </w:pPr>
    </w:p>
    <w:p>
      <w:pPr>
        <w:jc w:val="both"/>
        <w:ind w:firstLine="1034"/>
        <w:spacing w:after="0" w:line="246" w:lineRule="auto"/>
        <w:rPr>
          <w:sz w:val="20"/>
          <w:szCs w:val="20"/>
          <w:color w:val="auto"/>
        </w:rPr>
      </w:pPr>
      <w:r>
        <w:rPr>
          <w:rFonts w:ascii="Times New Roman" w:cs="Times New Roman" w:eastAsia="Times New Roman" w:hAnsi="Times New Roman"/>
          <w:sz w:val="21"/>
          <w:szCs w:val="21"/>
          <w:color w:val="auto"/>
        </w:rPr>
        <w:t xml:space="preserve">SECTION 6.10. </w:t>
      </w:r>
      <w:r>
        <w:rPr>
          <w:rFonts w:ascii="Times New Roman" w:cs="Times New Roman" w:eastAsia="Times New Roman" w:hAnsi="Times New Roman"/>
          <w:sz w:val="21"/>
          <w:szCs w:val="21"/>
          <w:u w:val="single" w:color="auto"/>
          <w:color w:val="auto"/>
        </w:rPr>
        <w:t>No Further Negative Pledge</w:t>
      </w:r>
      <w:r>
        <w:rPr>
          <w:rFonts w:ascii="Times New Roman" w:cs="Times New Roman" w:eastAsia="Times New Roman" w:hAnsi="Times New Roman"/>
          <w:sz w:val="21"/>
          <w:szCs w:val="21"/>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cs="Times New Roman" w:eastAsia="Times New Roman" w:hAnsi="Times New Roman"/>
          <w:sz w:val="21"/>
          <w:szCs w:val="21"/>
          <w:u w:val="single" w:color="auto"/>
          <w:color w:val="auto"/>
        </w:rPr>
        <w:t>Section 6.01(b),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8"/>
        <w:spacing w:after="0" w:line="230" w:lineRule="auto"/>
        <w:tabs>
          <w:tab w:leader="none" w:pos="36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covenants in documents creating Liens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w:t>
      </w:r>
    </w:p>
    <w:p>
      <w:pPr>
        <w:spacing w:after="0" w:line="1" w:lineRule="exact"/>
        <w:rPr>
          <w:rFonts w:ascii="Times New Roman" w:cs="Times New Roman" w:eastAsia="Times New Roman" w:hAnsi="Times New Roman"/>
          <w:sz w:val="22"/>
          <w:szCs w:val="22"/>
          <w:color w:val="auto"/>
        </w:rPr>
      </w:pPr>
    </w:p>
    <w:p>
      <w:pPr>
        <w:jc w:val="both"/>
        <w:ind w:firstLine="8"/>
        <w:spacing w:after="0" w:line="233" w:lineRule="auto"/>
        <w:tabs>
          <w:tab w:leader="none" w:pos="31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2" w:name="page173"/>
    <w:bookmarkEnd w:id="172"/>
    <w:p>
      <w:pPr>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Modifications of Longer-Term Indebtedness Documents</w:t>
      </w:r>
      <w:r>
        <w:rPr>
          <w:rFonts w:ascii="Times New Roman" w:cs="Times New Roman" w:eastAsia="Times New Roman" w:hAnsi="Times New Roman"/>
          <w:sz w:val="22"/>
          <w:szCs w:val="22"/>
          <w:color w:val="auto"/>
        </w:rPr>
        <w:t>. The Borrower will not consent to any modification, supplement or waiver of:</w:t>
      </w:r>
    </w:p>
    <w:p>
      <w:pPr>
        <w:spacing w:after="0" w:line="158" w:lineRule="exact"/>
        <w:rPr>
          <w:sz w:val="20"/>
          <w:szCs w:val="20"/>
          <w:color w:val="auto"/>
        </w:rPr>
      </w:pPr>
    </w:p>
    <w:p>
      <w:pPr>
        <w:jc w:val="both"/>
        <w:ind w:firstLine="1042"/>
        <w:spacing w:after="0" w:line="234" w:lineRule="auto"/>
        <w:tabs>
          <w:tab w:leader="none" w:pos="132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76"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49"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74" w:lineRule="exact"/>
        <w:rPr>
          <w:sz w:val="20"/>
          <w:szCs w:val="20"/>
          <w:color w:val="auto"/>
        </w:rPr>
      </w:pPr>
    </w:p>
    <w:p>
      <w:pPr>
        <w:jc w:val="both"/>
        <w:ind w:firstLine="1034"/>
        <w:spacing w:after="0" w:line="243" w:lineRule="auto"/>
        <w:rPr>
          <w:sz w:val="20"/>
          <w:szCs w:val="20"/>
          <w:color w:val="auto"/>
        </w:rPr>
      </w:pPr>
      <w:r>
        <w:rPr>
          <w:rFonts w:ascii="Times New Roman" w:cs="Times New Roman" w:eastAsia="Times New Roman" w:hAnsi="Times New Roman"/>
          <w:sz w:val="21"/>
          <w:szCs w:val="21"/>
          <w:color w:val="auto"/>
        </w:rPr>
        <w:t xml:space="preserve">SECTION 6.12. </w:t>
      </w:r>
      <w:r>
        <w:rPr>
          <w:rFonts w:ascii="Times New Roman" w:cs="Times New Roman" w:eastAsia="Times New Roman" w:hAnsi="Times New Roman"/>
          <w:sz w:val="21"/>
          <w:szCs w:val="21"/>
          <w:u w:val="single" w:color="auto"/>
          <w:color w:val="auto"/>
        </w:rPr>
        <w:t>Payments of Longer-Term Indebtedness and 2019 Convertible Notes</w:t>
      </w:r>
      <w:r>
        <w:rPr>
          <w:rFonts w:ascii="Times New Roman" w:cs="Times New Roman" w:eastAsia="Times New Roman" w:hAnsi="Times New Roman"/>
          <w:sz w:val="21"/>
          <w:szCs w:val="21"/>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or the 2019 Convertible Notes (other than the refinancing of Secured Longer-Term Indebtedness, Unsecured Longer-Term Indebtedness, Special Unsecured Indebtedness or the 2019 Convertible Notes with Indebtedness permitted under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(b) so long as no Default shall exist or be continuing, any payment that, if treated as a Restricted Payment for purposes of </w:t>
      </w:r>
      <w:r>
        <w:rPr>
          <w:rFonts w:ascii="Times New Roman" w:cs="Times New Roman" w:eastAsia="Times New Roman" w:hAnsi="Times New Roman"/>
          <w:sz w:val="21"/>
          <w:szCs w:val="21"/>
          <w:u w:val="single" w:color="auto"/>
          <w:color w:val="auto"/>
        </w:rPr>
        <w:t>Section 6.05(d)</w:t>
      </w:r>
      <w:r>
        <w:rPr>
          <w:rFonts w:ascii="Times New Roman" w:cs="Times New Roman" w:eastAsia="Times New Roman" w:hAnsi="Times New Roman"/>
          <w:sz w:val="21"/>
          <w:szCs w:val="21"/>
          <w:color w:val="auto"/>
        </w:rPr>
        <w:t xml:space="preserve">, would be permitted to be made pursuant to the provisions set forth in </w:t>
      </w:r>
      <w:r>
        <w:rPr>
          <w:rFonts w:ascii="Times New Roman" w:cs="Times New Roman" w:eastAsia="Times New Roman" w:hAnsi="Times New Roman"/>
          <w:sz w:val="21"/>
          <w:szCs w:val="21"/>
          <w:u w:val="single" w:color="auto"/>
          <w:color w:val="auto"/>
        </w:rPr>
        <w:t>Section 6.05(d)</w:t>
      </w:r>
      <w:r>
        <w:rPr>
          <w:rFonts w:ascii="Times New Roman" w:cs="Times New Roman" w:eastAsia="Times New Roman" w:hAnsi="Times New Roman"/>
          <w:sz w:val="21"/>
          <w:szCs w:val="21"/>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 w:cs="Times New Roman" w:eastAsia="Times New Roman" w:hAnsi="Times New Roman"/>
          <w:sz w:val="21"/>
          <w:szCs w:val="21"/>
          <w:u w:val="single" w:color="auto"/>
          <w:color w:val="auto"/>
        </w:rPr>
        <w:t>Section 6.07</w:t>
      </w:r>
      <w:r>
        <w:rPr>
          <w:rFonts w:ascii="Times New Roman" w:cs="Times New Roman" w:eastAsia="Times New Roman" w:hAnsi="Times New Roman"/>
          <w:sz w:val="21"/>
          <w:szCs w:val="21"/>
          <w:color w:val="auto"/>
        </w:rPr>
        <w:t xml:space="preserve"> and (ii) no Default shall exist or be continuing; (d) mandatory payments, required prepayments or mandatory redemptions of the 2019 Convertible Notes and any other convertible notes constituting Unsecured Longer-Term Indebtedness or Special Unsecured Indebtedness in Cash (including any cash payment elected to be paid in connection with the settlement by the Borrower of any conversion at the option of any holder of such 2019 Convertible Notes or other convertible notes pursuant to the conversion features thereunder),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73" w:name="page174"/>
    <w:bookmarkEnd w:id="173"/>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74"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6.14. </w:t>
      </w:r>
      <w:r>
        <w:rPr>
          <w:rFonts w:ascii="Times New Roman" w:cs="Times New Roman" w:eastAsia="Times New Roman" w:hAnsi="Times New Roman"/>
          <w:sz w:val="22"/>
          <w:szCs w:val="22"/>
          <w:u w:val="single" w:color="auto"/>
          <w:color w:val="auto"/>
        </w:rPr>
        <w:t>SBIC Guarantee</w:t>
      </w:r>
      <w:r>
        <w:rPr>
          <w:rFonts w:ascii="Times New Roman" w:cs="Times New Roman" w:eastAsia="Times New Roman" w:hAnsi="Times New Roman"/>
          <w:sz w:val="22"/>
          <w:szCs w:val="22"/>
          <w:color w:val="auto"/>
        </w:rPr>
        <w:t>. The Borrower will not, nor will it permit any of its Subsidiaries to, cause or permit the occurrence of any event or condition that would result in any recourse to any Obligor under any Permitted SBIC Guarantee.</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VII</w:t>
      </w:r>
    </w:p>
    <w:p>
      <w:pPr>
        <w:spacing w:after="0" w:line="20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If any of the following events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shall occur and be continuing:</w:t>
      </w:r>
    </w:p>
    <w:p>
      <w:pPr>
        <w:spacing w:after="0" w:line="206" w:lineRule="exact"/>
        <w:rPr>
          <w:sz w:val="20"/>
          <w:szCs w:val="20"/>
          <w:color w:val="auto"/>
        </w:rPr>
      </w:pPr>
    </w:p>
    <w:p>
      <w:pPr>
        <w:jc w:val="both"/>
        <w:ind w:firstLine="1042"/>
        <w:spacing w:after="0" w:line="239" w:lineRule="auto"/>
        <w:tabs>
          <w:tab w:leader="none" w:pos="1342"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on the Commitment Termination Date;</w:t>
      </w:r>
    </w:p>
    <w:p>
      <w:pPr>
        <w:spacing w:after="0" w:line="180"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7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73"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3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77" w:lineRule="exact"/>
        <w:rPr>
          <w:rFonts w:ascii="Times New Roman" w:cs="Times New Roman" w:eastAsia="Times New Roman" w:hAnsi="Times New Roman"/>
          <w:sz w:val="22"/>
          <w:szCs w:val="22"/>
          <w:color w:val="auto"/>
        </w:rPr>
      </w:pPr>
    </w:p>
    <w:p>
      <w:pPr>
        <w:jc w:val="both"/>
        <w:ind w:firstLine="1042"/>
        <w:spacing w:after="0" w:line="242" w:lineRule="auto"/>
        <w:tabs>
          <w:tab w:leader="none" w:pos="136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fail to observe or perform any covenant, condition or agreement contained in (i)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(with respect to the Borrower’s existence) or </w:t>
      </w:r>
      <w:r>
        <w:rPr>
          <w:rFonts w:ascii="Times New Roman" w:cs="Times New Roman" w:eastAsia="Times New Roman" w:hAnsi="Times New Roman"/>
          <w:sz w:val="22"/>
          <w:szCs w:val="22"/>
          <w:u w:val="single" w:color="auto"/>
          <w:color w:val="auto"/>
        </w:rPr>
        <w:t>Sections 5.08(a)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any Obligor shall default in the</w:t>
      </w:r>
    </w:p>
    <w:p>
      <w:pPr>
        <w:spacing w:after="0" w:line="230" w:lineRule="auto"/>
        <w:rPr>
          <w:sz w:val="20"/>
          <w:szCs w:val="20"/>
          <w:color w:val="auto"/>
        </w:rPr>
      </w:pPr>
      <w:r>
        <w:rPr>
          <w:rFonts w:ascii="Times New Roman" w:cs="Times New Roman" w:eastAsia="Times New Roman" w:hAnsi="Times New Roman"/>
          <w:sz w:val="22"/>
          <w:szCs w:val="22"/>
          <w:color w:val="auto"/>
        </w:rPr>
        <w:t>performance  of  any  of  its  obligations  contained  in  Sections  3  and  7  of  the  Guarantee  and  Security  Agreement  or</w:t>
      </w:r>
    </w:p>
    <w:p>
      <w:pPr>
        <w:spacing w:after="0" w:line="1" w:lineRule="exact"/>
        <w:rPr>
          <w:sz w:val="20"/>
          <w:szCs w:val="20"/>
          <w:color w:val="auto"/>
        </w:rPr>
      </w:pPr>
    </w:p>
    <w:p>
      <w:pPr>
        <w:ind w:firstLine="8"/>
        <w:spacing w:after="0" w:line="237" w:lineRule="auto"/>
        <w:tabs>
          <w:tab w:leader="none" w:pos="31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Sections 5.01(e)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and such failure shall continue unremedied for a period of five or more days after notice thereof by the Administrative Agent (given at the request of any Lender) to the Borrower;</w:t>
      </w:r>
    </w:p>
    <w:p>
      <w:pPr>
        <w:spacing w:after="0" w:line="178"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33"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Times New Roman" w:cs="Times New Roman" w:eastAsia="Times New Roman" w:hAnsi="Times New Roman"/>
          <w:sz w:val="22"/>
          <w:szCs w:val="22"/>
          <w:u w:val="single" w:color="auto"/>
          <w:color w:val="auto"/>
        </w:rPr>
        <w:t>Section 5.01(e)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89"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4" w:name="page175"/>
    <w:bookmarkEnd w:id="174"/>
    <w:p>
      <w:pPr>
        <w:jc w:val="both"/>
        <w:ind w:firstLine="1042"/>
        <w:spacing w:after="0" w:line="239" w:lineRule="auto"/>
        <w:tabs>
          <w:tab w:leader="none" w:pos="1321"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any Obligor, as applicable, shall fail to observe or perform any covenant, condition or agreement contained in this Agreement (other than those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0"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84"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73" w:lineRule="exact"/>
        <w:rPr>
          <w:rFonts w:ascii="Times New Roman" w:cs="Times New Roman" w:eastAsia="Times New Roman" w:hAnsi="Times New Roman"/>
          <w:sz w:val="22"/>
          <w:szCs w:val="22"/>
          <w:color w:val="auto"/>
        </w:rPr>
      </w:pPr>
    </w:p>
    <w:p>
      <w:pPr>
        <w:jc w:val="both"/>
        <w:ind w:firstLine="1042"/>
        <w:spacing w:after="0" w:line="245" w:lineRule="auto"/>
        <w:tabs>
          <w:tab w:leader="none" w:pos="1341"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clause</w:t>
      </w:r>
    </w:p>
    <w:p>
      <w:pPr>
        <w:spacing w:after="0" w:line="3" w:lineRule="exact"/>
        <w:rPr>
          <w:rFonts w:ascii="Times New Roman" w:cs="Times New Roman" w:eastAsia="Times New Roman" w:hAnsi="Times New Roman"/>
          <w:sz w:val="21"/>
          <w:szCs w:val="21"/>
          <w:color w:val="auto"/>
        </w:rPr>
      </w:pPr>
    </w:p>
    <w:p>
      <w:pPr>
        <w:jc w:val="both"/>
        <w:ind w:firstLine="8"/>
        <w:spacing w:after="0" w:line="235" w:lineRule="auto"/>
        <w:tabs>
          <w:tab w:leader="none" w:pos="307" w:val="left"/>
        </w:tabs>
        <w:numPr>
          <w:ilvl w:val="0"/>
          <w:numId w:val="1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78" w:lineRule="exact"/>
        <w:rPr>
          <w:rFonts w:ascii="Times New Roman" w:cs="Times New Roman" w:eastAsia="Times New Roman" w:hAnsi="Times New Roman"/>
          <w:sz w:val="22"/>
          <w:szCs w:val="22"/>
          <w:u w:val="single" w:color="auto"/>
          <w:color w:val="auto"/>
        </w:rPr>
      </w:pPr>
    </w:p>
    <w:p>
      <w:pPr>
        <w:jc w:val="both"/>
        <w:ind w:firstLine="1042"/>
        <w:spacing w:after="0" w:line="235" w:lineRule="auto"/>
        <w:tabs>
          <w:tab w:leader="none" w:pos="1328"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83" w:lineRule="exact"/>
        <w:rPr>
          <w:rFonts w:ascii="Times New Roman" w:cs="Times New Roman" w:eastAsia="Times New Roman" w:hAnsi="Times New Roman"/>
          <w:sz w:val="22"/>
          <w:szCs w:val="22"/>
          <w:color w:val="auto"/>
        </w:rPr>
      </w:pPr>
    </w:p>
    <w:p>
      <w:pPr>
        <w:jc w:val="both"/>
        <w:ind w:firstLine="1042"/>
        <w:spacing w:after="0" w:line="235" w:lineRule="auto"/>
        <w:tabs>
          <w:tab w:leader="none" w:pos="1323"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9" w:lineRule="exact"/>
        <w:rPr>
          <w:rFonts w:ascii="Times New Roman" w:cs="Times New Roman" w:eastAsia="Times New Roman" w:hAnsi="Times New Roman"/>
          <w:sz w:val="22"/>
          <w:szCs w:val="22"/>
          <w:color w:val="auto"/>
        </w:rPr>
      </w:pPr>
    </w:p>
    <w:p>
      <w:pPr>
        <w:ind w:firstLine="1042"/>
        <w:spacing w:after="0" w:line="258" w:lineRule="auto"/>
        <w:tabs>
          <w:tab w:leader="none" w:pos="1353"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(other than Immaterial Subsidiaries) shall become unable, admit in writing its inability or fail generally to pay its debts as they become due;</w:t>
      </w:r>
    </w:p>
    <w:p>
      <w:pPr>
        <w:spacing w:after="0" w:line="158" w:lineRule="exact"/>
        <w:rPr>
          <w:rFonts w:ascii="Times New Roman" w:cs="Times New Roman" w:eastAsia="Times New Roman" w:hAnsi="Times New Roman"/>
          <w:sz w:val="22"/>
          <w:szCs w:val="22"/>
          <w:color w:val="auto"/>
        </w:rPr>
      </w:pPr>
    </w:p>
    <w:p>
      <w:pPr>
        <w:jc w:val="both"/>
        <w:ind w:firstLine="1042"/>
        <w:spacing w:after="0" w:line="238" w:lineRule="auto"/>
        <w:tabs>
          <w:tab w:leader="none" w:pos="1292"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75" w:name="page176"/>
    <w:bookmarkEnd w:id="175"/>
    <w:p>
      <w:pPr>
        <w:ind w:firstLine="1042"/>
        <w:spacing w:after="0" w:line="258" w:lineRule="auto"/>
        <w:tabs>
          <w:tab w:leader="none" w:pos="142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Required Lenders, when taken together with all other ERISA Events that have occurred, could reasonably be expected to result in a Material Adverse Effect;</w:t>
      </w:r>
    </w:p>
    <w:p>
      <w:pPr>
        <w:spacing w:after="0" w:line="158"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06"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cease to be managed by the External Manager or an Affiliate thereof;</w:t>
      </w:r>
    </w:p>
    <w:p>
      <w:pPr>
        <w:spacing w:after="0" w:line="206"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7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Final Maturity Date, both of the principals of the External Manager (who initially will be Alan Waxman and Joshua Easterly) fail to remain actively involved in the investment activities of the Borrower and the other investment vehicles managed by TPG Capital,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77"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6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82"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4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73" w:lineRule="exact"/>
        <w:rPr>
          <w:rFonts w:ascii="Times New Roman" w:cs="Times New Roman" w:eastAsia="Times New Roman" w:hAnsi="Times New Roman"/>
          <w:sz w:val="22"/>
          <w:szCs w:val="22"/>
          <w:color w:val="auto"/>
        </w:rPr>
      </w:pPr>
    </w:p>
    <w:p>
      <w:pPr>
        <w:jc w:val="both"/>
        <w:ind w:firstLine="1042"/>
        <w:spacing w:after="0" w:line="239" w:lineRule="auto"/>
        <w:tabs>
          <w:tab w:leader="none" w:pos="135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Obligors shall at any time, without the consent of the Required Lenders fail to comply with the covenant contained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0" w:lineRule="exact"/>
        <w:rPr>
          <w:rFonts w:ascii="Times New Roman" w:cs="Times New Roman" w:eastAsia="Times New Roman" w:hAnsi="Times New Roman"/>
          <w:sz w:val="22"/>
          <w:szCs w:val="22"/>
          <w:color w:val="auto"/>
        </w:rPr>
      </w:pPr>
    </w:p>
    <w:p>
      <w:pPr>
        <w:ind w:firstLine="1042"/>
        <w:spacing w:after="0" w:line="258" w:lineRule="auto"/>
        <w:tabs>
          <w:tab w:leader="none" w:pos="131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any of its Subsidiaries shall cause or permit the occurrence of any condition or event that would result in any recourse to any Obligor under any Permitted SBIC Guarantee;</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then, and in every such event (other than an event with respect to the Borrower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6" w:name="page177"/>
    <w:bookmarkEnd w:id="176"/>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Article.</w:t>
      </w:r>
    </w:p>
    <w:p>
      <w:pPr>
        <w:spacing w:after="0" w:line="184" w:lineRule="exact"/>
        <w:rPr>
          <w:sz w:val="20"/>
          <w:szCs w:val="20"/>
          <w:color w:val="auto"/>
        </w:rPr>
      </w:pPr>
    </w:p>
    <w:p>
      <w:pPr>
        <w:jc w:val="both"/>
        <w:ind w:firstLine="1034"/>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06" w:lineRule="exact"/>
        <w:rPr>
          <w:sz w:val="20"/>
          <w:szCs w:val="20"/>
          <w:color w:val="auto"/>
        </w:rPr>
      </w:pPr>
    </w:p>
    <w:p>
      <w:pPr>
        <w:jc w:val="both"/>
        <w:ind w:firstLine="1034"/>
        <w:spacing w:after="0" w:line="235"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Appointment of the Administrative Agent</w:t>
      </w:r>
      <w:r>
        <w:rPr>
          <w:rFonts w:ascii="Times New Roman" w:cs="Times New Roman" w:eastAsia="Times New Roman" w:hAnsi="Times New Roman"/>
          <w:sz w:val="22"/>
          <w:szCs w:val="22"/>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8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Capacity as Lender</w:t>
      </w:r>
      <w:r>
        <w:rPr>
          <w:rFonts w:ascii="Times New Roman" w:cs="Times New Roman" w:eastAsia="Times New Roman" w:hAnsi="Times New Roman"/>
          <w:sz w:val="22"/>
          <w:szCs w:val="22"/>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7" w:name="page178"/>
    <w:bookmarkEnd w:id="177"/>
    <w:p>
      <w:pPr>
        <w:jc w:val="both"/>
        <w:spacing w:after="0" w:line="258" w:lineRule="auto"/>
        <w:rPr>
          <w:sz w:val="20"/>
          <w:szCs w:val="20"/>
          <w:color w:val="auto"/>
        </w:rPr>
      </w:pPr>
      <w:r>
        <w:rPr>
          <w:rFonts w:ascii="Times New Roman" w:cs="Times New Roman" w:eastAsia="Times New Roman" w:hAnsi="Times New Roman"/>
          <w:sz w:val="22"/>
          <w:szCs w:val="22"/>
          <w:color w:val="auto"/>
        </w:rPr>
        <w:t>lend money to and generally engage in any kind of business with the Borrower or any Subsidiary or other Affiliate thereof as if it were not the Administrative Agent hereunder.</w:t>
      </w:r>
    </w:p>
    <w:p>
      <w:pPr>
        <w:spacing w:after="0" w:line="158" w:lineRule="exact"/>
        <w:rPr>
          <w:sz w:val="20"/>
          <w:szCs w:val="20"/>
          <w:color w:val="auto"/>
        </w:rPr>
      </w:pPr>
    </w:p>
    <w:p>
      <w:pPr>
        <w:jc w:val="both"/>
        <w:ind w:firstLine="1034"/>
        <w:spacing w:after="0" w:line="232"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Limitation of Duties; Exculpation</w:t>
      </w:r>
      <w:r>
        <w:rPr>
          <w:rFonts w:ascii="Times New Roman" w:cs="Times New Roman" w:eastAsia="Times New Roman" w:hAnsi="Times New Roman"/>
          <w:sz w:val="22"/>
          <w:szCs w:val="22"/>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herein or therein, other than to confirm receipt of items expressly required to be delivered to the Administrative Agent.</w:t>
      </w:r>
    </w:p>
    <w:p>
      <w:pPr>
        <w:spacing w:after="0" w:line="189" w:lineRule="exact"/>
        <w:rPr>
          <w:sz w:val="20"/>
          <w:szCs w:val="20"/>
          <w:color w:val="auto"/>
        </w:rPr>
      </w:pPr>
    </w:p>
    <w:p>
      <w:pPr>
        <w:jc w:val="both"/>
        <w:ind w:firstLine="1034"/>
        <w:spacing w:after="0" w:line="248"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Reliance</w:t>
      </w:r>
      <w:r>
        <w:rPr>
          <w:rFonts w:ascii="Times New Roman" w:cs="Times New Roman" w:eastAsia="Times New Roman" w:hAnsi="Times New Roman"/>
          <w:sz w:val="21"/>
          <w:szCs w:val="21"/>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1"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Sub-Agents</w:t>
      </w:r>
      <w:r>
        <w:rPr>
          <w:rFonts w:ascii="Times New Roman" w:cs="Times New Roman" w:eastAsia="Times New Roman" w:hAnsi="Times New Roman"/>
          <w:sz w:val="22"/>
          <w:szCs w:val="22"/>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84"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Resignation; Successor Administrative Agent</w:t>
      </w:r>
      <w:r>
        <w:rPr>
          <w:rFonts w:ascii="Times New Roman" w:cs="Times New Roman" w:eastAsia="Times New Roman" w:hAnsi="Times New Roman"/>
          <w:sz w:val="22"/>
          <w:szCs w:val="22"/>
          <w:color w:val="auto"/>
        </w:rPr>
        <w:t>. The Administrative Agent may resign at any time by notifying the Lenders, the Issuing Banks and the Borrower. Upon any such resignation,</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78" w:name="page179"/>
    <w:bookmarkEnd w:id="178"/>
    <w:p>
      <w:pPr>
        <w:jc w:val="both"/>
        <w:spacing w:after="0" w:line="236" w:lineRule="auto"/>
        <w:rPr>
          <w:sz w:val="20"/>
          <w:szCs w:val="20"/>
          <w:color w:val="auto"/>
        </w:rPr>
      </w:pPr>
      <w:r>
        <w:rPr>
          <w:rFonts w:ascii="Times New Roman" w:cs="Times New Roman" w:eastAsia="Times New Roman" w:hAnsi="Times New Roman"/>
          <w:sz w:val="22"/>
          <w:szCs w:val="22"/>
          <w:color w:val="auto"/>
        </w:rPr>
        <w:t>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w:t>
      </w:r>
    </w:p>
    <w:p>
      <w:pPr>
        <w:spacing w:after="0" w:line="1" w:lineRule="exact"/>
        <w:rPr>
          <w:sz w:val="20"/>
          <w:szCs w:val="20"/>
          <w:color w:val="auto"/>
        </w:rPr>
      </w:pPr>
    </w:p>
    <w:p>
      <w:pPr>
        <w:jc w:val="both"/>
        <w:ind w:firstLine="8"/>
        <w:spacing w:after="0" w:line="231" w:lineRule="auto"/>
        <w:tabs>
          <w:tab w:leader="none" w:pos="32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shall continue in effect for its benefit in respect of any actions taken or omitted to be taken by it while it was acting as Administrative Agent.</w:t>
      </w:r>
    </w:p>
    <w:p>
      <w:pPr>
        <w:spacing w:after="0" w:line="188" w:lineRule="exact"/>
        <w:rPr>
          <w:sz w:val="20"/>
          <w:szCs w:val="20"/>
          <w:color w:val="auto"/>
        </w:rPr>
      </w:pPr>
    </w:p>
    <w:p>
      <w:pPr>
        <w:jc w:val="both"/>
        <w:ind w:firstLine="518"/>
        <w:spacing w:after="0" w:line="248" w:lineRule="auto"/>
        <w:rPr>
          <w:sz w:val="20"/>
          <w:szCs w:val="20"/>
          <w:color w:val="auto"/>
        </w:rPr>
      </w:pPr>
      <w:r>
        <w:rPr>
          <w:rFonts w:ascii="Times New Roman" w:cs="Times New Roman" w:eastAsia="Times New Roman" w:hAnsi="Times New Roman"/>
          <w:sz w:val="21"/>
          <w:szCs w:val="21"/>
          <w:color w:val="auto"/>
        </w:rPr>
        <w:t>Any resignation by SunTrust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71" w:lineRule="exact"/>
        <w:rPr>
          <w:sz w:val="20"/>
          <w:szCs w:val="20"/>
          <w:color w:val="auto"/>
        </w:rPr>
      </w:pPr>
    </w:p>
    <w:p>
      <w:pPr>
        <w:jc w:val="both"/>
        <w:ind w:firstLine="1034"/>
        <w:spacing w:after="0" w:line="246" w:lineRule="auto"/>
        <w:rPr>
          <w:sz w:val="20"/>
          <w:szCs w:val="20"/>
          <w:color w:val="auto"/>
        </w:rPr>
      </w:pPr>
      <w:r>
        <w:rPr>
          <w:rFonts w:ascii="Times New Roman" w:cs="Times New Roman" w:eastAsia="Times New Roman" w:hAnsi="Times New Roman"/>
          <w:sz w:val="21"/>
          <w:szCs w:val="21"/>
          <w:color w:val="auto"/>
        </w:rPr>
        <w:t xml:space="preserve">SECTION 8.07. </w:t>
      </w:r>
      <w:r>
        <w:rPr>
          <w:rFonts w:ascii="Times New Roman" w:cs="Times New Roman" w:eastAsia="Times New Roman" w:hAnsi="Times New Roman"/>
          <w:sz w:val="21"/>
          <w:szCs w:val="21"/>
          <w:u w:val="single" w:color="auto"/>
          <w:color w:val="auto"/>
        </w:rPr>
        <w:t>Reliance by Lenders</w:t>
      </w:r>
      <w:r>
        <w:rPr>
          <w:rFonts w:ascii="Times New Roman" w:cs="Times New Roman" w:eastAsia="Times New Roman" w:hAnsi="Times New Roman"/>
          <w:sz w:val="21"/>
          <w:szCs w:val="21"/>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72" w:lineRule="exact"/>
        <w:rPr>
          <w:sz w:val="20"/>
          <w:szCs w:val="20"/>
          <w:color w:val="auto"/>
        </w:rPr>
      </w:pPr>
    </w:p>
    <w:p>
      <w:pPr>
        <w:jc w:val="both"/>
        <w:ind w:firstLine="518"/>
        <w:spacing w:after="0" w:line="244" w:lineRule="auto"/>
        <w:rPr>
          <w:sz w:val="20"/>
          <w:szCs w:val="20"/>
          <w:color w:val="auto"/>
        </w:rPr>
      </w:pPr>
      <w:r>
        <w:rPr>
          <w:rFonts w:ascii="Times New Roman" w:cs="Times New Roman" w:eastAsia="Times New Roman" w:hAnsi="Times New Roman"/>
          <w:sz w:val="22"/>
          <w:szCs w:val="22"/>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7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Modifications to Loan Documents</w:t>
      </w:r>
      <w:r>
        <w:rPr>
          <w:rFonts w:ascii="Times New Roman" w:cs="Times New Roman" w:eastAsia="Times New Roman" w:hAnsi="Times New Roman"/>
          <w:sz w:val="22"/>
          <w:szCs w:val="22"/>
          <w:color w:val="auto"/>
        </w:rPr>
        <w:t xml:space="preserve">. Except as otherwise provided in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Agreement or the Security Documents with respect to this Agreement, the Administrative Agent may, with the prior consent of the Required Lenders (but not otherwise), consent to any</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9" w:name="page180"/>
    <w:bookmarkEnd w:id="179"/>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modification, supplement or waiver under any of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IX</w:t>
      </w: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Notices; Electronic Communications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4" w:lineRule="auto"/>
        <w:tabs>
          <w:tab w:leader="none" w:pos="1355"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73" w:lineRule="exact"/>
        <w:rPr>
          <w:rFonts w:ascii="Times New Roman" w:cs="Times New Roman" w:eastAsia="Times New Roman" w:hAnsi="Times New Roman"/>
          <w:sz w:val="22"/>
          <w:szCs w:val="22"/>
          <w:color w:val="auto"/>
        </w:rPr>
      </w:pPr>
    </w:p>
    <w:p>
      <w:pPr>
        <w:ind w:left="1280" w:hanging="259"/>
        <w:spacing w:after="0"/>
        <w:tabs>
          <w:tab w:leader="none" w:pos="128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 to it at:</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TPG Specialty Lending, Inc.</w:t>
      </w:r>
    </w:p>
    <w:p>
      <w:pPr>
        <w:spacing w:after="0" w:line="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888 Seventh Avenue, 35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ind w:left="2080"/>
        <w:spacing w:after="0" w:line="230" w:lineRule="auto"/>
        <w:rPr>
          <w:sz w:val="20"/>
          <w:szCs w:val="20"/>
          <w:color w:val="auto"/>
        </w:rPr>
      </w:pPr>
      <w:r>
        <w:rPr>
          <w:rFonts w:ascii="Times New Roman" w:cs="Times New Roman" w:eastAsia="Times New Roman" w:hAnsi="Times New Roman"/>
          <w:sz w:val="22"/>
          <w:szCs w:val="22"/>
          <w:color w:val="auto"/>
        </w:rPr>
        <w:t>New York, New York 10019</w:t>
      </w:r>
    </w:p>
    <w:p>
      <w:pPr>
        <w:ind w:left="2080"/>
        <w:spacing w:after="0" w:line="231" w:lineRule="auto"/>
        <w:rPr>
          <w:sz w:val="20"/>
          <w:szCs w:val="20"/>
          <w:color w:val="auto"/>
        </w:rPr>
      </w:pPr>
      <w:r>
        <w:rPr>
          <w:rFonts w:ascii="Times New Roman" w:cs="Times New Roman" w:eastAsia="Times New Roman" w:hAnsi="Times New Roman"/>
          <w:sz w:val="22"/>
          <w:szCs w:val="22"/>
          <w:color w:val="auto"/>
        </w:rPr>
        <w:t>Attention: Shari Withem</w:t>
      </w:r>
    </w:p>
    <w:p>
      <w:pPr>
        <w:ind w:left="2080"/>
        <w:spacing w:after="0" w:line="230" w:lineRule="auto"/>
        <w:rPr>
          <w:sz w:val="20"/>
          <w:szCs w:val="20"/>
          <w:color w:val="auto"/>
        </w:rPr>
      </w:pPr>
      <w:r>
        <w:rPr>
          <w:rFonts w:ascii="Times New Roman" w:cs="Times New Roman" w:eastAsia="Times New Roman" w:hAnsi="Times New Roman"/>
          <w:sz w:val="22"/>
          <w:szCs w:val="22"/>
          <w:color w:val="auto"/>
        </w:rPr>
        <w:t>Telecopy Number: (212) 430-7515</w:t>
      </w:r>
    </w:p>
    <w:p>
      <w:pPr>
        <w:spacing w:after="0" w:line="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Telephone: (212) 430-4115</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(ii) if to the Administrative Agent or SunTrust, in its capacity as a Swingline Lender, to it at:</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SunTrust Bank</w:t>
      </w:r>
    </w:p>
    <w:p>
      <w:pPr>
        <w:spacing w:after="0" w:line="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3333 Peachtree Road, 7</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ind w:left="2080"/>
        <w:spacing w:after="0" w:line="230" w:lineRule="auto"/>
        <w:rPr>
          <w:sz w:val="20"/>
          <w:szCs w:val="20"/>
          <w:color w:val="auto"/>
        </w:rPr>
      </w:pPr>
      <w:r>
        <w:rPr>
          <w:rFonts w:ascii="Times New Roman" w:cs="Times New Roman" w:eastAsia="Times New Roman" w:hAnsi="Times New Roman"/>
          <w:sz w:val="22"/>
          <w:szCs w:val="22"/>
          <w:color w:val="auto"/>
        </w:rPr>
        <w:t>Atlanta, Georgia 30326</w:t>
      </w:r>
    </w:p>
    <w:p>
      <w:pPr>
        <w:ind w:left="2080"/>
        <w:spacing w:after="0" w:line="231" w:lineRule="auto"/>
        <w:rPr>
          <w:sz w:val="20"/>
          <w:szCs w:val="20"/>
          <w:color w:val="auto"/>
        </w:rPr>
      </w:pPr>
      <w:r>
        <w:rPr>
          <w:rFonts w:ascii="Times New Roman" w:cs="Times New Roman" w:eastAsia="Times New Roman" w:hAnsi="Times New Roman"/>
          <w:sz w:val="22"/>
          <w:szCs w:val="22"/>
          <w:color w:val="auto"/>
        </w:rPr>
        <w:t>Attention: Doug Kennedy</w:t>
      </w:r>
    </w:p>
    <w:p>
      <w:pPr>
        <w:ind w:left="2080"/>
        <w:spacing w:after="0"/>
        <w:rPr>
          <w:sz w:val="20"/>
          <w:szCs w:val="20"/>
          <w:color w:val="auto"/>
        </w:rPr>
      </w:pPr>
      <w:r>
        <w:rPr>
          <w:rFonts w:ascii="Times New Roman" w:cs="Times New Roman" w:eastAsia="Times New Roman" w:hAnsi="Times New Roman"/>
          <w:sz w:val="22"/>
          <w:szCs w:val="22"/>
          <w:color w:val="auto"/>
        </w:rPr>
        <w:t>Telecopy Number: (404) 739-7390</w:t>
      </w:r>
    </w:p>
    <w:p>
      <w:pPr>
        <w:spacing w:after="0" w:line="18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SunTrust Bank</w:t>
      </w:r>
    </w:p>
    <w:p>
      <w:pPr>
        <w:spacing w:after="0" w:line="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Agency Services</w:t>
      </w:r>
    </w:p>
    <w:p>
      <w:pPr>
        <w:ind w:left="2080"/>
        <w:spacing w:after="0" w:line="230" w:lineRule="auto"/>
        <w:rPr>
          <w:sz w:val="20"/>
          <w:szCs w:val="20"/>
          <w:color w:val="auto"/>
        </w:rPr>
      </w:pPr>
      <w:r>
        <w:rPr>
          <w:rFonts w:ascii="Times New Roman" w:cs="Times New Roman" w:eastAsia="Times New Roman" w:hAnsi="Times New Roman"/>
          <w:sz w:val="22"/>
          <w:szCs w:val="22"/>
          <w:color w:val="auto"/>
        </w:rPr>
        <w:t>303 Peachtree Street, N. E./ 25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ind w:left="2080"/>
        <w:spacing w:after="0" w:line="231" w:lineRule="auto"/>
        <w:rPr>
          <w:sz w:val="20"/>
          <w:szCs w:val="20"/>
          <w:color w:val="auto"/>
        </w:rPr>
      </w:pPr>
      <w:r>
        <w:rPr>
          <w:rFonts w:ascii="Times New Roman" w:cs="Times New Roman" w:eastAsia="Times New Roman" w:hAnsi="Times New Roman"/>
          <w:sz w:val="22"/>
          <w:szCs w:val="22"/>
          <w:color w:val="auto"/>
        </w:rPr>
        <w:t>Atlanta, Georgia 30308</w:t>
      </w:r>
    </w:p>
    <w:p>
      <w:pPr>
        <w:ind w:left="2080"/>
        <w:spacing w:after="0" w:line="230" w:lineRule="auto"/>
        <w:rPr>
          <w:sz w:val="20"/>
          <w:szCs w:val="20"/>
          <w:color w:val="auto"/>
        </w:rPr>
      </w:pPr>
      <w:r>
        <w:rPr>
          <w:rFonts w:ascii="Times New Roman" w:cs="Times New Roman" w:eastAsia="Times New Roman" w:hAnsi="Times New Roman"/>
          <w:sz w:val="22"/>
          <w:szCs w:val="22"/>
          <w:color w:val="auto"/>
        </w:rPr>
        <w:t>Attention: Wanda Gregory</w:t>
      </w:r>
    </w:p>
    <w:p>
      <w:pPr>
        <w:spacing w:after="0" w:line="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Telecopy Number: (404) 658-4906</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(iii) if to the SunTrust, in its capacity as Issuing Bank, to it at:</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SunTrust Bank</w:t>
      </w:r>
    </w:p>
    <w:p>
      <w:pPr>
        <w:spacing w:after="0" w:line="1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303 Peachtree Street, N. E./ 25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spacing w:after="0" w:line="189"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0" w:name="page181"/>
    <w:bookmarkEnd w:id="180"/>
    <w:p>
      <w:pPr>
        <w:ind w:left="2080"/>
        <w:spacing w:after="0"/>
        <w:rPr>
          <w:sz w:val="20"/>
          <w:szCs w:val="20"/>
          <w:color w:val="auto"/>
        </w:rPr>
      </w:pPr>
      <w:r>
        <w:rPr>
          <w:rFonts w:ascii="Times New Roman" w:cs="Times New Roman" w:eastAsia="Times New Roman" w:hAnsi="Times New Roman"/>
          <w:sz w:val="22"/>
          <w:szCs w:val="22"/>
          <w:color w:val="auto"/>
        </w:rPr>
        <w:t>Atlanta, Georgia 30308</w:t>
      </w:r>
    </w:p>
    <w:p>
      <w:pPr>
        <w:spacing w:after="0" w:line="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Attention: Wanda Gregory</w:t>
      </w:r>
    </w:p>
    <w:p>
      <w:pPr>
        <w:ind w:left="2080"/>
        <w:spacing w:after="0"/>
        <w:rPr>
          <w:sz w:val="20"/>
          <w:szCs w:val="20"/>
          <w:color w:val="auto"/>
        </w:rPr>
      </w:pPr>
      <w:r>
        <w:rPr>
          <w:rFonts w:ascii="Times New Roman" w:cs="Times New Roman" w:eastAsia="Times New Roman" w:hAnsi="Times New Roman"/>
          <w:sz w:val="22"/>
          <w:szCs w:val="22"/>
          <w:color w:val="auto"/>
        </w:rPr>
        <w:t>Telecopy Number: (404) 658-4906</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(iv) if to JPMorgan Chase Bank, N.A., in its capacity as a Swingline Lender and an Issuing Bank:</w:t>
      </w:r>
    </w:p>
    <w:p>
      <w:pPr>
        <w:spacing w:after="0" w:line="20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Ground floor, 1st to 6th floors, Platina 3, Kodbis, Floor 03</w:t>
      </w:r>
    </w:p>
    <w:p>
      <w:pPr>
        <w:ind w:left="2080"/>
        <w:spacing w:after="0" w:line="230" w:lineRule="auto"/>
        <w:rPr>
          <w:sz w:val="20"/>
          <w:szCs w:val="20"/>
          <w:color w:val="auto"/>
        </w:rPr>
      </w:pPr>
      <w:r>
        <w:rPr>
          <w:rFonts w:ascii="Times New Roman" w:cs="Times New Roman" w:eastAsia="Times New Roman" w:hAnsi="Times New Roman"/>
          <w:sz w:val="22"/>
          <w:szCs w:val="22"/>
          <w:color w:val="auto"/>
        </w:rPr>
        <w:t>Bengaluru, 560 103, India</w:t>
      </w:r>
    </w:p>
    <w:p>
      <w:pPr>
        <w:ind w:left="2080"/>
        <w:spacing w:after="0" w:line="231" w:lineRule="auto"/>
        <w:rPr>
          <w:sz w:val="20"/>
          <w:szCs w:val="20"/>
          <w:color w:val="auto"/>
        </w:rPr>
      </w:pPr>
      <w:r>
        <w:rPr>
          <w:rFonts w:ascii="Times New Roman" w:cs="Times New Roman" w:eastAsia="Times New Roman" w:hAnsi="Times New Roman"/>
          <w:sz w:val="22"/>
          <w:szCs w:val="22"/>
          <w:color w:val="auto"/>
        </w:rPr>
        <w:t>Attention: Sneha Machani</w:t>
      </w:r>
    </w:p>
    <w:p>
      <w:pPr>
        <w:ind w:left="2080"/>
        <w:spacing w:after="0"/>
        <w:rPr>
          <w:sz w:val="20"/>
          <w:szCs w:val="20"/>
          <w:color w:val="auto"/>
        </w:rPr>
      </w:pPr>
      <w:r>
        <w:rPr>
          <w:rFonts w:ascii="Times New Roman" w:cs="Times New Roman" w:eastAsia="Times New Roman" w:hAnsi="Times New Roman"/>
          <w:sz w:val="22"/>
          <w:szCs w:val="22"/>
          <w:color w:val="auto"/>
        </w:rPr>
        <w:t>Telecopy Number: (201) 244-3885</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(v) if to any other Lender, to it at its address (or telecopy number) set forth in its Administrative Questionnaire.</w:t>
      </w:r>
    </w:p>
    <w:p>
      <w:pPr>
        <w:spacing w:after="0" w:line="206"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below, shall be effective as provided in said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042"/>
        <w:spacing w:after="0" w:line="235" w:lineRule="auto"/>
        <w:tabs>
          <w:tab w:leader="none" w:pos="135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any Issuing Bank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79" w:lineRule="exact"/>
        <w:rPr>
          <w:sz w:val="20"/>
          <w:szCs w:val="20"/>
          <w:color w:val="auto"/>
        </w:rPr>
      </w:pPr>
    </w:p>
    <w:p>
      <w:pPr>
        <w:jc w:val="both"/>
        <w:ind w:firstLine="1042"/>
        <w:spacing w:after="0" w:line="235" w:lineRule="auto"/>
        <w:tabs>
          <w:tab w:leader="none" w:pos="130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notification that such notice or communication is available and identifying the website address therefor.</w:t>
      </w:r>
    </w:p>
    <w:p>
      <w:pPr>
        <w:spacing w:after="0" w:line="184"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w:t>
      </w:r>
    </w:p>
    <w:p>
      <w:pPr>
        <w:spacing w:after="0" w:line="19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81" w:name="page182"/>
    <w:bookmarkEnd w:id="181"/>
    <w:p>
      <w:pPr>
        <w:ind w:right="20"/>
        <w:spacing w:after="0" w:line="258" w:lineRule="auto"/>
        <w:rPr>
          <w:sz w:val="20"/>
          <w:szCs w:val="20"/>
          <w:color w:val="auto"/>
        </w:rPr>
      </w:pPr>
      <w:r>
        <w:rPr>
          <w:rFonts w:ascii="Times New Roman" w:cs="Times New Roman" w:eastAsia="Times New Roman" w:hAnsi="Times New Roman"/>
          <w:sz w:val="22"/>
          <w:szCs w:val="22"/>
          <w:color w:val="auto"/>
        </w:rPr>
        <w:t>or other code defects is made by the Administrative Agent and any of its Related Parties in connection with the Platform or the electronic communications media approved by the Administrative Agent as provided for herein.</w:t>
      </w:r>
    </w:p>
    <w:p>
      <w:pPr>
        <w:spacing w:after="0" w:line="158" w:lineRule="exact"/>
        <w:rPr>
          <w:sz w:val="20"/>
          <w:szCs w:val="20"/>
          <w:color w:val="auto"/>
        </w:rPr>
      </w:pPr>
    </w:p>
    <w:p>
      <w:pPr>
        <w:jc w:val="both"/>
        <w:ind w:firstLine="1042"/>
        <w:spacing w:after="0" w:line="234" w:lineRule="auto"/>
        <w:tabs>
          <w:tab w:leader="none" w:pos="132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Side Information Contacts</w:t>
      </w:r>
      <w:r>
        <w:rPr>
          <w:rFonts w:ascii="Times New Roman" w:cs="Times New Roman" w:eastAsia="Times New Roman" w:hAnsi="Times New Roman"/>
          <w:sz w:val="22"/>
          <w:szCs w:val="22"/>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80"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4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 to be Delivered under Sections 5.01 and 5.12(a)</w:t>
      </w:r>
      <w:r>
        <w:rPr>
          <w:rFonts w:ascii="Times New Roman" w:cs="Times New Roman" w:eastAsia="Times New Roman" w:hAnsi="Times New Roman"/>
          <w:sz w:val="22"/>
          <w:szCs w:val="22"/>
          <w:color w:val="auto"/>
        </w:rPr>
        <w:t xml:space="preserve">. For so long as an Intralinks™ or equivalent website is available to each of the Lenders hereunder, the Borrower may satisfy its obligation to deliver documents to the Administrative Agent or the Lenders under </w:t>
      </w:r>
      <w:r>
        <w:rPr>
          <w:rFonts w:ascii="Times New Roman" w:cs="Times New Roman" w:eastAsia="Times New Roman" w:hAnsi="Times New Roman"/>
          <w:sz w:val="22"/>
          <w:szCs w:val="22"/>
          <w:u w:val="single" w:color="auto"/>
          <w:color w:val="auto"/>
        </w:rPr>
        <w:t>Sections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5.12(a)</w:t>
      </w:r>
      <w:r>
        <w:rPr>
          <w:rFonts w:ascii="Times New Roman" w:cs="Times New Roman" w:eastAsia="Times New Roman" w:hAnsi="Times New Roman"/>
          <w:sz w:val="22"/>
          <w:szCs w:val="22"/>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have no responsibility to maintain access to Intralinks™ or an equivalent website.</w:t>
      </w:r>
    </w:p>
    <w:p>
      <w:pPr>
        <w:spacing w:after="0" w:line="18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4" w:lineRule="auto"/>
        <w:tabs>
          <w:tab w:leader="none" w:pos="1341"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Deemed Waivers Remedies Cumulative</w:t>
      </w:r>
      <w:r>
        <w:rPr>
          <w:rFonts w:ascii="Times New Roman" w:cs="Times New Roman" w:eastAsia="Times New Roman" w:hAnsi="Times New Roman"/>
          <w:sz w:val="22"/>
          <w:szCs w:val="22"/>
          <w:color w:val="auto"/>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76"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67"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this Agreement</w:t>
      </w:r>
      <w:r>
        <w:rPr>
          <w:rFonts w:ascii="Times New Roman" w:cs="Times New Roman" w:eastAsia="Times New Roman" w:hAnsi="Times New Roman"/>
          <w:sz w:val="22"/>
          <w:szCs w:val="22"/>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shall:</w:t>
      </w:r>
    </w:p>
    <w:p>
      <w:pPr>
        <w:spacing w:after="0" w:line="173" w:lineRule="exact"/>
        <w:rPr>
          <w:rFonts w:ascii="Times New Roman" w:cs="Times New Roman" w:eastAsia="Times New Roman" w:hAnsi="Times New Roman"/>
          <w:sz w:val="22"/>
          <w:szCs w:val="22"/>
          <w:color w:val="auto"/>
        </w:rPr>
      </w:pPr>
    </w:p>
    <w:p>
      <w:pPr>
        <w:ind w:left="1280" w:hanging="259"/>
        <w:spacing w:after="0"/>
        <w:tabs>
          <w:tab w:leader="none" w:pos="128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Commitment of any Lender without the written consent of such Lender,</w:t>
      </w:r>
    </w:p>
    <w:p>
      <w:pPr>
        <w:spacing w:after="0" w:line="206" w:lineRule="exact"/>
        <w:rPr>
          <w:rFonts w:ascii="Times New Roman" w:cs="Times New Roman" w:eastAsia="Times New Roman" w:hAnsi="Times New Roman"/>
          <w:sz w:val="22"/>
          <w:szCs w:val="22"/>
          <w:color w:val="auto"/>
        </w:rPr>
      </w:pPr>
    </w:p>
    <w:p>
      <w:pPr>
        <w:ind w:left="520" w:firstLine="501"/>
        <w:spacing w:after="0" w:line="258" w:lineRule="auto"/>
        <w:tabs>
          <w:tab w:leader="none" w:pos="134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of any Loan or LC Disbursement or reduce the rate of interest thereon, or reduce any fees payable hereunder, without the written consent of each Lender affected thereby,</w:t>
      </w:r>
    </w:p>
    <w:p>
      <w:pPr>
        <w:spacing w:after="0" w:line="16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2" w:name="page183"/>
    <w:bookmarkEnd w:id="182"/>
    <w:p>
      <w:pPr>
        <w:jc w:val="both"/>
        <w:ind w:left="520" w:firstLine="501"/>
        <w:spacing w:after="0" w:line="244" w:lineRule="auto"/>
        <w:tabs>
          <w:tab w:leader="none" w:pos="140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73" w:lineRule="exact"/>
        <w:rPr>
          <w:rFonts w:ascii="Times New Roman" w:cs="Times New Roman" w:eastAsia="Times New Roman" w:hAnsi="Times New Roman"/>
          <w:sz w:val="22"/>
          <w:szCs w:val="22"/>
          <w:color w:val="auto"/>
        </w:rPr>
      </w:pPr>
    </w:p>
    <w:p>
      <w:pPr>
        <w:ind w:left="520" w:firstLine="501"/>
        <w:spacing w:after="0" w:line="258" w:lineRule="auto"/>
        <w:tabs>
          <w:tab w:leader="none" w:pos="139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in a manner that would alter the pro rata sharing of payments required thereby without the written consent of each Lender affected thereby, or</w:t>
      </w:r>
    </w:p>
    <w:p>
      <w:pPr>
        <w:spacing w:after="0" w:line="158" w:lineRule="exact"/>
        <w:rPr>
          <w:rFonts w:ascii="Times New Roman" w:cs="Times New Roman" w:eastAsia="Times New Roman" w:hAnsi="Times New Roman"/>
          <w:sz w:val="22"/>
          <w:szCs w:val="22"/>
          <w:color w:val="auto"/>
        </w:rPr>
      </w:pPr>
    </w:p>
    <w:p>
      <w:pPr>
        <w:jc w:val="both"/>
        <w:ind w:left="520" w:firstLine="501"/>
        <w:spacing w:after="0" w:line="244" w:lineRule="auto"/>
        <w:tabs>
          <w:tab w:leader="none" w:pos="132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Times New Roman" w:cs="Times New Roman" w:eastAsia="Times New Roman" w:hAnsi="Times New Roman"/>
          <w:sz w:val="21"/>
          <w:szCs w:val="21"/>
          <w:u w:val="single" w:color="auto"/>
          <w:color w:val="auto"/>
        </w:rPr>
        <w:t>Section 5.12(b)(ii)(E)</w:t>
      </w:r>
      <w:r>
        <w:rPr>
          <w:rFonts w:ascii="Times New Roman" w:cs="Times New Roman" w:eastAsia="Times New Roman" w:hAnsi="Times New Roman"/>
          <w:sz w:val="21"/>
          <w:szCs w:val="21"/>
          <w:color w:val="auto"/>
        </w:rPr>
        <w:t xml:space="preserve"> and</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but including changes to the provisions of </w:t>
      </w:r>
      <w:r>
        <w:rPr>
          <w:rFonts w:ascii="Times New Roman" w:cs="Times New Roman" w:eastAsia="Times New Roman" w:hAnsi="Times New Roman"/>
          <w:sz w:val="22"/>
          <w:szCs w:val="22"/>
          <w:u w:val="single" w:color="auto"/>
          <w:color w:val="auto"/>
        </w:rPr>
        <w:t>Section 5.12(c)(ii)</w:t>
      </w:r>
      <w:r>
        <w:rPr>
          <w:rFonts w:ascii="Times New Roman" w:cs="Times New Roman" w:eastAsia="Times New Roman" w:hAnsi="Times New Roman"/>
          <w:sz w:val="22"/>
          <w:szCs w:val="22"/>
          <w:color w:val="auto"/>
        </w:rPr>
        <w:t xml:space="preserve"> and the definitions set forth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for any release of any material portion of the Collateral other than for fair value or as otherwise permitted hereunder or under the other Loan Documents.</w:t>
      </w:r>
    </w:p>
    <w:p>
      <w:pPr>
        <w:spacing w:after="0" w:line="178"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181" w:lineRule="exact"/>
        <w:rPr>
          <w:sz w:val="20"/>
          <w:szCs w:val="20"/>
          <w:color w:val="auto"/>
        </w:rPr>
      </w:pPr>
    </w:p>
    <w:p>
      <w:pPr>
        <w:jc w:val="both"/>
        <w:ind w:firstLine="1042"/>
        <w:spacing w:after="0" w:line="233" w:lineRule="auto"/>
        <w:tabs>
          <w:tab w:leader="none" w:pos="132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Security Documents</w:t>
      </w:r>
      <w:r>
        <w:rPr>
          <w:rFonts w:ascii="Times New Roman" w:cs="Times New Roman" w:eastAsia="Times New Roman" w:hAnsi="Times New Roman"/>
          <w:sz w:val="22"/>
          <w:szCs w:val="22"/>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cs="Times New Roman" w:eastAsia="Times New Roman" w:hAnsi="Times New Roman"/>
          <w:sz w:val="22"/>
          <w:szCs w:val="22"/>
          <w:u w:val="single" w:color="auto"/>
          <w:color w:val="auto"/>
        </w:rPr>
        <w:t>Section 2.08(e)</w:t>
      </w:r>
      <w:r>
        <w:rPr>
          <w:rFonts w:ascii="Times New Roman" w:cs="Times New Roman" w:eastAsia="Times New Roman" w:hAnsi="Times New Roman"/>
          <w:sz w:val="22"/>
          <w:szCs w:val="22"/>
          <w:color w:val="auto"/>
        </w:rPr>
        <w:t xml:space="preserve"> to an amount not greater than $1,250,000,000) except pursuant to an agreement or agreements in writing entered into by the Borrower, and by the Collateral Agent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pacing w:after="0" w:line="178"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8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Non-Consenting Lender</w:t>
      </w:r>
      <w:r>
        <w:rPr>
          <w:rFonts w:ascii="Times New Roman" w:cs="Times New Roman" w:eastAsia="Times New Roman" w:hAnsi="Times New Roman"/>
          <w:sz w:val="22"/>
          <w:szCs w:val="22"/>
          <w:color w:val="auto"/>
        </w:rPr>
        <w:t xml:space="preserve">. If, in connection with any proposed change, waiver, discharge or termination to any of the provisions of this Agreement as contemplated by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the consent of the Required Lenders shall have been obtained but the consent of one or more Lenders (each a “Non-</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3" w:name="page184"/>
    <w:bookmarkEnd w:id="183"/>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Times New Roman" w:cs="Times New Roman" w:eastAsia="Times New Roman" w:hAnsi="Times New Roman"/>
          <w:sz w:val="21"/>
          <w:szCs w:val="21"/>
          <w:u w:val="single" w:color="auto"/>
          <w:color w:val="auto"/>
        </w:rPr>
        <w:t>Section 2.18(b)</w:t>
      </w:r>
      <w:r>
        <w:rPr>
          <w:rFonts w:ascii="Times New Roman" w:cs="Times New Roman" w:eastAsia="Times New Roman" w:hAnsi="Times New Roman"/>
          <w:sz w:val="21"/>
          <w:szCs w:val="21"/>
          <w:color w:val="auto"/>
        </w:rPr>
        <w:t xml:space="preserve"> so long as at the time of such replacement, each such replacement Lender consents to the proposed change, waiver, discharge or termination.</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2" w:lineRule="auto"/>
        <w:tabs>
          <w:tab w:leader="none" w:pos="134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92" w:lineRule="exact"/>
        <w:rPr>
          <w:rFonts w:ascii="Times New Roman" w:cs="Times New Roman" w:eastAsia="Times New Roman" w:hAnsi="Times New Roman"/>
          <w:sz w:val="22"/>
          <w:szCs w:val="22"/>
          <w:color w:val="auto"/>
        </w:rPr>
      </w:pPr>
    </w:p>
    <w:p>
      <w:pPr>
        <w:jc w:val="both"/>
        <w:ind w:firstLine="1042"/>
        <w:spacing w:after="0" w:line="244" w:lineRule="auto"/>
        <w:tabs>
          <w:tab w:leader="none" w:pos="1367"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xml:space="preserve">. The Borrower shall indemnify the Administrative Agent,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w:t>
      </w:r>
    </w:p>
    <w:p>
      <w:pPr>
        <w:spacing w:after="0" w:line="180"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4" w:name="page185"/>
    <w:bookmarkEnd w:id="18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limitation shall not be deemed to impair or affect the Obligations of the Borrower under the preceding provisions of this subsection.</w:t>
      </w:r>
    </w:p>
    <w:p>
      <w:pPr>
        <w:spacing w:after="0" w:line="181" w:lineRule="exact"/>
        <w:rPr>
          <w:sz w:val="20"/>
          <w:szCs w:val="20"/>
          <w:color w:val="auto"/>
        </w:rPr>
      </w:pPr>
    </w:p>
    <w:p>
      <w:pPr>
        <w:jc w:val="both"/>
        <w:ind w:firstLine="1042"/>
        <w:spacing w:after="0" w:line="235" w:lineRule="auto"/>
        <w:tabs>
          <w:tab w:leader="none" w:pos="132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Borrower fails to pay any amount required to be paid by it to the Administrative Agent, any Issuing Bank or any Swingline Lender under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83" w:lineRule="exact"/>
        <w:rPr>
          <w:rFonts w:ascii="Times New Roman" w:cs="Times New Roman" w:eastAsia="Times New Roman" w:hAnsi="Times New Roman"/>
          <w:sz w:val="22"/>
          <w:szCs w:val="22"/>
          <w:color w:val="auto"/>
        </w:rPr>
      </w:pPr>
    </w:p>
    <w:p>
      <w:pPr>
        <w:jc w:val="both"/>
        <w:ind w:firstLine="1042"/>
        <w:spacing w:after="0" w:line="234" w:lineRule="auto"/>
        <w:tabs>
          <w:tab w:leader="none" w:pos="1353"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84" w:lineRule="exact"/>
        <w:rPr>
          <w:rFonts w:ascii="Times New Roman" w:cs="Times New Roman" w:eastAsia="Times New Roman" w:hAnsi="Times New Roman"/>
          <w:sz w:val="22"/>
          <w:szCs w:val="22"/>
          <w:color w:val="auto"/>
        </w:rPr>
      </w:pPr>
    </w:p>
    <w:p>
      <w:pPr>
        <w:ind w:left="1340" w:hanging="298"/>
        <w:spacing w:after="0"/>
        <w:tabs>
          <w:tab w:leader="none" w:pos="13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All amounts due under this Section shall be payable promptly after written demand therefor.</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5" w:lineRule="auto"/>
        <w:tabs>
          <w:tab w:leader="none" w:pos="134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Generally</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5" w:name="page186"/>
    <w:bookmarkEnd w:id="185"/>
    <w:p>
      <w:pPr>
        <w:ind w:right="20"/>
        <w:spacing w:after="0" w:line="258" w:lineRule="auto"/>
        <w:rPr>
          <w:sz w:val="20"/>
          <w:szCs w:val="20"/>
          <w:color w:val="auto"/>
        </w:rPr>
      </w:pPr>
      <w:r>
        <w:rPr>
          <w:rFonts w:ascii="Times New Roman" w:cs="Times New Roman" w:eastAsia="Times New Roman" w:hAnsi="Times New Roman"/>
          <w:sz w:val="22"/>
          <w:szCs w:val="22"/>
          <w:color w:val="auto"/>
        </w:rPr>
        <w:t>Parties of each of the Administrative Agent, the Issuing Banks and the Lenders) any legal or equitable right, remedy or claim under or by reason of this Agreement.</w:t>
      </w:r>
    </w:p>
    <w:p>
      <w:pPr>
        <w:spacing w:after="0" w:line="158" w:lineRule="exact"/>
        <w:rPr>
          <w:sz w:val="20"/>
          <w:szCs w:val="20"/>
          <w:color w:val="auto"/>
        </w:rPr>
      </w:pPr>
    </w:p>
    <w:p>
      <w:pPr>
        <w:ind w:left="1340" w:hanging="298"/>
        <w:spacing w:after="0"/>
        <w:tabs>
          <w:tab w:leader="none" w:pos="134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520" w:firstLine="501"/>
        <w:spacing w:after="0" w:line="239" w:lineRule="auto"/>
        <w:tabs>
          <w:tab w:leader="none" w:pos="128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Generally</w:t>
      </w:r>
      <w:r>
        <w:rPr>
          <w:rFonts w:ascii="Times New Roman" w:cs="Times New Roman" w:eastAsia="Times New Roman" w:hAnsi="Times New Roman"/>
          <w:sz w:val="22"/>
          <w:szCs w:val="22"/>
          <w:color w:val="auto"/>
        </w:rPr>
        <w:t xml:space="preserve">. Subject to the conditions set forth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any Lender may assign to one or more assignees (other than natural persons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0" w:lineRule="exact"/>
        <w:rPr>
          <w:rFonts w:ascii="Times New Roman" w:cs="Times New Roman" w:eastAsia="Times New Roman" w:hAnsi="Times New Roman"/>
          <w:sz w:val="22"/>
          <w:szCs w:val="22"/>
          <w:color w:val="auto"/>
        </w:rPr>
      </w:pPr>
    </w:p>
    <w:p>
      <w:pPr>
        <w:jc w:val="both"/>
        <w:ind w:left="1040" w:firstLine="473"/>
        <w:spacing w:after="0" w:line="239" w:lineRule="auto"/>
        <w:tabs>
          <w:tab w:leader="none" w:pos="1879"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to a Lender, an Affiliate of a Lender, or, if an Event of Default has occurred and is continuing, any other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80" w:lineRule="exact"/>
        <w:rPr>
          <w:rFonts w:ascii="Times New Roman" w:cs="Times New Roman" w:eastAsia="Times New Roman" w:hAnsi="Times New Roman"/>
          <w:sz w:val="22"/>
          <w:szCs w:val="22"/>
          <w:color w:val="auto"/>
        </w:rPr>
      </w:pPr>
    </w:p>
    <w:p>
      <w:pPr>
        <w:ind w:left="1040" w:firstLine="473"/>
        <w:spacing w:after="0" w:line="258" w:lineRule="auto"/>
        <w:tabs>
          <w:tab w:leader="none" w:pos="1856"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and each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or the Issuing Banks shall be required for an assignment by a Lender to an Affiliate of such Lender.</w:t>
      </w:r>
    </w:p>
    <w:p>
      <w:pPr>
        <w:spacing w:after="0" w:line="158" w:lineRule="exact"/>
        <w:rPr>
          <w:rFonts w:ascii="Times New Roman" w:cs="Times New Roman" w:eastAsia="Times New Roman" w:hAnsi="Times New Roman"/>
          <w:sz w:val="22"/>
          <w:szCs w:val="22"/>
          <w:color w:val="auto"/>
        </w:rPr>
      </w:pPr>
    </w:p>
    <w:p>
      <w:pPr>
        <w:ind w:left="1340" w:hanging="319"/>
        <w:spacing w:after="0"/>
        <w:tabs>
          <w:tab w:leader="none" w:pos="134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Conditions to Assignments</w:t>
      </w:r>
      <w:r>
        <w:rPr>
          <w:rFonts w:ascii="Times New Roman" w:cs="Times New Roman" w:eastAsia="Times New Roman" w:hAnsi="Times New Roman"/>
          <w:sz w:val="22"/>
          <w:szCs w:val="22"/>
          <w:color w:val="auto"/>
        </w:rPr>
        <w:t>. Assignments shall be subject to the following additional conditions:</w:t>
      </w:r>
    </w:p>
    <w:p>
      <w:pPr>
        <w:spacing w:after="0" w:line="206" w:lineRule="exact"/>
        <w:rPr>
          <w:rFonts w:ascii="Times New Roman" w:cs="Times New Roman" w:eastAsia="Times New Roman" w:hAnsi="Times New Roman"/>
          <w:sz w:val="22"/>
          <w:szCs w:val="22"/>
          <w:color w:val="auto"/>
        </w:rPr>
      </w:pPr>
    </w:p>
    <w:p>
      <w:pPr>
        <w:jc w:val="both"/>
        <w:ind w:left="1040" w:firstLine="473"/>
        <w:spacing w:after="0" w:line="235" w:lineRule="auto"/>
        <w:tabs>
          <w:tab w:leader="none" w:pos="1886"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Borrower shall be required if an Event of Default has occurred and is continuing;</w:t>
      </w:r>
    </w:p>
    <w:p>
      <w:pPr>
        <w:spacing w:after="0" w:line="183" w:lineRule="exact"/>
        <w:rPr>
          <w:rFonts w:ascii="Times New Roman" w:cs="Times New Roman" w:eastAsia="Times New Roman" w:hAnsi="Times New Roman"/>
          <w:sz w:val="22"/>
          <w:szCs w:val="22"/>
          <w:color w:val="auto"/>
        </w:rPr>
      </w:pPr>
    </w:p>
    <w:p>
      <w:pPr>
        <w:jc w:val="both"/>
        <w:ind w:left="1040" w:right="20" w:firstLine="473"/>
        <w:spacing w:after="0" w:line="244" w:lineRule="auto"/>
        <w:tabs>
          <w:tab w:leader="none" w:pos="1859"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of any Commitments or Loans and LC Exposure shall be made as an assignment of a proportionate part of all the assigning Lender’s rights and obligations under this Agreement in respect of such Commitments, Loans and LC Exposure;</w:t>
      </w:r>
    </w:p>
    <w:p>
      <w:pPr>
        <w:spacing w:after="0" w:line="173" w:lineRule="exact"/>
        <w:rPr>
          <w:rFonts w:ascii="Times New Roman" w:cs="Times New Roman" w:eastAsia="Times New Roman" w:hAnsi="Times New Roman"/>
          <w:sz w:val="22"/>
          <w:szCs w:val="22"/>
          <w:color w:val="auto"/>
        </w:rPr>
      </w:pPr>
    </w:p>
    <w:p>
      <w:pPr>
        <w:jc w:val="both"/>
        <w:ind w:left="1040" w:firstLine="473"/>
        <w:spacing w:after="0" w:line="239" w:lineRule="auto"/>
        <w:tabs>
          <w:tab w:leader="none" w:pos="1890"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Assumption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180" w:lineRule="exact"/>
        <w:rPr>
          <w:rFonts w:ascii="Times New Roman" w:cs="Times New Roman" w:eastAsia="Times New Roman" w:hAnsi="Times New Roman"/>
          <w:sz w:val="22"/>
          <w:szCs w:val="22"/>
          <w:color w:val="auto"/>
        </w:rPr>
      </w:pPr>
    </w:p>
    <w:p>
      <w:pPr>
        <w:ind w:left="1040" w:right="20" w:firstLine="473"/>
        <w:spacing w:after="0" w:line="258" w:lineRule="auto"/>
        <w:tabs>
          <w:tab w:leader="none" w:pos="1888" w:val="left"/>
        </w:tabs>
        <w:numPr>
          <w:ilvl w:val="2"/>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already be a Lender of the applicable Class, shall deliver to the Administrative Agent an Administrative Questionnaire; and</w:t>
      </w:r>
    </w:p>
    <w:p>
      <w:pPr>
        <w:spacing w:after="0" w:line="158" w:lineRule="exact"/>
        <w:rPr>
          <w:rFonts w:ascii="Times New Roman" w:cs="Times New Roman" w:eastAsia="Times New Roman" w:hAnsi="Times New Roman"/>
          <w:sz w:val="22"/>
          <w:szCs w:val="22"/>
          <w:color w:val="auto"/>
        </w:rPr>
      </w:pPr>
    </w:p>
    <w:p>
      <w:pPr>
        <w:ind w:left="1840" w:hanging="327"/>
        <w:spacing w:after="0"/>
        <w:tabs>
          <w:tab w:leader="none" w:pos="1840" w:val="left"/>
        </w:tabs>
        <w:numPr>
          <w:ilvl w:val="2"/>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shall deliver to the Borrower and the Administrative Agent those documents specified in Section</w:t>
      </w:r>
    </w:p>
    <w:p>
      <w:pPr>
        <w:spacing w:after="0" w:line="25" w:lineRule="exact"/>
        <w:rPr>
          <w:rFonts w:ascii="Times New Roman" w:cs="Times New Roman" w:eastAsia="Times New Roman" w:hAnsi="Times New Roman"/>
          <w:sz w:val="21"/>
          <w:szCs w:val="21"/>
          <w:color w:val="auto"/>
        </w:rPr>
      </w:pPr>
    </w:p>
    <w:p>
      <w:pPr>
        <w:ind w:left="10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2.16(f).</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6" w:name="page187"/>
    <w:bookmarkEnd w:id="186"/>
    <w:p>
      <w:pPr>
        <w:jc w:val="both"/>
        <w:ind w:left="-501" w:firstLine="501"/>
        <w:spacing w:after="0" w:line="243" w:lineRule="auto"/>
        <w:tabs>
          <w:tab w:leader="none" w:pos="412"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Effectiveness of Assignments</w:t>
      </w:r>
      <w:r>
        <w:rPr>
          <w:rFonts w:ascii="Times New Roman" w:cs="Times New Roman" w:eastAsia="Times New Roman" w:hAnsi="Times New Roman"/>
          <w:sz w:val="21"/>
          <w:szCs w:val="21"/>
          <w:color w:val="auto"/>
        </w:rPr>
        <w:t xml:space="preserve">. Subject to acceptance and recording thereof pursuant to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9.03</w:t>
      </w:r>
      <w:r>
        <w:rPr>
          <w:rFonts w:ascii="Times New Roman" w:cs="Times New Roman" w:eastAsia="Times New Roman" w:hAnsi="Times New Roman"/>
          <w:sz w:val="21"/>
          <w:szCs w:val="21"/>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paragraph (e)</w:t>
      </w:r>
      <w:r>
        <w:rPr>
          <w:rFonts w:ascii="Times New Roman" w:cs="Times New Roman" w:eastAsia="Times New Roman" w:hAnsi="Times New Roman"/>
          <w:sz w:val="21"/>
          <w:szCs w:val="21"/>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cs="Times New Roman" w:eastAsia="Times New Roman" w:hAnsi="Times New Roman"/>
          <w:sz w:val="21"/>
          <w:szCs w:val="21"/>
          <w:u w:val="single" w:color="auto"/>
          <w:color w:val="auto"/>
        </w:rPr>
        <w:t>Section 9.04(b)(ii)</w:t>
      </w:r>
      <w:r>
        <w:rPr>
          <w:rFonts w:ascii="Times New Roman" w:cs="Times New Roman" w:eastAsia="Times New Roman" w:hAnsi="Times New Roman"/>
          <w:sz w:val="21"/>
          <w:szCs w:val="21"/>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4" w:lineRule="exact"/>
        <w:rPr>
          <w:sz w:val="20"/>
          <w:szCs w:val="20"/>
          <w:color w:val="auto"/>
        </w:rPr>
      </w:pPr>
    </w:p>
    <w:p>
      <w:pPr>
        <w:jc w:val="both"/>
        <w:ind w:left="-1021" w:firstLine="1042"/>
        <w:spacing w:after="0" w:line="234" w:lineRule="auto"/>
        <w:tabs>
          <w:tab w:leader="none" w:pos="30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Registers by Administrative Agent</w:t>
      </w:r>
      <w:r>
        <w:rPr>
          <w:rFonts w:ascii="Times New Roman" w:cs="Times New Roman" w:eastAsia="Times New Roman" w:hAnsi="Times New Roman"/>
          <w:sz w:val="22"/>
          <w:szCs w:val="22"/>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2"/>
          <w:szCs w:val="22"/>
          <w:u w:val="single" w:color="auto"/>
          <w:color w:val="auto"/>
        </w:rPr>
        <w:t>Registers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84" w:lineRule="exact"/>
        <w:rPr>
          <w:rFonts w:ascii="Times New Roman" w:cs="Times New Roman" w:eastAsia="Times New Roman" w:hAnsi="Times New Roman"/>
          <w:sz w:val="22"/>
          <w:szCs w:val="22"/>
          <w:color w:val="auto"/>
        </w:rPr>
      </w:pPr>
    </w:p>
    <w:p>
      <w:pPr>
        <w:jc w:val="both"/>
        <w:ind w:left="-1021" w:firstLine="1042"/>
        <w:spacing w:after="0" w:line="236" w:lineRule="auto"/>
        <w:tabs>
          <w:tab w:leader="none" w:pos="36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Assignments by Administrative Agent</w:t>
      </w:r>
      <w:r>
        <w:rPr>
          <w:rFonts w:ascii="Times New Roman" w:cs="Times New Roman" w:eastAsia="Times New Roman" w:hAnsi="Times New Roman"/>
          <w:sz w:val="22"/>
          <w:szCs w:val="22"/>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and any written consent to such assignment required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9" w:lineRule="exact"/>
        <w:rPr>
          <w:sz w:val="20"/>
          <w:szCs w:val="20"/>
          <w:color w:val="auto"/>
        </w:rPr>
      </w:pPr>
    </w:p>
    <w:p>
      <w:pPr>
        <w:ind w:left="8359"/>
        <w:spacing w:after="0"/>
        <w:rPr>
          <w:sz w:val="20"/>
          <w:szCs w:val="20"/>
          <w:color w:val="auto"/>
        </w:rPr>
      </w:pPr>
      <w:r>
        <w:rPr>
          <w:rFonts w:ascii="Times New Roman" w:cs="Times New Roman" w:eastAsia="Times New Roman" w:hAnsi="Times New Roman"/>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81915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99"/>
          </w:cols>
          <w:pgMar w:left="1261" w:top="544" w:right="239" w:bottom="1440" w:gutter="0" w:footer="0" w:header="0"/>
        </w:sectPr>
      </w:pPr>
    </w:p>
    <w:bookmarkStart w:id="187" w:name="page188"/>
    <w:bookmarkEnd w:id="187"/>
    <w:p>
      <w:pPr>
        <w:jc w:val="both"/>
        <w:ind w:firstLine="1042"/>
        <w:spacing w:after="0" w:line="233" w:lineRule="auto"/>
        <w:tabs>
          <w:tab w:leader="none" w:pos="134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Purposes Vehicles</w:t>
      </w:r>
      <w:r>
        <w:rPr>
          <w:rFonts w:ascii="Times New Roman" w:cs="Times New Roman" w:eastAsia="Times New Roman" w:hAnsi="Times New Roman"/>
          <w:sz w:val="22"/>
          <w:szCs w:val="22"/>
          <w:color w:val="auto"/>
        </w:rPr>
        <w:t>. Notwithstanding anything to the contrary contained herein, any Lender (a “</w:t>
      </w:r>
      <w:r>
        <w:rPr>
          <w:rFonts w:ascii="Times New Roman" w:cs="Times New Roman" w:eastAsia="Times New Roman" w:hAnsi="Times New Roman"/>
          <w:sz w:val="22"/>
          <w:szCs w:val="22"/>
          <w:u w:val="single" w:color="auto"/>
          <w:color w:val="auto"/>
        </w:rPr>
        <w:t>Granting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may grant to a special purpose funding vehicle (an “</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81" w:lineRule="exact"/>
        <w:rPr>
          <w:sz w:val="20"/>
          <w:szCs w:val="20"/>
          <w:color w:val="auto"/>
        </w:rPr>
      </w:pPr>
    </w:p>
    <w:p>
      <w:pPr>
        <w:jc w:val="both"/>
        <w:ind w:firstLine="1034"/>
        <w:spacing w:after="0" w:line="243" w:lineRule="auto"/>
        <w:rPr>
          <w:sz w:val="20"/>
          <w:szCs w:val="20"/>
          <w:color w:val="auto"/>
        </w:rPr>
      </w:pPr>
      <w:r>
        <w:rPr>
          <w:rFonts w:ascii="Times New Roman" w:cs="Times New Roman" w:eastAsia="Times New Roman" w:hAnsi="Times New Roman"/>
          <w:sz w:val="21"/>
          <w:szCs w:val="21"/>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neither the consent of the SPC or of any such assignee shall be required for amendments or waivers hereunder except for those amendments or waivers for which the consent of participants is required under </w:t>
      </w:r>
      <w:r>
        <w:rPr>
          <w:rFonts w:ascii="Times New Roman" w:cs="Times New Roman" w:eastAsia="Times New Roman" w:hAnsi="Times New Roman"/>
          <w:sz w:val="21"/>
          <w:szCs w:val="21"/>
          <w:u w:val="single" w:color="auto"/>
          <w:color w:val="auto"/>
        </w:rPr>
        <w:t>paragraph (1)</w:t>
      </w:r>
      <w:r>
        <w:rPr>
          <w:rFonts w:ascii="Times New Roman" w:cs="Times New Roman" w:eastAsia="Times New Roman" w:hAnsi="Times New Roman"/>
          <w:sz w:val="21"/>
          <w:szCs w:val="21"/>
          <w:color w:val="auto"/>
        </w:rPr>
        <w:t xml:space="preserve"> below, and</w:t>
      </w:r>
    </w:p>
    <w:p>
      <w:pPr>
        <w:spacing w:after="0" w:line="6" w:lineRule="exact"/>
        <w:rPr>
          <w:sz w:val="20"/>
          <w:szCs w:val="20"/>
          <w:color w:val="auto"/>
        </w:rPr>
      </w:pPr>
    </w:p>
    <w:p>
      <w:pPr>
        <w:jc w:val="both"/>
        <w:ind w:firstLine="8"/>
        <w:spacing w:after="0" w:line="235" w:lineRule="auto"/>
        <w:tabs>
          <w:tab w:leader="none" w:pos="33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disclose on a confidential basis (in the same manner described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 any non-public information relating to its Loans to any rating agency, commercial paper dealer or provider of a surety, guarantee or credit or liquidity enhancement to such SPC.</w:t>
      </w:r>
    </w:p>
    <w:p>
      <w:pPr>
        <w:spacing w:after="0" w:line="178" w:lineRule="exact"/>
        <w:rPr>
          <w:rFonts w:ascii="Times New Roman" w:cs="Times New Roman" w:eastAsia="Times New Roman" w:hAnsi="Times New Roman"/>
          <w:sz w:val="22"/>
          <w:szCs w:val="22"/>
          <w:color w:val="auto"/>
        </w:rPr>
      </w:pPr>
    </w:p>
    <w:p>
      <w:pPr>
        <w:jc w:val="both"/>
        <w:ind w:firstLine="1042"/>
        <w:spacing w:after="0" w:line="245" w:lineRule="auto"/>
        <w:tabs>
          <w:tab w:leader="none" w:pos="1304"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with the consent of the Borrower (such consent not to be unreasonably withheld or delayed), sell participations to one or more banks or other entities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and the other Loan Documents (including all or a portion of its Commitments and the Loans and LC Disbursements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8" w:name="page189"/>
    <w:bookmarkEnd w:id="188"/>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that affects such Participant. Subject to </w:t>
      </w:r>
      <w:r>
        <w:rPr>
          <w:rFonts w:ascii="Times New Roman" w:cs="Times New Roman" w:eastAsia="Times New Roman" w:hAnsi="Times New Roman"/>
          <w:sz w:val="21"/>
          <w:szCs w:val="21"/>
          <w:u w:val="single" w:color="auto"/>
          <w:color w:val="auto"/>
        </w:rPr>
        <w:t>paragraph (g)</w:t>
      </w:r>
      <w:r>
        <w:rPr>
          <w:rFonts w:ascii="Times New Roman" w:cs="Times New Roman" w:eastAsia="Times New Roman" w:hAnsi="Times New Roman"/>
          <w:sz w:val="21"/>
          <w:szCs w:val="21"/>
          <w:color w:val="auto"/>
        </w:rPr>
        <w:t xml:space="preserve"> of this Section, the Borrower agrees that each Participant shall be entitled to the benefits of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shall not be entitled to receive any greater payment under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Participant shall be entitled to the benefits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unless the Borrower is notified of the participation granted to such Participant and such Participant shall have complied with the requirements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as if such Participant is a Lender.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as though it were a Lender; provided such Participant agrees to be subject to </w:t>
      </w:r>
      <w:r>
        <w:rPr>
          <w:rFonts w:ascii="Times New Roman" w:cs="Times New Roman" w:eastAsia="Times New Roman" w:hAnsi="Times New Roman"/>
          <w:sz w:val="21"/>
          <w:szCs w:val="21"/>
          <w:u w:val="single" w:color="auto"/>
          <w:color w:val="auto"/>
        </w:rPr>
        <w:t>Section 2.17(d)</w:t>
      </w:r>
      <w:r>
        <w:rPr>
          <w:rFonts w:ascii="Times New Roman" w:cs="Times New Roman" w:eastAsia="Times New Roman" w:hAnsi="Times New Roman"/>
          <w:sz w:val="21"/>
          <w:szCs w:val="21"/>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jc w:val="both"/>
        <w:ind w:firstLine="1042"/>
        <w:spacing w:after="0" w:line="234" w:lineRule="auto"/>
        <w:tabs>
          <w:tab w:leader="none" w:pos="136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Rights of Participants</w:t>
      </w:r>
      <w:r>
        <w:rPr>
          <w:rFonts w:ascii="Times New Roman" w:cs="Times New Roman" w:eastAsia="Times New Roman" w:hAnsi="Times New Roman"/>
          <w:sz w:val="22"/>
          <w:szCs w:val="22"/>
          <w:color w:val="auto"/>
        </w:rPr>
        <w:t xml:space="preserve">. A Participant shall not be entitled to receive any greater payment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2"/>
          <w:szCs w:val="22"/>
          <w:u w:val="single" w:color="auto"/>
          <w:color w:val="auto"/>
        </w:rPr>
        <w:t>paragraphs (e)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84"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assignee for such Lender as a party hereto.</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89" w:name="page190"/>
    <w:bookmarkEnd w:id="189"/>
    <w:p>
      <w:pPr>
        <w:jc w:val="both"/>
        <w:ind w:firstLine="1042"/>
        <w:spacing w:after="0" w:line="244" w:lineRule="auto"/>
        <w:tabs>
          <w:tab w:leader="none" w:pos="1292"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 to the Borrower or Affiliates</w:t>
      </w:r>
      <w:r>
        <w:rPr>
          <w:rFonts w:ascii="Times New Roman" w:cs="Times New Roman" w:eastAsia="Times New Roman" w:hAnsi="Times New Roman"/>
          <w:sz w:val="22"/>
          <w:szCs w:val="22"/>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74" w:lineRule="exact"/>
        <w:rPr>
          <w:sz w:val="20"/>
          <w:szCs w:val="20"/>
          <w:color w:val="auto"/>
        </w:rPr>
      </w:pPr>
    </w:p>
    <w:p>
      <w:pPr>
        <w:jc w:val="both"/>
        <w:ind w:firstLine="1034"/>
        <w:spacing w:after="0" w:line="233"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Counterparts; Integration; Effectiveness; Electronic Execution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34" w:lineRule="auto"/>
        <w:tabs>
          <w:tab w:leader="none" w:pos="1328"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80" w:lineRule="exact"/>
        <w:rPr>
          <w:rFonts w:ascii="Times New Roman" w:cs="Times New Roman" w:eastAsia="Times New Roman" w:hAnsi="Times New Roman"/>
          <w:sz w:val="22"/>
          <w:szCs w:val="22"/>
          <w:color w:val="auto"/>
        </w:rPr>
      </w:pPr>
    </w:p>
    <w:p>
      <w:pPr>
        <w:jc w:val="both"/>
        <w:ind w:firstLine="1042"/>
        <w:spacing w:after="0" w:line="236" w:lineRule="auto"/>
        <w:tabs>
          <w:tab w:leader="none" w:pos="135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Execution of Assignments</w:t>
      </w:r>
      <w:r>
        <w:rPr>
          <w:rFonts w:ascii="Times New Roman" w:cs="Times New Roman" w:eastAsia="Times New Roman" w:hAnsi="Times New Roman"/>
          <w:sz w:val="22"/>
          <w:szCs w:val="22"/>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2" w:lineRule="exact"/>
        <w:rPr>
          <w:sz w:val="20"/>
          <w:szCs w:val="20"/>
          <w:color w:val="auto"/>
        </w:rPr>
      </w:pPr>
    </w:p>
    <w:p>
      <w:pPr>
        <w:jc w:val="both"/>
        <w:ind w:firstLine="1034"/>
        <w:spacing w:after="0" w:line="239"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1" w:lineRule="exact"/>
        <w:rPr>
          <w:sz w:val="20"/>
          <w:szCs w:val="20"/>
          <w:color w:val="auto"/>
        </w:rPr>
      </w:pPr>
    </w:p>
    <w:p>
      <w:pPr>
        <w:jc w:val="both"/>
        <w:ind w:firstLine="1034"/>
        <w:spacing w:after="0" w:line="258"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If an Event of Default shall have occurred and be continuing, each Lender and each of its Affiliates is hereby authorized at any time and from time to time, to the fullest extent</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0" w:name="page191"/>
    <w:bookmarkEnd w:id="190"/>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Times New Roman" w:cs="Times New Roman" w:eastAsia="Times New Roman" w:hAnsi="Times New Roman"/>
          <w:sz w:val="22"/>
          <w:szCs w:val="22"/>
          <w:u w:val="single" w:color="auto"/>
          <w:color w:val="auto"/>
        </w:rPr>
        <w:t>Sections 2.17(d)</w:t>
      </w:r>
      <w:r>
        <w:rPr>
          <w:rFonts w:ascii="Times New Roman" w:cs="Times New Roman" w:eastAsia="Times New Roman" w:hAnsi="Times New Roman"/>
          <w:sz w:val="22"/>
          <w:szCs w:val="22"/>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u w:val="single" w:color="auto"/>
          <w:color w:val="auto"/>
        </w:rPr>
        <w:t>Governing Law; Jurisdiction;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and governed by the law of the State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182" w:lineRule="exact"/>
        <w:rPr>
          <w:sz w:val="20"/>
          <w:szCs w:val="20"/>
          <w:color w:val="auto"/>
        </w:rPr>
      </w:pPr>
    </w:p>
    <w:p>
      <w:pPr>
        <w:jc w:val="both"/>
        <w:ind w:firstLine="1042"/>
        <w:spacing w:after="0" w:line="234" w:lineRule="auto"/>
        <w:tabs>
          <w:tab w:leader="none" w:pos="138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80"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2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77" w:lineRule="exact"/>
        <w:rPr>
          <w:rFonts w:ascii="Times New Roman" w:cs="Times New Roman" w:eastAsia="Times New Roman" w:hAnsi="Times New Roman"/>
          <w:sz w:val="22"/>
          <w:szCs w:val="22"/>
          <w:color w:val="auto"/>
        </w:rPr>
      </w:pPr>
    </w:p>
    <w:p>
      <w:pPr>
        <w:jc w:val="both"/>
        <w:ind w:firstLine="1042"/>
        <w:spacing w:after="0" w:line="238" w:lineRule="auto"/>
        <w:tabs>
          <w:tab w:leader="none" w:pos="1367"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to this Agreement (i) irrevocably consents to service of process in the manner provided for notices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and (ii) agrees that service as provided in the manner provided for notices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77"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1" w:name="page192"/>
    <w:bookmarkEnd w:id="191"/>
    <w:p>
      <w:pPr>
        <w:jc w:val="both"/>
        <w:spacing w:after="0" w:line="235" w:lineRule="auto"/>
        <w:rPr>
          <w:sz w:val="20"/>
          <w:szCs w:val="20"/>
          <w:color w:val="auto"/>
        </w:rPr>
      </w:pPr>
      <w:r>
        <w:rPr>
          <w:rFonts w:ascii="Times New Roman" w:cs="Times New Roman" w:eastAsia="Times New Roman" w:hAnsi="Times New Roman"/>
          <w:sz w:val="22"/>
          <w:szCs w:val="22"/>
          <w:color w:val="auto"/>
        </w:rPr>
        <w:t>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sz w:val="20"/>
          <w:szCs w:val="20"/>
          <w:color w:val="auto"/>
        </w:rPr>
      </w:pPr>
    </w:p>
    <w:p>
      <w:pPr>
        <w:jc w:val="both"/>
        <w:ind w:firstLine="1034"/>
        <w:spacing w:after="0" w:line="243" w:lineRule="auto"/>
        <w:rPr>
          <w:sz w:val="20"/>
          <w:szCs w:val="20"/>
          <w:color w:val="auto"/>
        </w:rPr>
      </w:pPr>
      <w:r>
        <w:rPr>
          <w:rFonts w:ascii="Times New Roman" w:cs="Times New Roman" w:eastAsia="Times New Roman" w:hAnsi="Times New Roman"/>
          <w:sz w:val="21"/>
          <w:szCs w:val="21"/>
          <w:color w:val="auto"/>
        </w:rPr>
        <w:t xml:space="preserve">SECTION 9.11.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This is an international loan transaction in which the specification of Dollars or any Foreign Currency, as the case may be (the “</w:t>
      </w:r>
      <w:r>
        <w:rPr>
          <w:rFonts w:ascii="Times New Roman" w:cs="Times New Roman" w:eastAsia="Times New Roman" w:hAnsi="Times New Roman"/>
          <w:sz w:val="21"/>
          <w:szCs w:val="21"/>
          <w:u w:val="single" w:color="auto"/>
          <w:color w:val="auto"/>
        </w:rPr>
        <w:t>Specified Currency</w:t>
      </w:r>
      <w:r>
        <w:rPr>
          <w:rFonts w:ascii="Times New Roman" w:cs="Times New Roman" w:eastAsia="Times New Roman" w:hAnsi="Times New Roman"/>
          <w:sz w:val="21"/>
          <w:szCs w:val="21"/>
          <w:color w:val="auto"/>
        </w:rPr>
        <w:t>”), and payment in New York City or the country of the Specified Currency, as the case may be (the “</w:t>
      </w:r>
      <w:r>
        <w:rPr>
          <w:rFonts w:ascii="Times New Roman" w:cs="Times New Roman" w:eastAsia="Times New Roman" w:hAnsi="Times New Roman"/>
          <w:sz w:val="21"/>
          <w:szCs w:val="21"/>
          <w:u w:val="single" w:color="auto"/>
          <w:color w:val="auto"/>
        </w:rPr>
        <w:t>Specified Place</w:t>
      </w:r>
      <w:r>
        <w:rPr>
          <w:rFonts w:ascii="Times New Roman" w:cs="Times New Roman" w:eastAsia="Times New Roman" w:hAnsi="Times New Roman"/>
          <w:sz w:val="21"/>
          <w:szCs w:val="21"/>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21"/>
          <w:szCs w:val="21"/>
          <w:u w:val="single" w:color="auto"/>
          <w:color w:val="auto"/>
        </w:rPr>
        <w:t>Second Currency</w:t>
      </w:r>
      <w:r>
        <w:rPr>
          <w:rFonts w:ascii="Times New Roman" w:cs="Times New Roman" w:eastAsia="Times New Roman" w:hAnsi="Times New Roman"/>
          <w:sz w:val="21"/>
          <w:szCs w:val="21"/>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cs="Times New Roman" w:eastAsia="Times New Roman" w:hAnsi="Times New Roman"/>
          <w:sz w:val="21"/>
          <w:szCs w:val="21"/>
          <w:u w:val="single" w:color="auto"/>
          <w:color w:val="auto"/>
        </w:rPr>
        <w:t>Entitled Person</w:t>
      </w:r>
      <w:r>
        <w:rPr>
          <w:rFonts w:ascii="Times New Roman" w:cs="Times New Roman" w:eastAsia="Times New Roman" w:hAnsi="Times New Roman"/>
          <w:sz w:val="21"/>
          <w:szCs w:val="21"/>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89"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 xml:space="preserve">SECTION 9.13. </w:t>
      </w:r>
      <w:r>
        <w:rPr>
          <w:rFonts w:ascii="Times New Roman" w:cs="Times New Roman" w:eastAsia="Times New Roman" w:hAnsi="Times New Roman"/>
          <w:sz w:val="22"/>
          <w:szCs w:val="22"/>
          <w:u w:val="single" w:color="auto"/>
          <w:color w:val="auto"/>
        </w:rPr>
        <w:t>Treatment of Certain Information; No Fiduciary Duty; 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042"/>
        <w:spacing w:after="0" w:line="245" w:lineRule="auto"/>
        <w:tabs>
          <w:tab w:leader="none" w:pos="1382"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Information</w:t>
      </w:r>
      <w:r>
        <w:rPr>
          <w:rFonts w:ascii="Times New Roman" w:cs="Times New Roman" w:eastAsia="Times New Roman" w:hAnsi="Times New Roman"/>
          <w:sz w:val="21"/>
          <w:szCs w:val="21"/>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cs="Times New Roman" w:eastAsia="Times New Roman" w:hAnsi="Times New Roman"/>
          <w:sz w:val="21"/>
          <w:szCs w:val="21"/>
          <w:u w:val="single" w:color="auto"/>
          <w:color w:val="auto"/>
        </w:rPr>
        <w:t>paragraph</w:t>
      </w:r>
    </w:p>
    <w:p>
      <w:pPr>
        <w:spacing w:after="0" w:line="3" w:lineRule="exact"/>
        <w:rPr>
          <w:rFonts w:ascii="Times New Roman" w:cs="Times New Roman" w:eastAsia="Times New Roman" w:hAnsi="Times New Roman"/>
          <w:sz w:val="21"/>
          <w:szCs w:val="21"/>
          <w:color w:val="auto"/>
        </w:rPr>
      </w:pPr>
    </w:p>
    <w:p>
      <w:pPr>
        <w:jc w:val="both"/>
        <w:ind w:firstLine="8"/>
        <w:spacing w:after="0" w:line="235" w:lineRule="auto"/>
        <w:tabs>
          <w:tab w:leader="none" w:pos="313" w:val="left"/>
        </w:tabs>
        <w:numPr>
          <w:ilvl w:val="0"/>
          <w:numId w:val="2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2" w:name="page193"/>
    <w:bookmarkEnd w:id="192"/>
    <w:p>
      <w:pPr>
        <w:jc w:val="both"/>
        <w:spacing w:after="0" w:line="232" w:lineRule="auto"/>
        <w:rPr>
          <w:sz w:val="20"/>
          <w:szCs w:val="20"/>
          <w:color w:val="auto"/>
        </w:rPr>
      </w:pPr>
      <w:r>
        <w:rPr>
          <w:rFonts w:ascii="Times New Roman" w:cs="Times New Roman" w:eastAsia="Times New Roman" w:hAnsi="Times New Roman"/>
          <w:sz w:val="22"/>
          <w:szCs w:val="22"/>
          <w:color w:val="auto"/>
        </w:rPr>
        <w:t>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86" w:lineRule="exact"/>
        <w:rPr>
          <w:sz w:val="20"/>
          <w:szCs w:val="20"/>
          <w:color w:val="auto"/>
        </w:rPr>
      </w:pPr>
    </w:p>
    <w:p>
      <w:pPr>
        <w:jc w:val="both"/>
        <w:ind w:firstLine="1042"/>
        <w:spacing w:after="0" w:line="243" w:lineRule="auto"/>
        <w:tabs>
          <w:tab w:leader="none" w:pos="1367" w:val="left"/>
        </w:tabs>
        <w:numPr>
          <w:ilvl w:val="1"/>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w:t>
      </w:r>
    </w:p>
    <w:p>
      <w:pPr>
        <w:spacing w:after="0" w:line="7" w:lineRule="exact"/>
        <w:rPr>
          <w:rFonts w:ascii="Times New Roman" w:cs="Times New Roman" w:eastAsia="Times New Roman" w:hAnsi="Times New Roman"/>
          <w:sz w:val="21"/>
          <w:szCs w:val="21"/>
          <w:color w:val="auto"/>
        </w:rPr>
      </w:pPr>
    </w:p>
    <w:p>
      <w:pPr>
        <w:jc w:val="both"/>
        <w:ind w:firstLine="8"/>
        <w:spacing w:after="0" w:line="233" w:lineRule="auto"/>
        <w:tabs>
          <w:tab w:leader="none" w:pos="33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80"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3" w:name="page194"/>
    <w:bookmarkEnd w:id="193"/>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nonconfidential basis prior to disclosure by the Borrower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7" w:lineRule="exact"/>
        <w:rPr>
          <w:sz w:val="20"/>
          <w:szCs w:val="20"/>
          <w:color w:val="auto"/>
        </w:rPr>
      </w:pPr>
    </w:p>
    <w:p>
      <w:pPr>
        <w:jc w:val="both"/>
        <w:ind w:firstLine="1034"/>
        <w:spacing w:after="0" w:line="254" w:lineRule="exact"/>
        <w:rPr>
          <w:sz w:val="20"/>
          <w:szCs w:val="20"/>
          <w:color w:val="auto"/>
        </w:rPr>
      </w:pPr>
      <w:r>
        <w:rPr>
          <w:rFonts w:ascii="Times New Roman" w:cs="Times New Roman" w:eastAsia="Times New Roman" w:hAnsi="Times New Roman"/>
          <w:sz w:val="21"/>
          <w:szCs w:val="21"/>
          <w:color w:val="auto"/>
        </w:rPr>
        <w:t xml:space="preserve">SECTION 9.14. </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Each Lender hereby notifies the Borrower that pursuant to the requirements of the USA PATRIOT Act (Title III of Pub. L. 107</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77" w:lineRule="exact"/>
        <w:rPr>
          <w:sz w:val="20"/>
          <w:szCs w:val="20"/>
          <w:color w:val="auto"/>
        </w:rPr>
      </w:pPr>
    </w:p>
    <w:p>
      <w:pPr>
        <w:jc w:val="both"/>
        <w:ind w:firstLine="1034"/>
        <w:spacing w:after="0" w:line="234" w:lineRule="auto"/>
        <w:rPr>
          <w:sz w:val="20"/>
          <w:szCs w:val="20"/>
          <w:color w:val="auto"/>
        </w:rPr>
      </w:pPr>
      <w:r>
        <w:rPr>
          <w:rFonts w:ascii="Times New Roman" w:cs="Times New Roman" w:eastAsia="Times New Roman" w:hAnsi="Times New Roman"/>
          <w:sz w:val="22"/>
          <w:szCs w:val="22"/>
          <w:color w:val="auto"/>
        </w:rPr>
        <w:t xml:space="preserve">SECTION 9.15. </w:t>
      </w:r>
      <w:r>
        <w:rPr>
          <w:rFonts w:ascii="Times New Roman" w:cs="Times New Roman" w:eastAsia="Times New Roman" w:hAnsi="Times New Roman"/>
          <w:sz w:val="22"/>
          <w:szCs w:val="22"/>
          <w:u w:val="single" w:color="auto"/>
          <w:color w:val="auto"/>
        </w:rPr>
        <w:t>Effect of Amendment and Restatement of the Existing Credit Agreement</w:t>
      </w:r>
      <w:r>
        <w:rPr>
          <w:rFonts w:ascii="Times New Roman" w:cs="Times New Roman" w:eastAsia="Times New Roman" w:hAnsi="Times New Roman"/>
          <w:sz w:val="22"/>
          <w:szCs w:val="22"/>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84" w:lineRule="exact"/>
        <w:rPr>
          <w:sz w:val="20"/>
          <w:szCs w:val="20"/>
          <w:color w:val="auto"/>
        </w:rPr>
      </w:pPr>
    </w:p>
    <w:p>
      <w:pPr>
        <w:jc w:val="both"/>
        <w:ind w:firstLine="1034"/>
        <w:spacing w:after="0" w:line="244" w:lineRule="auto"/>
        <w:rPr>
          <w:sz w:val="20"/>
          <w:szCs w:val="20"/>
          <w:color w:val="auto"/>
        </w:rPr>
      </w:pPr>
      <w:r>
        <w:rPr>
          <w:rFonts w:ascii="Times New Roman" w:cs="Times New Roman" w:eastAsia="Times New Roman" w:hAnsi="Times New Roman"/>
          <w:sz w:val="22"/>
          <w:szCs w:val="22"/>
          <w:color w:val="auto"/>
        </w:rPr>
        <w:t xml:space="preserve">SECTION 9.16. </w:t>
      </w:r>
      <w:r>
        <w:rPr>
          <w:rFonts w:ascii="Times New Roman" w:cs="Times New Roman" w:eastAsia="Times New Roman" w:hAnsi="Times New Roman"/>
          <w:sz w:val="22"/>
          <w:szCs w:val="22"/>
          <w:u w:val="single" w:color="auto"/>
          <w:color w:val="auto"/>
        </w:rPr>
        <w:t>Reaffirmation of Guarantee and Security Agreement</w:t>
      </w:r>
      <w:r>
        <w:rPr>
          <w:rFonts w:ascii="Times New Roman" w:cs="Times New Roman" w:eastAsia="Times New Roman" w:hAnsi="Times New Roman"/>
          <w:sz w:val="22"/>
          <w:szCs w:val="22"/>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ectPr>
          <w:pgSz w:w="11900" w:h="16838" w:orient="portrait"/>
          <w:cols w:equalWidth="0" w:num="1">
            <w:col w:w="11420"/>
          </w:cols>
          <w:pgMar w:left="240" w:top="545" w:right="2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80" w:hanging="515"/>
        <w:spacing w:after="0" w:line="266" w:lineRule="auto"/>
        <w:tabs>
          <w:tab w:leader="none" w:pos="7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5"/>
        <w:spacing w:after="0" w:line="282" w:lineRule="auto"/>
        <w:tabs>
          <w:tab w:leader="none" w:pos="7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5"/>
        <w:spacing w:after="0" w:line="266" w:lineRule="auto"/>
        <w:tabs>
          <w:tab w:leader="none" w:pos="7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00" w:hanging="522"/>
        <w:spacing w:after="0" w:line="266"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40" w:hanging="522"/>
        <w:spacing w:after="0" w:line="266"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300" w:right="400" w:hanging="522"/>
        <w:spacing w:after="0" w:line="313" w:lineRule="auto"/>
        <w:tabs>
          <w:tab w:leader="none" w:pos="1300"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60" w:hanging="522"/>
        <w:spacing w:after="0" w:line="266"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5"/>
        <w:spacing w:after="0" w:line="282" w:lineRule="auto"/>
        <w:tabs>
          <w:tab w:leader="none" w:pos="7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40" w:hanging="522"/>
        <w:spacing w:after="0" w:line="282"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522"/>
        <w:spacing w:after="0" w:line="282" w:lineRule="auto"/>
        <w:tabs>
          <w:tab w:leader="none" w:pos="130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2015</w:t>
            </w:r>
          </w:p>
        </w:tc>
        <w:tc>
          <w:tcPr>
            <w:tcW w:w="71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  /s/ Joshua Easterly</w:t>
            </w:r>
          </w:p>
        </w:tc>
      </w:tr>
      <w:tr>
        <w:trPr>
          <w:trHeight w:val="191"/>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ectPr>
          <w:pgSz w:w="11900" w:h="16838" w:orient="portrait"/>
          <w:cols w:equalWidth="0" w:num="1">
            <w:col w:w="11420"/>
          </w:cols>
          <w:pgMar w:left="240" w:top="117" w:right="2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Fishman, certify that:</w:t>
      </w:r>
    </w:p>
    <w:p>
      <w:pPr>
        <w:spacing w:after="0" w:line="117" w:lineRule="exact"/>
        <w:rPr>
          <w:sz w:val="20"/>
          <w:szCs w:val="20"/>
          <w:color w:val="auto"/>
        </w:rPr>
      </w:pPr>
    </w:p>
    <w:p>
      <w:pPr>
        <w:ind w:left="780" w:hanging="515"/>
        <w:spacing w:after="0"/>
        <w:tabs>
          <w:tab w:leader="none" w:pos="7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80" w:hanging="515"/>
        <w:spacing w:after="0" w:line="266" w:lineRule="auto"/>
        <w:tabs>
          <w:tab w:leader="none" w:pos="7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5"/>
        <w:spacing w:after="0" w:line="282" w:lineRule="auto"/>
        <w:tabs>
          <w:tab w:leader="none" w:pos="7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5"/>
        <w:spacing w:after="0" w:line="266" w:lineRule="auto"/>
        <w:tabs>
          <w:tab w:leader="none" w:pos="7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00" w:hanging="522"/>
        <w:spacing w:after="0" w:line="266"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40" w:hanging="522"/>
        <w:spacing w:after="0" w:line="266"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300" w:right="400" w:hanging="522"/>
        <w:spacing w:after="0" w:line="313" w:lineRule="auto"/>
        <w:tabs>
          <w:tab w:leader="none" w:pos="1300"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60" w:hanging="522"/>
        <w:spacing w:after="0" w:line="266"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5"/>
        <w:spacing w:after="0" w:line="282" w:lineRule="auto"/>
        <w:tabs>
          <w:tab w:leader="none" w:pos="7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40" w:hanging="522"/>
        <w:spacing w:after="0" w:line="282"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522"/>
        <w:spacing w:after="0" w:line="282" w:lineRule="auto"/>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2015</w:t>
            </w:r>
          </w:p>
        </w:tc>
        <w:tc>
          <w:tcPr>
            <w:tcW w:w="71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  /s/ Michael Fishman</w:t>
            </w:r>
          </w:p>
        </w:tc>
      </w:tr>
      <w:tr>
        <w:trPr>
          <w:trHeight w:val="191"/>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Fishman</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ectPr>
          <w:pgSz w:w="11900" w:h="16838" w:orient="portrait"/>
          <w:cols w:equalWidth="0" w:num="1">
            <w:col w:w="11420"/>
          </w:cols>
          <w:pgMar w:left="240" w:top="117" w:right="2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Ollwerther, certify that:</w:t>
      </w:r>
    </w:p>
    <w:p>
      <w:pPr>
        <w:spacing w:after="0" w:line="117" w:lineRule="exact"/>
        <w:rPr>
          <w:sz w:val="20"/>
          <w:szCs w:val="20"/>
          <w:color w:val="auto"/>
        </w:rPr>
      </w:pPr>
    </w:p>
    <w:p>
      <w:pPr>
        <w:ind w:left="780" w:hanging="515"/>
        <w:spacing w:after="0"/>
        <w:tabs>
          <w:tab w:leader="none" w:pos="7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80" w:hanging="515"/>
        <w:spacing w:after="0" w:line="266" w:lineRule="auto"/>
        <w:tabs>
          <w:tab w:leader="none" w:pos="7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5"/>
        <w:spacing w:after="0" w:line="282" w:lineRule="auto"/>
        <w:tabs>
          <w:tab w:leader="none" w:pos="7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5"/>
        <w:spacing w:after="0" w:line="266" w:lineRule="auto"/>
        <w:tabs>
          <w:tab w:leader="none" w:pos="7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00" w:hanging="522"/>
        <w:spacing w:after="0" w:line="266"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40" w:hanging="522"/>
        <w:spacing w:after="0" w:line="266"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300" w:right="400" w:hanging="522"/>
        <w:spacing w:after="0" w:line="313" w:lineRule="auto"/>
        <w:tabs>
          <w:tab w:leader="none" w:pos="1300" w:val="left"/>
        </w:tabs>
        <w:numPr>
          <w:ilvl w:val="1"/>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60" w:hanging="522"/>
        <w:spacing w:after="0" w:line="266"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5"/>
        <w:spacing w:after="0" w:line="282" w:lineRule="auto"/>
        <w:tabs>
          <w:tab w:leader="none" w:pos="7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40" w:hanging="522"/>
        <w:spacing w:after="0" w:line="282"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522"/>
        <w:spacing w:after="0" w:line="282"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2015</w:t>
            </w:r>
          </w:p>
        </w:tc>
        <w:tc>
          <w:tcPr>
            <w:tcW w:w="70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3"/>
                <w:szCs w:val="13"/>
                <w:color w:val="auto"/>
              </w:rPr>
              <w:t>OBERT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3"/>
                <w:szCs w:val="13"/>
                <w:color w:val="auto"/>
              </w:rPr>
              <w:t>LLWERTHER</w:t>
            </w:r>
          </w:p>
        </w:tc>
      </w:tr>
      <w:tr>
        <w:trPr>
          <w:trHeight w:val="191"/>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Ollwerther</w:t>
            </w:r>
          </w:p>
        </w:tc>
      </w:tr>
      <w:tr>
        <w:trPr>
          <w:trHeight w:val="234"/>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31"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Specialty Lending, Inc. (the “Company”) for the quarterly period ended September 30, 2015, as filed with the Securities and Exchange Commission on the date hereof (the “Report”), Joshua Easterly and Michael Fishman, as Co-Chief Executive Officers of the Company, and Robert Ollwerther,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254"/>
        <w:spacing w:after="0"/>
        <w:tabs>
          <w:tab w:leader="none" w:pos="7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3, 2015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Fishman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Michael Fishman</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3, 2015</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Ollwerther</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Robert Ollwerther</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3, 2015</w:t>
            </w:r>
          </w:p>
        </w:tc>
      </w:tr>
    </w:tbl>
    <w:p>
      <w:pPr>
        <w:spacing w:after="0" w:line="19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1)"/>
      <w:numFmt w:val="decimal"/>
      <w:start w:val="1"/>
    </w:lvl>
  </w:abstractNum>
  <w:abstractNum w:abstractNumId="4">
    <w:nsid w:val="23D86AAC"/>
    <w:multiLevelType w:val="hybridMultilevel"/>
    <w:lvl w:ilvl="0">
      <w:lvlJc w:val="left"/>
      <w:lvlText w:val="(%1)"/>
      <w:numFmt w:val="lowerLetter"/>
      <w:start w:val="1"/>
    </w:lvl>
  </w:abstractNum>
  <w:abstractNum w:abstractNumId="5">
    <w:nsid w:val="45E6D486"/>
    <w:multiLevelType w:val="hybridMultilevel"/>
    <w:lvl w:ilvl="0">
      <w:lvlJc w:val="left"/>
      <w:lvlText w:val="(%1)"/>
      <w:numFmt w:val="decimal"/>
      <w:start w:val="8"/>
    </w:lvl>
  </w:abstractNum>
  <w:abstractNum w:abstractNumId="6">
    <w:nsid w:val="5C10FE21"/>
    <w:multiLevelType w:val="hybridMultilevel"/>
    <w:lvl w:ilvl="0">
      <w:lvlJc w:val="left"/>
      <w:lvlText w:val="(%1)"/>
      <w:numFmt w:val="decimal"/>
      <w:start w:val="1"/>
    </w:lvl>
  </w:abstractNum>
  <w:abstractNum w:abstractNumId="7">
    <w:nsid w:val="E7FFA2B"/>
    <w:multiLevelType w:val="hybridMultilevel"/>
    <w:lvl w:ilvl="0">
      <w:lvlJc w:val="left"/>
      <w:lvlText w:val="(%1)"/>
      <w:numFmt w:val="decimal"/>
      <w:start w:val="6"/>
    </w:lvl>
  </w:abstractNum>
  <w:abstractNum w:abstractNumId="8">
    <w:nsid w:val="3C5991AA"/>
    <w:multiLevelType w:val="hybridMultilevel"/>
    <w:lvl w:ilvl="0">
      <w:lvlJc w:val="left"/>
      <w:lvlText w:val="(%1)"/>
      <w:numFmt w:val="lowerLetter"/>
      <w:start w:val="1"/>
    </w:lvl>
  </w:abstractNum>
  <w:abstractNum w:abstractNumId="9">
    <w:nsid w:val="4BD8591A"/>
    <w:multiLevelType w:val="hybridMultilevel"/>
    <w:lvl w:ilvl="0">
      <w:lvlJc w:val="left"/>
      <w:lvlText w:val="(%1)"/>
      <w:numFmt w:val="decimal"/>
      <w:start w:val="9"/>
    </w:lvl>
  </w:abstractNum>
  <w:abstractNum w:abstractNumId="10">
    <w:nsid w:val="78DF6A55"/>
    <w:multiLevelType w:val="hybridMultilevel"/>
    <w:lvl w:ilvl="0">
      <w:lvlJc w:val="left"/>
      <w:lvlText w:val="·"/>
      <w:numFmt w:val="bullet"/>
      <w:start w:val="1"/>
    </w:lvl>
  </w:abstractNum>
  <w:abstractNum w:abstractNumId="11">
    <w:nsid w:val="39B7AAA2"/>
    <w:multiLevelType w:val="hybridMultilevel"/>
    <w:lvl w:ilvl="0">
      <w:lvlJc w:val="left"/>
      <w:lvlText w:val="·"/>
      <w:numFmt w:val="bullet"/>
      <w:start w:val="1"/>
    </w:lvl>
  </w:abstractNum>
  <w:abstractNum w:abstractNumId="12">
    <w:nsid w:val="2B0D8DBE"/>
    <w:multiLevelType w:val="hybridMultilevel"/>
    <w:lvl w:ilvl="0">
      <w:lvlJc w:val="left"/>
      <w:lvlText w:val="·"/>
      <w:numFmt w:val="bullet"/>
      <w:start w:val="1"/>
    </w:lvl>
  </w:abstractNum>
  <w:abstractNum w:abstractNumId="13">
    <w:nsid w:val="6C80EC70"/>
    <w:multiLevelType w:val="hybridMultilevel"/>
    <w:lvl w:ilvl="0">
      <w:lvlJc w:val="left"/>
      <w:lvlText w:val="(%1)"/>
      <w:numFmt w:val="lowerRoman"/>
      <w:start w:val="1"/>
    </w:lvl>
  </w:abstractNum>
  <w:abstractNum w:abstractNumId="14">
    <w:nsid w:val="379E21B5"/>
    <w:multiLevelType w:val="hybridMultilevel"/>
    <w:lvl w:ilvl="0">
      <w:lvlJc w:val="left"/>
      <w:lvlText w:val="·"/>
      <w:numFmt w:val="bullet"/>
      <w:start w:val="1"/>
    </w:lvl>
  </w:abstractNum>
  <w:abstractNum w:abstractNumId="15">
    <w:nsid w:val="69E373"/>
    <w:multiLevelType w:val="hybridMultilevel"/>
    <w:lvl w:ilvl="0">
      <w:lvlJc w:val="left"/>
      <w:lvlText w:val="(%1)"/>
      <w:numFmt w:val="decimal"/>
      <w:start w:val="1"/>
    </w:lvl>
  </w:abstractNum>
  <w:abstractNum w:abstractNumId="16">
    <w:nsid w:val="2C27173B"/>
    <w:multiLevelType w:val="hybridMultilevel"/>
    <w:lvl w:ilvl="0">
      <w:lvlJc w:val="left"/>
      <w:lvlText w:val="(%1)"/>
      <w:numFmt w:val="decimal"/>
      <w:start w:val="1"/>
    </w:lvl>
  </w:abstractNum>
  <w:abstractNum w:abstractNumId="17">
    <w:nsid w:val="4C9B0904"/>
    <w:multiLevelType w:val="hybridMultilevel"/>
    <w:lvl w:ilvl="0">
      <w:lvlJc w:val="left"/>
      <w:lvlText w:val="(%1)"/>
      <w:numFmt w:val="decimal"/>
      <w:start w:val="1"/>
    </w:lvl>
  </w:abstractNum>
  <w:abstractNum w:abstractNumId="18">
    <w:nsid w:val="6AA7B75C"/>
    <w:multiLevelType w:val="hybridMultilevel"/>
    <w:lvl w:ilvl="0">
      <w:lvlJc w:val="left"/>
      <w:lvlText w:val="(%1)"/>
      <w:numFmt w:val="decimal"/>
      <w:start w:val="1"/>
    </w:lvl>
  </w:abstractNum>
  <w:abstractNum w:abstractNumId="19">
    <w:nsid w:val="1DF029D3"/>
    <w:multiLevelType w:val="hybridMultilevel"/>
    <w:lvl w:ilvl="0">
      <w:lvlJc w:val="left"/>
      <w:lvlText w:val="·"/>
      <w:numFmt w:val="bullet"/>
      <w:start w:val="1"/>
    </w:lvl>
    <w:lvl w:ilvl="1">
      <w:lvlJc w:val="left"/>
      <w:lvlText w:val="·"/>
      <w:numFmt w:val="bullet"/>
      <w:start w:val="1"/>
    </w:lvl>
  </w:abstractNum>
  <w:abstractNum w:abstractNumId="20">
    <w:nsid w:val="5675FF36"/>
    <w:multiLevelType w:val="hybridMultilevel"/>
    <w:lvl w:ilvl="0">
      <w:lvlJc w:val="left"/>
      <w:lvlText w:val="·"/>
      <w:numFmt w:val="bullet"/>
      <w:start w:val="1"/>
    </w:lvl>
  </w:abstractNum>
  <w:abstractNum w:abstractNumId="21">
    <w:nsid w:val="3DD15094"/>
    <w:multiLevelType w:val="hybridMultilevel"/>
    <w:lvl w:ilvl="0">
      <w:lvlJc w:val="left"/>
      <w:lvlText w:val="·"/>
      <w:numFmt w:val="bullet"/>
      <w:start w:val="1"/>
    </w:lvl>
  </w:abstractNum>
  <w:abstractNum w:abstractNumId="22">
    <w:nsid w:val="3DB012B3"/>
    <w:multiLevelType w:val="hybridMultilevel"/>
    <w:lvl w:ilvl="0">
      <w:lvlJc w:val="left"/>
      <w:lvlText w:val="·"/>
      <w:numFmt w:val="bullet"/>
      <w:start w:val="1"/>
    </w:lvl>
  </w:abstractNum>
  <w:abstractNum w:abstractNumId="23">
    <w:nsid w:val="2708C9AF"/>
    <w:multiLevelType w:val="hybridMultilevel"/>
    <w:lvl w:ilvl="0">
      <w:lvlJc w:val="left"/>
      <w:lvlText w:val="·"/>
      <w:numFmt w:val="bullet"/>
      <w:start w:val="1"/>
    </w:lvl>
  </w:abstractNum>
  <w:abstractNum w:abstractNumId="24">
    <w:nsid w:val="5B25ACE2"/>
    <w:multiLevelType w:val="hybridMultilevel"/>
    <w:lvl w:ilvl="0">
      <w:lvlJc w:val="left"/>
      <w:lvlText w:val="%1."/>
      <w:numFmt w:val="decimal"/>
      <w:start w:val="10"/>
    </w:lvl>
  </w:abstractNum>
  <w:abstractNum w:abstractNumId="25">
    <w:nsid w:val="175DFCF0"/>
    <w:multiLevelType w:val="hybridMultilevel"/>
    <w:lvl w:ilvl="0">
      <w:lvlJc w:val="left"/>
      <w:lvlText w:val="%1."/>
      <w:numFmt w:val="decimal"/>
      <w:start w:val="11"/>
    </w:lvl>
  </w:abstractNum>
  <w:abstractNum w:abstractNumId="26">
    <w:nsid w:val="4F97E3E4"/>
    <w:multiLevelType w:val="hybridMultilevel"/>
    <w:lvl w:ilvl="0">
      <w:lvlJc w:val="left"/>
      <w:lvlText w:val="(%1)"/>
      <w:numFmt w:val="decimal"/>
      <w:start w:val="1"/>
    </w:lvl>
  </w:abstractNum>
  <w:abstractNum w:abstractNumId="27">
    <w:nsid w:val="53B0A9E"/>
    <w:multiLevelType w:val="hybridMultilevel"/>
    <w:lvl w:ilvl="0">
      <w:lvlJc w:val="left"/>
      <w:lvlText w:val="·"/>
      <w:numFmt w:val="bullet"/>
      <w:start w:val="1"/>
    </w:lvl>
  </w:abstractNum>
  <w:abstractNum w:abstractNumId="28">
    <w:nsid w:val="34FD6B4F"/>
    <w:multiLevelType w:val="hybridMultilevel"/>
    <w:lvl w:ilvl="0">
      <w:lvlJc w:val="left"/>
      <w:lvlText w:val="·"/>
      <w:numFmt w:val="bullet"/>
      <w:start w:val="1"/>
    </w:lvl>
  </w:abstractNum>
  <w:abstractNum w:abstractNumId="29">
    <w:nsid w:val="5915FF32"/>
    <w:multiLevelType w:val="hybridMultilevel"/>
    <w:lvl w:ilvl="0">
      <w:lvlJc w:val="left"/>
      <w:lvlText w:val="·"/>
      <w:numFmt w:val="bullet"/>
      <w:start w:val="1"/>
    </w:lvl>
  </w:abstractNum>
  <w:abstractNum w:abstractNumId="30">
    <w:nsid w:val="56438D15"/>
    <w:multiLevelType w:val="hybridMultilevel"/>
    <w:lvl w:ilvl="0">
      <w:lvlJc w:val="left"/>
      <w:lvlText w:val="(%1)"/>
      <w:numFmt w:val="decimal"/>
      <w:start w:val="1"/>
    </w:lvl>
  </w:abstractNum>
  <w:abstractNum w:abstractNumId="31">
    <w:nsid w:val="519E3149"/>
    <w:multiLevelType w:val="hybridMultilevel"/>
    <w:lvl w:ilvl="0">
      <w:lvlJc w:val="left"/>
      <w:lvlText w:val="·"/>
      <w:numFmt w:val="bullet"/>
      <w:start w:val="1"/>
    </w:lvl>
  </w:abstractNum>
  <w:abstractNum w:abstractNumId="32">
    <w:nsid w:val="2C6E4AFD"/>
    <w:multiLevelType w:val="hybridMultilevel"/>
    <w:lvl w:ilvl="0">
      <w:lvlJc w:val="left"/>
      <w:lvlText w:val="·"/>
      <w:numFmt w:val="bullet"/>
      <w:start w:val="1"/>
    </w:lvl>
  </w:abstractNum>
  <w:abstractNum w:abstractNumId="33">
    <w:nsid w:val="17A1B582"/>
    <w:multiLevelType w:val="hybridMultilevel"/>
    <w:lvl w:ilvl="0">
      <w:lvlJc w:val="left"/>
      <w:lvlText w:val="·"/>
      <w:numFmt w:val="bullet"/>
      <w:start w:val="1"/>
    </w:lvl>
  </w:abstractNum>
  <w:abstractNum w:abstractNumId="34">
    <w:nsid w:val="4DF72E4E"/>
    <w:multiLevelType w:val="hybridMultilevel"/>
    <w:lvl w:ilvl="0">
      <w:lvlJc w:val="left"/>
      <w:lvlText w:val="·"/>
      <w:numFmt w:val="bullet"/>
      <w:start w:val="1"/>
    </w:lvl>
  </w:abstractNum>
  <w:abstractNum w:abstractNumId="35">
    <w:nsid w:val="5046B5A9"/>
    <w:multiLevelType w:val="hybridMultilevel"/>
    <w:lvl w:ilvl="0">
      <w:lvlJc w:val="left"/>
      <w:lvlText w:val="(%1)"/>
      <w:numFmt w:val="decimal"/>
      <w:start w:val="1"/>
    </w:lvl>
  </w:abstractNum>
  <w:abstractNum w:abstractNumId="36">
    <w:nsid w:val="5D888A08"/>
    <w:multiLevelType w:val="hybridMultilevel"/>
    <w:lvl w:ilvl="0">
      <w:lvlJc w:val="left"/>
      <w:lvlText w:val="·"/>
      <w:numFmt w:val="bullet"/>
      <w:start w:val="1"/>
    </w:lvl>
  </w:abstractNum>
  <w:abstractNum w:abstractNumId="37">
    <w:nsid w:val="2A082C70"/>
    <w:multiLevelType w:val="hybridMultilevel"/>
    <w:lvl w:ilvl="0">
      <w:lvlJc w:val="left"/>
      <w:lvlText w:val="·"/>
      <w:numFmt w:val="bullet"/>
      <w:start w:val="1"/>
    </w:lvl>
  </w:abstractNum>
  <w:abstractNum w:abstractNumId="38">
    <w:nsid w:val="5EC6AFD4"/>
    <w:multiLevelType w:val="hybridMultilevel"/>
    <w:lvl w:ilvl="0">
      <w:lvlJc w:val="left"/>
      <w:lvlText w:val="·"/>
      <w:numFmt w:val="bullet"/>
      <w:start w:val="1"/>
    </w:lvl>
  </w:abstractNum>
  <w:abstractNum w:abstractNumId="39">
    <w:nsid w:val="19E21BB2"/>
    <w:multiLevelType w:val="hybridMultilevel"/>
    <w:lvl w:ilvl="0">
      <w:lvlJc w:val="left"/>
      <w:lvlText w:val="·"/>
      <w:numFmt w:val="bullet"/>
      <w:start w:val="1"/>
    </w:lvl>
  </w:abstractNum>
  <w:abstractNum w:abstractNumId="40">
    <w:nsid w:val="75E0858A"/>
    <w:multiLevelType w:val="hybridMultilevel"/>
    <w:lvl w:ilvl="0">
      <w:lvlJc w:val="left"/>
      <w:lvlText w:val="·"/>
      <w:numFmt w:val="bullet"/>
      <w:start w:val="1"/>
    </w:lvl>
  </w:abstractNum>
  <w:abstractNum w:abstractNumId="41">
    <w:nsid w:val="57A61A29"/>
    <w:multiLevelType w:val="hybridMultilevel"/>
    <w:lvl w:ilvl="0">
      <w:lvlJc w:val="left"/>
      <w:lvlText w:val="·"/>
      <w:numFmt w:val="bullet"/>
      <w:start w:val="1"/>
    </w:lvl>
  </w:abstractNum>
  <w:abstractNum w:abstractNumId="42">
    <w:nsid w:val="5399C654"/>
    <w:multiLevelType w:val="hybridMultilevel"/>
    <w:lvl w:ilvl="0">
      <w:lvlJc w:val="left"/>
      <w:lvlText w:val="·"/>
      <w:numFmt w:val="bullet"/>
      <w:start w:val="1"/>
    </w:lvl>
  </w:abstractNum>
  <w:abstractNum w:abstractNumId="43">
    <w:nsid w:val="20EE1348"/>
    <w:multiLevelType w:val="hybridMultilevel"/>
    <w:lvl w:ilvl="0">
      <w:lvlJc w:val="left"/>
      <w:lvlText w:val="(%1)"/>
      <w:numFmt w:val="decimal"/>
      <w:start w:val="1"/>
    </w:lvl>
  </w:abstractNum>
  <w:abstractNum w:abstractNumId="44">
    <w:nsid w:val="4427069A"/>
    <w:multiLevelType w:val="hybridMultilevel"/>
    <w:lvl w:ilvl="0">
      <w:lvlJc w:val="left"/>
      <w:lvlText w:val="%1"/>
      <w:numFmt w:val="decimal"/>
      <w:start w:val="32"/>
    </w:lvl>
  </w:abstractNum>
  <w:abstractNum w:abstractNumId="45">
    <w:nsid w:val="B37E80A"/>
    <w:multiLevelType w:val="hybridMultilevel"/>
    <w:lvl w:ilvl="0">
      <w:lvlJc w:val="left"/>
      <w:lvlText w:val="(%1)"/>
      <w:numFmt w:val="lowerRoman"/>
      <w:start w:val="2"/>
    </w:lvl>
  </w:abstractNum>
  <w:abstractNum w:abstractNumId="46">
    <w:nsid w:val="2157F6BC"/>
    <w:multiLevelType w:val="hybridMultilevel"/>
    <w:lvl w:ilvl="0">
      <w:lvlJc w:val="left"/>
      <w:lvlText w:val="(%1)"/>
      <w:numFmt w:val="lowerLetter"/>
      <w:start w:val="2"/>
    </w:lvl>
  </w:abstractNum>
  <w:abstractNum w:abstractNumId="47">
    <w:nsid w:val="704E1DD5"/>
    <w:multiLevelType w:val="hybridMultilevel"/>
    <w:lvl w:ilvl="0">
      <w:lvlJc w:val="left"/>
      <w:lvlText w:val="(%1)"/>
      <w:numFmt w:val="lowerLetter"/>
      <w:start w:val="2"/>
    </w:lvl>
  </w:abstractNum>
  <w:abstractNum w:abstractNumId="48">
    <w:nsid w:val="57D2F10E"/>
    <w:multiLevelType w:val="hybridMultilevel"/>
    <w:lvl w:ilvl="0">
      <w:lvlJc w:val="left"/>
      <w:lvlText w:val="(%1)"/>
      <w:numFmt w:val="lowerLetter"/>
      <w:start w:val="1"/>
    </w:lvl>
  </w:abstractNum>
  <w:abstractNum w:abstractNumId="49">
    <w:nsid w:val="BFFAE18"/>
    <w:multiLevelType w:val="hybridMultilevel"/>
    <w:lvl w:ilvl="0">
      <w:lvlJc w:val="left"/>
      <w:lvlText w:val="(%1)"/>
      <w:numFmt w:val="lowerLetter"/>
      <w:start w:val="2"/>
    </w:lvl>
  </w:abstractNum>
  <w:abstractNum w:abstractNumId="50">
    <w:nsid w:val="E3E47A8"/>
    <w:multiLevelType w:val="hybridMultilevel"/>
    <w:lvl w:ilvl="0">
      <w:lvlJc w:val="left"/>
      <w:lvlText w:val="(%1)"/>
      <w:numFmt w:val="lowerRoman"/>
      <w:start w:val="1"/>
    </w:lvl>
  </w:abstractNum>
  <w:abstractNum w:abstractNumId="51">
    <w:nsid w:val="2E48F044"/>
    <w:multiLevelType w:val="hybridMultilevel"/>
    <w:lvl w:ilvl="0">
      <w:lvlJc w:val="left"/>
      <w:lvlText w:val="(%1)"/>
      <w:numFmt w:val="lowerLetter"/>
      <w:start w:val="1"/>
    </w:lvl>
  </w:abstractNum>
  <w:abstractNum w:abstractNumId="52">
    <w:nsid w:val="49D0FEAC"/>
    <w:multiLevelType w:val="hybridMultilevel"/>
    <w:lvl w:ilvl="0">
      <w:lvlJc w:val="left"/>
      <w:lvlText w:val="(%1)"/>
      <w:numFmt w:val="lowerLetter"/>
      <w:start w:val="4"/>
    </w:lvl>
  </w:abstractNum>
  <w:abstractNum w:abstractNumId="53">
    <w:nsid w:val="4BEE5A5B"/>
    <w:multiLevelType w:val="hybridMultilevel"/>
    <w:lvl w:ilvl="0">
      <w:lvlJc w:val="left"/>
      <w:lvlText w:val="(%1)"/>
      <w:numFmt w:val="lowerLetter"/>
      <w:start w:val="1"/>
    </w:lvl>
  </w:abstractNum>
  <w:abstractNum w:abstractNumId="54">
    <w:nsid w:val="5551B9F3"/>
    <w:multiLevelType w:val="hybridMultilevel"/>
    <w:lvl w:ilvl="0">
      <w:lvlJc w:val="left"/>
      <w:lvlText w:val="(%1)"/>
      <w:numFmt w:val="lowerLetter"/>
      <w:start w:val="2"/>
    </w:lvl>
  </w:abstractNum>
  <w:abstractNum w:abstractNumId="55">
    <w:nsid w:val="24F6AB8E"/>
    <w:multiLevelType w:val="hybridMultilevel"/>
    <w:lvl w:ilvl="0">
      <w:lvlJc w:val="left"/>
      <w:lvlText w:val="(%1)"/>
      <w:numFmt w:val="lowerLetter"/>
      <w:start w:val="3"/>
    </w:lvl>
  </w:abstractNum>
  <w:abstractNum w:abstractNumId="56">
    <w:nsid w:val="634C574C"/>
    <w:multiLevelType w:val="hybridMultilevel"/>
    <w:lvl w:ilvl="0">
      <w:lvlJc w:val="left"/>
      <w:lvlText w:val="(%1)"/>
      <w:numFmt w:val="lowerRoman"/>
      <w:start w:val="2"/>
    </w:lvl>
  </w:abstractNum>
  <w:abstractNum w:abstractNumId="57">
    <w:nsid w:val="24E99DD7"/>
    <w:multiLevelType w:val="hybridMultilevel"/>
    <w:lvl w:ilvl="0">
      <w:lvlJc w:val="left"/>
      <w:lvlText w:val="(%1)"/>
      <w:numFmt w:val="lowerLetter"/>
      <w:start w:val="6"/>
    </w:lvl>
  </w:abstractNum>
  <w:abstractNum w:abstractNumId="58">
    <w:nsid w:val="2A31B62D"/>
    <w:multiLevelType w:val="hybridMultilevel"/>
    <w:lvl w:ilvl="0">
      <w:lvlJc w:val="left"/>
      <w:lvlText w:val="(%1)"/>
      <w:numFmt w:val="lowerLetter"/>
      <w:start w:val="1"/>
    </w:lvl>
  </w:abstractNum>
  <w:abstractNum w:abstractNumId="59">
    <w:nsid w:val="1849C29B"/>
    <w:multiLevelType w:val="hybridMultilevel"/>
    <w:lvl w:ilvl="0">
      <w:lvlJc w:val="left"/>
      <w:lvlText w:val="(%1)"/>
      <w:numFmt w:val="lowerLetter"/>
      <w:start w:val="1"/>
    </w:lvl>
  </w:abstractNum>
  <w:abstractNum w:abstractNumId="60">
    <w:nsid w:val="7DFF9D09"/>
    <w:multiLevelType w:val="hybridMultilevel"/>
    <w:lvl w:ilvl="0">
      <w:lvlJc w:val="left"/>
      <w:lvlText w:val="(%1)"/>
      <w:numFmt w:val="lowerLetter"/>
      <w:start w:val="2"/>
    </w:lvl>
  </w:abstractNum>
  <w:abstractNum w:abstractNumId="61">
    <w:nsid w:val="754342"/>
    <w:multiLevelType w:val="hybridMultilevel"/>
    <w:lvl w:ilvl="0">
      <w:lvlJc w:val="left"/>
      <w:lvlText w:val="(%1)"/>
      <w:numFmt w:val="lowerLetter"/>
      <w:start w:val="4"/>
    </w:lvl>
  </w:abstractNum>
  <w:abstractNum w:abstractNumId="62">
    <w:nsid w:val="69E7F3E5"/>
    <w:multiLevelType w:val="hybridMultilevel"/>
    <w:lvl w:ilvl="0">
      <w:lvlJc w:val="left"/>
      <w:lvlText w:val="%1"/>
      <w:numFmt w:val="lowerRoman"/>
      <w:start w:val="1"/>
    </w:lvl>
    <w:lvl w:ilvl="1">
      <w:lvlJc w:val="left"/>
      <w:lvlText w:val="(%2)"/>
      <w:numFmt w:val="lowerLetter"/>
      <w:start w:val="1"/>
    </w:lvl>
  </w:abstractNum>
  <w:abstractNum w:abstractNumId="63">
    <w:nsid w:val="2A6DE806"/>
    <w:multiLevelType w:val="hybridMultilevel"/>
    <w:lvl w:ilvl="0">
      <w:lvlJc w:val="left"/>
      <w:lvlText w:val="(%1)"/>
      <w:numFmt w:val="lowerRoman"/>
      <w:start w:val="4"/>
    </w:lvl>
    <w:lvl w:ilvl="1">
      <w:lvlJc w:val="left"/>
      <w:lvlText w:val="(%2)"/>
      <w:numFmt w:val="lowerLetter"/>
      <w:start w:val="2"/>
    </w:lvl>
  </w:abstractNum>
  <w:abstractNum w:abstractNumId="64">
    <w:nsid w:val="1816F8C4"/>
    <w:multiLevelType w:val="hybridMultilevel"/>
    <w:lvl w:ilvl="0">
      <w:lvlJc w:val="left"/>
      <w:lvlText w:val="(%1)"/>
      <w:numFmt w:val="lowerLetter"/>
      <w:start w:val="1"/>
    </w:lvl>
  </w:abstractNum>
  <w:abstractNum w:abstractNumId="65">
    <w:nsid w:val="37DF2233"/>
    <w:multiLevelType w:val="hybridMultilevel"/>
    <w:lvl w:ilvl="0">
      <w:lvlJc w:val="left"/>
      <w:lvlText w:val="(%1)"/>
      <w:numFmt w:val="lowerLetter"/>
      <w:start w:val="1"/>
    </w:lvl>
  </w:abstractNum>
  <w:abstractNum w:abstractNumId="66">
    <w:nsid w:val="7AB49DAF"/>
    <w:multiLevelType w:val="hybridMultilevel"/>
    <w:lvl w:ilvl="0">
      <w:lvlJc w:val="left"/>
      <w:lvlText w:val="(%1)"/>
      <w:numFmt w:val="lowerLetter"/>
      <w:start w:val="4"/>
    </w:lvl>
  </w:abstractNum>
  <w:abstractNum w:abstractNumId="67">
    <w:nsid w:val="759F82CD"/>
    <w:multiLevelType w:val="hybridMultilevel"/>
    <w:lvl w:ilvl="0">
      <w:lvlJc w:val="left"/>
      <w:lvlText w:val="%1"/>
      <w:numFmt w:val="lowerRoman"/>
      <w:start w:val="1"/>
    </w:lvl>
    <w:lvl w:ilvl="1">
      <w:lvlJc w:val="left"/>
      <w:lvlText w:val="(%2)"/>
      <w:numFmt w:val="lowerLetter"/>
      <w:start w:val="1"/>
    </w:lvl>
  </w:abstractNum>
  <w:abstractNum w:abstractNumId="68">
    <w:nsid w:val="61E74EA3"/>
    <w:multiLevelType w:val="hybridMultilevel"/>
    <w:lvl w:ilvl="0">
      <w:lvlJc w:val="left"/>
      <w:lvlText w:val="(%1)"/>
      <w:numFmt w:val="lowerRoman"/>
      <w:start w:val="1"/>
    </w:lvl>
    <w:lvl w:ilvl="1">
      <w:lvlJc w:val="left"/>
      <w:lvlText w:val="(%2)"/>
      <w:numFmt w:val="lowerLetter"/>
      <w:start w:val="3"/>
    </w:lvl>
  </w:abstractNum>
  <w:abstractNum w:abstractNumId="69">
    <w:nsid w:val="597B4D84"/>
    <w:multiLevelType w:val="hybridMultilevel"/>
    <w:lvl w:ilvl="0">
      <w:lvlJc w:val="left"/>
      <w:lvlText w:val="%1"/>
      <w:numFmt w:val="lowerLetter"/>
      <w:start w:val="1"/>
    </w:lvl>
    <w:lvl w:ilvl="1">
      <w:lvlJc w:val="left"/>
      <w:lvlText w:val="(%2)"/>
      <w:numFmt w:val="lowerLetter"/>
      <w:start w:val="1"/>
    </w:lvl>
  </w:abstractNum>
  <w:abstractNum w:abstractNumId="70">
    <w:nsid w:val="F819E7F"/>
    <w:multiLevelType w:val="hybridMultilevel"/>
    <w:lvl w:ilvl="0">
      <w:lvlJc w:val="left"/>
      <w:lvlText w:val="(%1)"/>
      <w:numFmt w:val="lowerLetter"/>
      <w:start w:val="22"/>
    </w:lvl>
    <w:lvl w:ilvl="1">
      <w:lvlJc w:val="left"/>
      <w:lvlText w:val="(%2)"/>
      <w:numFmt w:val="lowerLetter"/>
      <w:start w:val="2"/>
    </w:lvl>
  </w:abstractNum>
  <w:abstractNum w:abstractNumId="71">
    <w:nsid w:val="57C7D42D"/>
    <w:multiLevelType w:val="hybridMultilevel"/>
    <w:lvl w:ilvl="0">
      <w:lvlJc w:val="left"/>
      <w:lvlText w:val="(%1)"/>
      <w:numFmt w:val="lowerLetter"/>
      <w:start w:val="4"/>
    </w:lvl>
  </w:abstractNum>
  <w:abstractNum w:abstractNumId="72">
    <w:nsid w:val="312167AD"/>
    <w:multiLevelType w:val="hybridMultilevel"/>
    <w:lvl w:ilvl="0">
      <w:lvlJc w:val="left"/>
      <w:lvlText w:val="(%1)"/>
      <w:numFmt w:val="lowerLetter"/>
      <w:start w:val="1"/>
    </w:lvl>
  </w:abstractNum>
  <w:abstractNum w:abstractNumId="73">
    <w:nsid w:val="631B64D4"/>
    <w:multiLevelType w:val="hybridMultilevel"/>
    <w:lvl w:ilvl="0">
      <w:lvlJc w:val="left"/>
      <w:lvlText w:val="(%1)"/>
      <w:numFmt w:val="lowerLetter"/>
      <w:start w:val="2"/>
    </w:lvl>
  </w:abstractNum>
  <w:abstractNum w:abstractNumId="74">
    <w:nsid w:val="78B5E776"/>
    <w:multiLevelType w:val="hybridMultilevel"/>
    <w:lvl w:ilvl="0">
      <w:lvlJc w:val="left"/>
      <w:lvlText w:val="%1"/>
      <w:numFmt w:val="lowerLetter"/>
      <w:start w:val="1"/>
    </w:lvl>
    <w:lvl w:ilvl="1">
      <w:lvlJc w:val="left"/>
      <w:lvlText w:val="(%2)"/>
      <w:numFmt w:val="lowerLetter"/>
      <w:start w:val="4"/>
    </w:lvl>
  </w:abstractNum>
  <w:abstractNum w:abstractNumId="75">
    <w:nsid w:val="75486E47"/>
    <w:multiLevelType w:val="hybridMultilevel"/>
    <w:lvl w:ilvl="0">
      <w:lvlJc w:val="left"/>
      <w:lvlText w:val="(%1)"/>
      <w:numFmt w:val="lowerLetter"/>
      <w:start w:val="25"/>
    </w:lvl>
    <w:lvl w:ilvl="1">
      <w:lvlJc w:val="left"/>
      <w:lvlText w:val="%2"/>
      <w:numFmt w:val="lowerLetter"/>
      <w:start w:val="1"/>
    </w:lvl>
  </w:abstractNum>
  <w:abstractNum w:abstractNumId="76">
    <w:nsid w:val="6E534CDE"/>
    <w:multiLevelType w:val="hybridMultilevel"/>
    <w:lvl w:ilvl="0">
      <w:lvlJc w:val="left"/>
      <w:lvlText w:val="(%1)"/>
      <w:numFmt w:val="lowerLetter"/>
      <w:start w:val="6"/>
    </w:lvl>
  </w:abstractNum>
  <w:abstractNum w:abstractNumId="77">
    <w:nsid w:val="1A0DDE32"/>
    <w:multiLevelType w:val="hybridMultilevel"/>
    <w:lvl w:ilvl="0">
      <w:lvlJc w:val="left"/>
      <w:lvlText w:val="(%1)"/>
      <w:numFmt w:val="lowerLetter"/>
      <w:start w:val="7"/>
    </w:lvl>
  </w:abstractNum>
  <w:abstractNum w:abstractNumId="78">
    <w:nsid w:val="65968C1C"/>
    <w:multiLevelType w:val="hybridMultilevel"/>
    <w:lvl w:ilvl="0">
      <w:lvlJc w:val="left"/>
      <w:lvlText w:val="(%1)"/>
      <w:numFmt w:val="lowerRoman"/>
      <w:start w:val="1"/>
    </w:lvl>
  </w:abstractNum>
  <w:abstractNum w:abstractNumId="79">
    <w:nsid w:val="46263DEC"/>
    <w:multiLevelType w:val="hybridMultilevel"/>
    <w:lvl w:ilvl="0">
      <w:lvlJc w:val="left"/>
      <w:lvlText w:val="(%1)"/>
      <w:numFmt w:val="lowerRoman"/>
      <w:start w:val="3"/>
    </w:lvl>
  </w:abstractNum>
  <w:abstractNum w:abstractNumId="80">
    <w:nsid w:val="260D8C4A"/>
    <w:multiLevelType w:val="hybridMultilevel"/>
    <w:lvl w:ilvl="0">
      <w:lvlJc w:val="left"/>
      <w:lvlText w:val="(%1)"/>
      <w:numFmt w:val="lowerLetter"/>
      <w:start w:val="8"/>
    </w:lvl>
  </w:abstractNum>
  <w:abstractNum w:abstractNumId="81">
    <w:nsid w:val="73D4D3C4"/>
    <w:multiLevelType w:val="hybridMultilevel"/>
    <w:lvl w:ilvl="0">
      <w:lvlJc w:val="left"/>
      <w:lvlText w:val="(%1)"/>
      <w:numFmt w:val="lowerLetter"/>
      <w:start w:val="12"/>
    </w:lvl>
  </w:abstractNum>
  <w:abstractNum w:abstractNumId="82">
    <w:nsid w:val="746F2E30"/>
    <w:multiLevelType w:val="hybridMultilevel"/>
    <w:lvl w:ilvl="0">
      <w:lvlJc w:val="left"/>
      <w:lvlText w:val="(%1)"/>
      <w:numFmt w:val="lowerLetter"/>
      <w:start w:val="1"/>
    </w:lvl>
  </w:abstractNum>
  <w:abstractNum w:abstractNumId="83">
    <w:nsid w:val="6FDE8AF6"/>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84">
    <w:nsid w:val="3FC32E20"/>
    <w:multiLevelType w:val="hybridMultilevel"/>
    <w:lvl w:ilvl="0">
      <w:lvlJc w:val="left"/>
      <w:lvlText w:val="(%1)"/>
      <w:numFmt w:val="lowerRoman"/>
      <w:start w:val="2"/>
    </w:lvl>
    <w:lvl w:ilvl="1">
      <w:lvlJc w:val="left"/>
      <w:lvlText w:val="%2"/>
      <w:numFmt w:val="lowerRoman"/>
      <w:start w:val="1"/>
    </w:lvl>
    <w:lvl w:ilvl="2">
      <w:lvlJc w:val="left"/>
      <w:lvlText w:val="%3"/>
      <w:numFmt w:val="lowerLetter"/>
      <w:start w:val="1"/>
    </w:lvl>
  </w:abstractNum>
  <w:abstractNum w:abstractNumId="85">
    <w:nsid w:val="49C0E823"/>
    <w:multiLevelType w:val="hybridMultilevel"/>
    <w:lvl w:ilvl="0">
      <w:lvlJc w:val="left"/>
      <w:lvlText w:val="(%1)"/>
      <w:numFmt w:val="lowerRoman"/>
      <w:start w:val="4"/>
    </w:lvl>
    <w:lvl w:ilvl="1">
      <w:lvlJc w:val="left"/>
      <w:lvlText w:val="(%2)"/>
      <w:numFmt w:val="lowerRoman"/>
    </w:lvl>
    <w:lvl w:ilvl="2">
      <w:lvlJc w:val="left"/>
      <w:lvlText w:val="(%3)"/>
      <w:numFmt w:val="lowerLetter"/>
      <w:start w:val="2"/>
    </w:lvl>
  </w:abstractNum>
  <w:abstractNum w:abstractNumId="86">
    <w:nsid w:val="14D53685"/>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4"/>
    </w:lvl>
  </w:abstractNum>
  <w:abstractNum w:abstractNumId="87">
    <w:nsid w:val="230F856C"/>
    <w:multiLevelType w:val="hybridMultilevel"/>
    <w:lvl w:ilvl="0">
      <w:lvlJc w:val="left"/>
      <w:lvlText w:val="(%1)"/>
      <w:numFmt w:val="lowerLetter"/>
      <w:start w:val="5"/>
    </w:lvl>
  </w:abstractNum>
  <w:abstractNum w:abstractNumId="88">
    <w:nsid w:val="6EAA85FB"/>
    <w:multiLevelType w:val="hybridMultilevel"/>
    <w:lvl w:ilvl="0">
      <w:lvlJc w:val="left"/>
      <w:lvlText w:val="%1"/>
      <w:numFmt w:val="lowerLetter"/>
      <w:start w:val="1"/>
    </w:lvl>
    <w:lvl w:ilvl="1">
      <w:lvlJc w:val="left"/>
      <w:lvlText w:val="(%2)"/>
      <w:numFmt w:val="lowerLetter"/>
      <w:start w:val="1"/>
    </w:lvl>
  </w:abstractNum>
  <w:abstractNum w:abstractNumId="89">
    <w:nsid w:val="3F06ECB2"/>
    <w:multiLevelType w:val="hybridMultilevel"/>
    <w:lvl w:ilvl="0">
      <w:lvlJc w:val="left"/>
      <w:lvlText w:val="(%1)"/>
      <w:numFmt w:val="lowerLetter"/>
      <w:start w:val="9"/>
    </w:lvl>
    <w:lvl w:ilvl="1">
      <w:lvlJc w:val="left"/>
      <w:lvlText w:val="%2"/>
      <w:numFmt w:val="lowerLetter"/>
      <w:start w:val="1"/>
    </w:lvl>
  </w:abstractNum>
  <w:abstractNum w:abstractNumId="90">
    <w:nsid w:val="3B594807"/>
    <w:multiLevelType w:val="hybridMultilevel"/>
    <w:lvl w:ilvl="0">
      <w:lvlJc w:val="left"/>
      <w:lvlText w:val="(%1)"/>
      <w:numFmt w:val="upperLetter"/>
      <w:start w:val="1"/>
    </w:lvl>
  </w:abstractNum>
  <w:abstractNum w:abstractNumId="91">
    <w:nsid w:val="6CAA2304"/>
    <w:multiLevelType w:val="hybridMultilevel"/>
    <w:lvl w:ilvl="0">
      <w:lvlJc w:val="left"/>
      <w:lvlText w:val="(%1)"/>
      <w:numFmt w:val="lowerLetter"/>
      <w:start w:val="35"/>
    </w:lvl>
    <w:lvl w:ilvl="1">
      <w:lvlJc w:val="left"/>
      <w:lvlText w:val="(%2)"/>
      <w:numFmt w:val="lowerLetter"/>
      <w:start w:val="24"/>
    </w:lvl>
  </w:abstractNum>
  <w:abstractNum w:abstractNumId="92">
    <w:nsid w:val="3F7C2FF4"/>
    <w:multiLevelType w:val="hybridMultilevel"/>
    <w:lvl w:ilvl="0">
      <w:lvlJc w:val="left"/>
      <w:lvlText w:val="%1"/>
      <w:numFmt w:val="upperLetter"/>
      <w:start w:val="1"/>
    </w:lvl>
    <w:lvl w:ilvl="1">
      <w:lvlJc w:val="left"/>
      <w:lvlText w:val="(%2)"/>
      <w:numFmt w:val="lowerRoman"/>
      <w:start w:val="3"/>
    </w:lvl>
  </w:abstractNum>
  <w:abstractNum w:abstractNumId="93">
    <w:nsid w:val="25413BEC"/>
    <w:multiLevelType w:val="hybridMultilevel"/>
    <w:lvl w:ilvl="0">
      <w:lvlJc w:val="left"/>
      <w:lvlText w:val="(%1)"/>
      <w:numFmt w:val="upperLetter"/>
      <w:start w:val="1"/>
    </w:lvl>
    <w:lvl w:ilvl="1">
      <w:lvlJc w:val="left"/>
      <w:lvlText w:val="%2"/>
      <w:numFmt w:val="lowerRoman"/>
      <w:start w:val="1"/>
    </w:lvl>
  </w:abstractNum>
  <w:abstractNum w:abstractNumId="94">
    <w:nsid w:val="17180B0B"/>
    <w:multiLevelType w:val="hybridMultilevel"/>
    <w:lvl w:ilvl="0">
      <w:lvlJc w:val="left"/>
      <w:lvlText w:val="(%1)"/>
      <w:numFmt w:val="upperLetter"/>
      <w:start w:val="3"/>
    </w:lvl>
    <w:lvl w:ilvl="1">
      <w:lvlJc w:val="left"/>
      <w:lvlText w:val="%2"/>
      <w:numFmt w:val="lowerRoman"/>
      <w:start w:val="1"/>
    </w:lvl>
  </w:abstractNum>
  <w:abstractNum w:abstractNumId="95">
    <w:nsid w:val="579328B9"/>
    <w:multiLevelType w:val="hybridMultilevel"/>
    <w:lvl w:ilvl="0">
      <w:lvlJc w:val="left"/>
      <w:lvlText w:val="%1"/>
      <w:numFmt w:val="lowerRoman"/>
      <w:start w:val="1"/>
    </w:lvl>
    <w:lvl w:ilvl="1">
      <w:lvlJc w:val="left"/>
      <w:lvlText w:val="(%2)"/>
      <w:numFmt w:val="lowerLetter"/>
      <w:start w:val="1"/>
    </w:lvl>
  </w:abstractNum>
  <w:abstractNum w:abstractNumId="96">
    <w:nsid w:val="5D205E20"/>
    <w:multiLevelType w:val="hybridMultilevel"/>
    <w:lvl w:ilvl="0">
      <w:lvlJc w:val="left"/>
      <w:lvlText w:val="(%1)"/>
      <w:numFmt w:val="lowerRoman"/>
      <w:start w:val="1"/>
    </w:lvl>
    <w:lvl w:ilvl="1">
      <w:lvlJc w:val="left"/>
      <w:lvlText w:val="%2"/>
      <w:numFmt w:val="lowerLetter"/>
      <w:start w:val="1"/>
    </w:lvl>
  </w:abstractNum>
  <w:abstractNum w:abstractNumId="97">
    <w:nsid w:val="11CCA8BA"/>
    <w:multiLevelType w:val="hybridMultilevel"/>
    <w:lvl w:ilvl="0">
      <w:lvlJc w:val="left"/>
      <w:lvlText w:val="(%1)"/>
      <w:numFmt w:val="lowerLetter"/>
      <w:start w:val="2"/>
    </w:lvl>
  </w:abstractNum>
  <w:abstractNum w:abstractNumId="98">
    <w:nsid w:val="4D32AB86"/>
    <w:multiLevelType w:val="hybridMultilevel"/>
    <w:lvl w:ilvl="0">
      <w:lvlJc w:val="left"/>
      <w:lvlText w:val="(%1)"/>
      <w:numFmt w:val="lowerLetter"/>
      <w:start w:val="3"/>
    </w:lvl>
  </w:abstractNum>
  <w:abstractNum w:abstractNumId="99">
    <w:nsid w:val="3F07ACC3"/>
    <w:multiLevelType w:val="hybridMultilevel"/>
    <w:lvl w:ilvl="0">
      <w:lvlJc w:val="left"/>
      <w:lvlText w:val="%1"/>
      <w:numFmt w:val="lowerRoman"/>
      <w:start w:val="1"/>
    </w:lvl>
    <w:lvl w:ilvl="1">
      <w:lvlJc w:val="left"/>
      <w:lvlText w:val="(%2)"/>
      <w:numFmt w:val="lowerLetter"/>
      <w:start w:val="1"/>
    </w:lvl>
  </w:abstractNum>
  <w:abstractNum w:abstractNumId="100">
    <w:nsid w:val="6B47F63E"/>
    <w:multiLevelType w:val="hybridMultilevel"/>
    <w:lvl w:ilvl="0">
      <w:lvlJc w:val="left"/>
      <w:lvlText w:val="(%1)"/>
      <w:numFmt w:val="lowerRoman"/>
      <w:start w:val="1"/>
    </w:lvl>
    <w:lvl w:ilvl="1">
      <w:lvlJc w:val="left"/>
      <w:lvlText w:val="%2"/>
      <w:numFmt w:val="lowerLetter"/>
      <w:start w:val="1"/>
    </w:lvl>
  </w:abstractNum>
  <w:abstractNum w:abstractNumId="101">
    <w:nsid w:val="5CB44A05"/>
    <w:multiLevelType w:val="hybridMultilevel"/>
    <w:lvl w:ilvl="0">
      <w:lvlJc w:val="left"/>
      <w:lvlText w:val="%1"/>
      <w:numFmt w:val="lowerLetter"/>
      <w:start w:val="1"/>
    </w:lvl>
    <w:lvl w:ilvl="1">
      <w:lvlJc w:val="left"/>
      <w:lvlText w:val="(%2)"/>
      <w:numFmt w:val="lowerLetter"/>
      <w:start w:val="3"/>
    </w:lvl>
  </w:abstractNum>
  <w:abstractNum w:abstractNumId="102">
    <w:nsid w:val="16CF80F1"/>
    <w:multiLevelType w:val="hybridMultilevel"/>
    <w:lvl w:ilvl="0">
      <w:lvlJc w:val="left"/>
      <w:lvlText w:val="(%1)"/>
      <w:numFmt w:val="lowerLetter"/>
      <w:start w:val="9"/>
    </w:lvl>
    <w:lvl w:ilvl="1">
      <w:lvlJc w:val="left"/>
      <w:lvlText w:val="%2"/>
      <w:numFmt w:val="lowerLetter"/>
      <w:start w:val="1"/>
    </w:lvl>
  </w:abstractNum>
  <w:abstractNum w:abstractNumId="103">
    <w:nsid w:val="1C695DEC"/>
    <w:multiLevelType w:val="hybridMultilevel"/>
    <w:lvl w:ilvl="0">
      <w:lvlJc w:val="left"/>
      <w:lvlText w:val="(%1)"/>
      <w:numFmt w:val="lowerRoman"/>
      <w:start w:val="2"/>
    </w:lvl>
  </w:abstractNum>
  <w:abstractNum w:abstractNumId="104">
    <w:nsid w:val="3FCFAED9"/>
    <w:multiLevelType w:val="hybridMultilevel"/>
    <w:lvl w:ilvl="0">
      <w:lvlJc w:val="left"/>
      <w:lvlText w:val="(%1)"/>
      <w:numFmt w:val="lowerLetter"/>
      <w:start w:val="5"/>
    </w:lvl>
  </w:abstractNum>
  <w:abstractNum w:abstractNumId="105">
    <w:nsid w:val="F856867"/>
    <w:multiLevelType w:val="hybridMultilevel"/>
    <w:lvl w:ilvl="0">
      <w:lvlJc w:val="left"/>
      <w:lvlText w:val="(%1)"/>
      <w:numFmt w:val="lowerLetter"/>
      <w:start w:val="1"/>
    </w:lvl>
  </w:abstractNum>
  <w:abstractNum w:abstractNumId="106">
    <w:nsid w:val="11B1CC33"/>
    <w:multiLevelType w:val="hybridMultilevel"/>
    <w:lvl w:ilvl="0">
      <w:lvlJc w:val="left"/>
      <w:lvlText w:val="(%1)"/>
      <w:numFmt w:val="lowerLetter"/>
      <w:start w:val="3"/>
    </w:lvl>
  </w:abstractNum>
  <w:abstractNum w:abstractNumId="107">
    <w:nsid w:val="2E22FBB7"/>
    <w:multiLevelType w:val="hybridMultilevel"/>
    <w:lvl w:ilvl="0">
      <w:lvlJc w:val="left"/>
      <w:lvlText w:val="(%1)"/>
      <w:numFmt w:val="lowerLetter"/>
      <w:start w:val="1"/>
    </w:lvl>
  </w:abstractNum>
  <w:abstractNum w:abstractNumId="108">
    <w:nsid w:val="29934699"/>
    <w:multiLevelType w:val="hybridMultilevel"/>
    <w:lvl w:ilvl="0">
      <w:lvlJc w:val="left"/>
      <w:lvlText w:val="(%1)"/>
      <w:numFmt w:val="lowerLetter"/>
      <w:start w:val="1"/>
    </w:lvl>
  </w:abstractNum>
  <w:abstractNum w:abstractNumId="109">
    <w:nsid w:val="77485850"/>
    <w:multiLevelType w:val="hybridMultilevel"/>
    <w:lvl w:ilvl="0">
      <w:lvlJc w:val="left"/>
      <w:lvlText w:val="(%1)"/>
      <w:numFmt w:val="lowerRoman"/>
      <w:start w:val="3"/>
    </w:lvl>
  </w:abstractNum>
  <w:abstractNum w:abstractNumId="110">
    <w:nsid w:val="744939A3"/>
    <w:multiLevelType w:val="hybridMultilevel"/>
    <w:lvl w:ilvl="0">
      <w:lvlJc w:val="left"/>
      <w:lvlText w:val="%1"/>
      <w:numFmt w:val="lowerRoman"/>
      <w:start w:val="1"/>
    </w:lvl>
    <w:lvl w:ilvl="1">
      <w:lvlJc w:val="left"/>
      <w:lvlText w:val="(%2)"/>
      <w:numFmt w:val="lowerLetter"/>
      <w:start w:val="1"/>
    </w:lvl>
  </w:abstractNum>
  <w:abstractNum w:abstractNumId="111">
    <w:nsid w:val="4FA0D2E3"/>
    <w:multiLevelType w:val="hybridMultilevel"/>
    <w:lvl w:ilvl="0">
      <w:lvlJc w:val="left"/>
      <w:lvlText w:val="(%1)"/>
      <w:numFmt w:val="lowerRoman"/>
      <w:start w:val="1"/>
    </w:lvl>
    <w:lvl w:ilvl="1">
      <w:lvlJc w:val="left"/>
      <w:lvlText w:val="%2"/>
      <w:numFmt w:val="lowerLetter"/>
      <w:start w:val="1"/>
    </w:lvl>
  </w:abstractNum>
  <w:abstractNum w:abstractNumId="112">
    <w:nsid w:val="6B1D2C14"/>
    <w:multiLevelType w:val="hybridMultilevel"/>
    <w:lvl w:ilvl="0">
      <w:lvlJc w:val="left"/>
      <w:lvlText w:val="(%1)"/>
      <w:numFmt w:val="lowerLetter"/>
      <w:start w:val="2"/>
    </w:lvl>
  </w:abstractNum>
  <w:abstractNum w:abstractNumId="113">
    <w:nsid w:val="68B867D3"/>
    <w:multiLevelType w:val="hybridMultilevel"/>
    <w:lvl w:ilvl="0">
      <w:lvlJc w:val="left"/>
      <w:lvlText w:val="(%1)"/>
      <w:numFmt w:val="lowerLetter"/>
      <w:start w:val="3"/>
    </w:lvl>
  </w:abstractNum>
  <w:abstractNum w:abstractNumId="114">
    <w:nsid w:val="3F7F5DD9"/>
    <w:multiLevelType w:val="hybridMultilevel"/>
    <w:lvl w:ilvl="0">
      <w:lvlJc w:val="left"/>
      <w:lvlText w:val="(%1)"/>
      <w:numFmt w:val="lowerRoman"/>
      <w:start w:val="1"/>
    </w:lvl>
  </w:abstractNum>
  <w:abstractNum w:abstractNumId="115">
    <w:nsid w:val="2AE05A34"/>
    <w:multiLevelType w:val="hybridMultilevel"/>
    <w:lvl w:ilvl="0">
      <w:lvlJc w:val="left"/>
      <w:lvlText w:val="%1"/>
      <w:numFmt w:val="lowerLetter"/>
      <w:start w:val="1"/>
    </w:lvl>
    <w:lvl w:ilvl="1">
      <w:lvlJc w:val="left"/>
      <w:lvlText w:val="(%2)"/>
      <w:numFmt w:val="lowerLetter"/>
      <w:start w:val="1"/>
    </w:lvl>
  </w:abstractNum>
  <w:abstractNum w:abstractNumId="116">
    <w:nsid w:val="32794FF7"/>
    <w:multiLevelType w:val="hybridMultilevel"/>
    <w:lvl w:ilvl="0">
      <w:lvlJc w:val="left"/>
      <w:lvlText w:val="(%1)"/>
      <w:numFmt w:val="lowerLetter"/>
      <w:start w:val="35"/>
    </w:lvl>
    <w:lvl w:ilvl="1">
      <w:lvlJc w:val="left"/>
      <w:lvlText w:val="(%2)"/>
      <w:numFmt w:val="lowerLetter"/>
      <w:start w:val="2"/>
    </w:lvl>
  </w:abstractNum>
  <w:abstractNum w:abstractNumId="117">
    <w:nsid w:val="5454945E"/>
    <w:multiLevelType w:val="hybridMultilevel"/>
    <w:lvl w:ilvl="0">
      <w:lvlJc w:val="left"/>
      <w:lvlText w:val="(%1)"/>
      <w:numFmt w:val="lowerLetter"/>
      <w:start w:val="6"/>
    </w:lvl>
  </w:abstractNum>
  <w:abstractNum w:abstractNumId="118">
    <w:nsid w:val="4DEFDFA0"/>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3"/>
    </w:lvl>
  </w:abstractNum>
  <w:abstractNum w:abstractNumId="119">
    <w:nsid w:val="2123D5F2"/>
    <w:multiLevelType w:val="hybridMultilevel"/>
    <w:lvl w:ilvl="0">
      <w:lvlJc w:val="left"/>
      <w:lvlText w:val="%1"/>
      <w:numFmt w:val="lowerLetter"/>
      <w:start w:val="1"/>
    </w:lvl>
    <w:lvl w:ilvl="1">
      <w:lvlJc w:val="left"/>
      <w:lvlText w:val="(%2)"/>
      <w:numFmt w:val="lowerLetter"/>
      <w:start w:val="26"/>
    </w:lvl>
  </w:abstractNum>
  <w:abstractNum w:abstractNumId="120">
    <w:nsid w:val="135B8110"/>
    <w:multiLevelType w:val="hybridMultilevel"/>
    <w:lvl w:ilvl="0">
      <w:lvlJc w:val="left"/>
      <w:lvlText w:val="(%1)"/>
      <w:numFmt w:val="lowerLetter"/>
      <w:start w:val="61"/>
    </w:lvl>
    <w:lvl w:ilvl="1">
      <w:lvlJc w:val="left"/>
      <w:lvlText w:val="%2"/>
      <w:numFmt w:val="lowerLetter"/>
      <w:start w:val="1"/>
    </w:lvl>
  </w:abstractNum>
  <w:abstractNum w:abstractNumId="121">
    <w:nsid w:val="94927A8"/>
    <w:multiLevelType w:val="hybridMultilevel"/>
    <w:lvl w:ilvl="0">
      <w:lvlJc w:val="left"/>
      <w:lvlText w:val="(%1)"/>
      <w:numFmt w:val="lowerLetter"/>
      <w:start w:val="7"/>
    </w:lvl>
  </w:abstractNum>
  <w:abstractNum w:abstractNumId="122">
    <w:nsid w:val="DCDF8F6"/>
    <w:multiLevelType w:val="hybridMultilevel"/>
    <w:lvl w:ilvl="0">
      <w:lvlJc w:val="left"/>
      <w:lvlText w:val="(%1)"/>
      <w:numFmt w:val="lowerLetter"/>
      <w:start w:val="1"/>
    </w:lvl>
  </w:abstractNum>
  <w:abstractNum w:abstractNumId="123">
    <w:nsid w:val="52D7B105"/>
    <w:multiLevelType w:val="hybridMultilevel"/>
    <w:lvl w:ilvl="0">
      <w:lvlJc w:val="left"/>
      <w:lvlText w:val="(%1)"/>
      <w:numFmt w:val="lowerLetter"/>
      <w:start w:val="2"/>
    </w:lvl>
  </w:abstractNum>
  <w:abstractNum w:abstractNumId="124">
    <w:nsid w:val="2E8A6394"/>
    <w:multiLevelType w:val="hybridMultilevel"/>
    <w:lvl w:ilvl="0">
      <w:lvlJc w:val="left"/>
      <w:lvlText w:val="(%1)"/>
      <w:numFmt w:val="lowerLetter"/>
      <w:start w:val="35"/>
    </w:lvl>
    <w:lvl w:ilvl="1">
      <w:lvlJc w:val="left"/>
      <w:lvlText w:val="(%2)"/>
      <w:numFmt w:val="lowerLetter"/>
      <w:start w:val="4"/>
    </w:lvl>
  </w:abstractNum>
  <w:abstractNum w:abstractNumId="125">
    <w:nsid w:val="24E60401"/>
    <w:multiLevelType w:val="hybridMultilevel"/>
    <w:lvl w:ilvl="0">
      <w:lvlJc w:val="left"/>
      <w:lvlText w:val="(%1)"/>
      <w:numFmt w:val="lowerLetter"/>
      <w:start w:val="1"/>
    </w:lvl>
  </w:abstractNum>
  <w:abstractNum w:abstractNumId="126">
    <w:nsid w:val="2A6AD9BE"/>
    <w:multiLevelType w:val="hybridMultilevel"/>
    <w:lvl w:ilvl="0">
      <w:lvlJc w:val="left"/>
      <w:lvlText w:val="%1"/>
      <w:numFmt w:val="lowerLetter"/>
      <w:start w:val="1"/>
    </w:lvl>
    <w:lvl w:ilvl="1">
      <w:lvlJc w:val="left"/>
      <w:lvlText w:val="(%2)"/>
      <w:numFmt w:val="lowerLetter"/>
      <w:start w:val="1"/>
    </w:lvl>
  </w:abstractNum>
  <w:abstractNum w:abstractNumId="127">
    <w:nsid w:val="BAAC1B4"/>
    <w:multiLevelType w:val="hybridMultilevel"/>
    <w:lvl w:ilvl="0">
      <w:lvlJc w:val="left"/>
      <w:lvlText w:val="(%1)"/>
      <w:numFmt w:val="lowerLetter"/>
      <w:start w:val="9"/>
    </w:lvl>
    <w:lvl w:ilvl="1">
      <w:lvlJc w:val="left"/>
      <w:lvlText w:val="%2"/>
      <w:numFmt w:val="lowerLetter"/>
      <w:start w:val="1"/>
    </w:lvl>
  </w:abstractNum>
  <w:abstractNum w:abstractNumId="128">
    <w:nsid w:val="36B2ACBC"/>
    <w:multiLevelType w:val="hybridMultilevel"/>
    <w:lvl w:ilvl="0">
      <w:lvlJc w:val="left"/>
      <w:lvlText w:val="(%1)"/>
      <w:numFmt w:val="lowerRoman"/>
      <w:start w:val="2"/>
    </w:lvl>
    <w:lvl w:ilvl="1">
      <w:lvlJc w:val="left"/>
      <w:lvlText w:val="(%2)"/>
      <w:numFmt w:val="upperLetter"/>
    </w:lvl>
    <w:lvl w:ilvl="2">
      <w:lvlJc w:val="left"/>
      <w:lvlText w:val="(%3)"/>
      <w:numFmt w:val="upperLetter"/>
      <w:start w:val="1"/>
    </w:lvl>
  </w:abstractNum>
  <w:abstractNum w:abstractNumId="129">
    <w:nsid w:val="779D8544"/>
    <w:multiLevelType w:val="hybridMultilevel"/>
    <w:lvl w:ilvl="0">
      <w:lvlJc w:val="left"/>
      <w:lvlText w:val="(%1)"/>
      <w:numFmt w:val="lowerRoman"/>
      <w:start w:val="4"/>
    </w:lvl>
  </w:abstractNum>
  <w:abstractNum w:abstractNumId="130">
    <w:nsid w:val="4AB26E78"/>
    <w:multiLevelType w:val="hybridMultilevel"/>
    <w:lvl w:ilvl="0">
      <w:lvlJc w:val="left"/>
      <w:lvlText w:val="(%1)"/>
      <w:numFmt w:val="lowerLetter"/>
      <w:start w:val="2"/>
    </w:lvl>
  </w:abstractNum>
  <w:abstractNum w:abstractNumId="131">
    <w:nsid w:val="21FAA2FA"/>
    <w:multiLevelType w:val="hybridMultilevel"/>
    <w:lvl w:ilvl="0">
      <w:lvlJc w:val="left"/>
      <w:lvlText w:val="%1"/>
      <w:numFmt w:val="lowerRoman"/>
      <w:start w:val="1"/>
    </w:lvl>
    <w:lvl w:ilvl="1">
      <w:lvlJc w:val="left"/>
      <w:lvlText w:val="(%2)"/>
      <w:numFmt w:val="lowerLetter"/>
      <w:start w:val="4"/>
    </w:lvl>
  </w:abstractNum>
  <w:abstractNum w:abstractNumId="132">
    <w:nsid w:val="5451CF49"/>
    <w:multiLevelType w:val="hybridMultilevel"/>
    <w:lvl w:ilvl="0">
      <w:lvlJc w:val="left"/>
      <w:lvlText w:val="(%1)"/>
      <w:numFmt w:val="lowerRoman"/>
      <w:start w:val="1"/>
    </w:lvl>
    <w:lvl w:ilvl="1">
      <w:lvlJc w:val="left"/>
      <w:lvlText w:val="%2"/>
      <w:numFmt w:val="lowerLetter"/>
      <w:start w:val="1"/>
    </w:lvl>
  </w:abstractNum>
  <w:abstractNum w:abstractNumId="133">
    <w:nsid w:val="6181EF69"/>
    <w:multiLevelType w:val="hybridMultilevel"/>
    <w:lvl w:ilvl="0">
      <w:lvlJc w:val="left"/>
      <w:lvlText w:val="(%1)"/>
      <w:numFmt w:val="upperLetter"/>
      <w:start w:val="2"/>
    </w:lvl>
  </w:abstractNum>
  <w:abstractNum w:abstractNumId="134">
    <w:nsid w:val="3E6400E6"/>
    <w:multiLevelType w:val="hybridMultilevel"/>
    <w:lvl w:ilvl="0">
      <w:lvlJc w:val="left"/>
      <w:lvlText w:val="(%1)"/>
      <w:numFmt w:val="upperLetter"/>
      <w:start w:val="2"/>
    </w:lvl>
  </w:abstractNum>
  <w:abstractNum w:abstractNumId="135">
    <w:nsid w:val="14217E23"/>
    <w:multiLevelType w:val="hybridMultilevel"/>
    <w:lvl w:ilvl="0">
      <w:lvlJc w:val="left"/>
      <w:lvlText w:val="(%1)"/>
      <w:numFmt w:val="lowerLetter"/>
      <w:start w:val="2"/>
    </w:lvl>
  </w:abstractNum>
  <w:abstractNum w:abstractNumId="136">
    <w:nsid w:val="710757D0"/>
    <w:multiLevelType w:val="hybridMultilevel"/>
    <w:lvl w:ilvl="0">
      <w:lvlJc w:val="left"/>
      <w:lvlText w:val="(%1)"/>
      <w:numFmt w:val="lowerLetter"/>
      <w:start w:val="4"/>
    </w:lvl>
  </w:abstractNum>
  <w:abstractNum w:abstractNumId="137">
    <w:nsid w:val="5015CD1A"/>
    <w:multiLevelType w:val="hybridMultilevel"/>
    <w:lvl w:ilvl="0">
      <w:lvlJc w:val="left"/>
      <w:lvlText w:val="(%1)"/>
      <w:numFmt w:val="lowerLetter"/>
      <w:start w:val="1"/>
    </w:lvl>
  </w:abstractNum>
  <w:abstractNum w:abstractNumId="138">
    <w:nsid w:val="424479DA"/>
    <w:multiLevelType w:val="hybridMultilevel"/>
    <w:lvl w:ilvl="0">
      <w:lvlJc w:val="left"/>
      <w:lvlText w:val="(%1)"/>
      <w:numFmt w:val="lowerLetter"/>
      <w:start w:val="1"/>
    </w:lvl>
  </w:abstractNum>
  <w:abstractNum w:abstractNumId="139">
    <w:nsid w:val="1A9A9E69"/>
    <w:multiLevelType w:val="hybridMultilevel"/>
    <w:lvl w:ilvl="0">
      <w:lvlJc w:val="left"/>
      <w:lvlText w:val="(%1)"/>
      <w:numFmt w:val="lowerLetter"/>
      <w:start w:val="1"/>
    </w:lvl>
  </w:abstractNum>
  <w:abstractNum w:abstractNumId="140">
    <w:nsid w:val="475E256A"/>
    <w:multiLevelType w:val="hybridMultilevel"/>
    <w:lvl w:ilvl="0">
      <w:lvlJc w:val="left"/>
      <w:lvlText w:val="(%1)"/>
      <w:numFmt w:val="lowerLetter"/>
      <w:start w:val="1"/>
    </w:lvl>
  </w:abstractNum>
  <w:abstractNum w:abstractNumId="141">
    <w:nsid w:val="368DB37E"/>
    <w:multiLevelType w:val="hybridMultilevel"/>
    <w:lvl w:ilvl="0">
      <w:lvlJc w:val="left"/>
      <w:lvlText w:val="(%1)"/>
      <w:numFmt w:val="lowerLetter"/>
      <w:start w:val="1"/>
    </w:lvl>
  </w:abstractNum>
  <w:abstractNum w:abstractNumId="142">
    <w:nsid w:val="6A3B714C"/>
    <w:multiLevelType w:val="hybridMultilevel"/>
    <w:lvl w:ilvl="0">
      <w:lvlJc w:val="left"/>
      <w:lvlText w:val="(%1)"/>
      <w:numFmt w:val="lowerLetter"/>
      <w:start w:val="1"/>
    </w:lvl>
  </w:abstractNum>
  <w:abstractNum w:abstractNumId="143">
    <w:nsid w:val="327B517E"/>
    <w:multiLevelType w:val="hybridMultilevel"/>
    <w:lvl w:ilvl="0">
      <w:lvlJc w:val="left"/>
      <w:lvlText w:val="%1"/>
      <w:numFmt w:val="lowerRoman"/>
      <w:start w:val="1"/>
    </w:lvl>
    <w:lvl w:ilvl="1">
      <w:lvlJc w:val="left"/>
      <w:lvlText w:val="(%2)"/>
      <w:numFmt w:val="lowerLetter"/>
      <w:start w:val="1"/>
    </w:lvl>
  </w:abstractNum>
  <w:abstractNum w:abstractNumId="144">
    <w:nsid w:val="1F461B51"/>
    <w:multiLevelType w:val="hybridMultilevel"/>
    <w:lvl w:ilvl="0">
      <w:lvlJc w:val="left"/>
      <w:lvlText w:val="(%1)"/>
      <w:numFmt w:val="lowerRoman"/>
      <w:start w:val="1"/>
    </w:lvl>
    <w:lvl w:ilvl="1">
      <w:lvlJc w:val="left"/>
      <w:lvlText w:val="%2"/>
      <w:numFmt w:val="lowerLetter"/>
      <w:start w:val="1"/>
    </w:lvl>
  </w:abstractNum>
  <w:abstractNum w:abstractNumId="145">
    <w:nsid w:val="29BACF25"/>
    <w:multiLevelType w:val="hybridMultilevel"/>
    <w:lvl w:ilvl="0">
      <w:lvlJc w:val="left"/>
      <w:lvlText w:val="(%1)"/>
      <w:numFmt w:val="lowerLetter"/>
      <w:start w:val="2"/>
    </w:lvl>
  </w:abstractNum>
  <w:abstractNum w:abstractNumId="146">
    <w:nsid w:val="5D5BABB3"/>
    <w:multiLevelType w:val="hybridMultilevel"/>
    <w:lvl w:ilvl="0">
      <w:lvlJc w:val="left"/>
      <w:lvlText w:val="(%1)"/>
      <w:numFmt w:val="lowerLetter"/>
      <w:start w:val="1"/>
    </w:lvl>
  </w:abstractNum>
  <w:abstractNum w:abstractNumId="147">
    <w:nsid w:val="51BF6B48"/>
    <w:multiLevelType w:val="hybridMultilevel"/>
    <w:lvl w:ilvl="0">
      <w:lvlJc w:val="left"/>
      <w:lvlText w:val="(%1)"/>
      <w:numFmt w:val="lowerLetter"/>
      <w:start w:val="1"/>
    </w:lvl>
  </w:abstractNum>
  <w:abstractNum w:abstractNumId="148">
    <w:nsid w:val="7E0F6384"/>
    <w:multiLevelType w:val="hybridMultilevel"/>
    <w:lvl w:ilvl="0">
      <w:lvlJc w:val="left"/>
      <w:lvlText w:val="(%1)"/>
      <w:numFmt w:val="lowerLetter"/>
      <w:start w:val="2"/>
    </w:lvl>
  </w:abstractNum>
  <w:abstractNum w:abstractNumId="149">
    <w:nsid w:val="2B4B8B53"/>
    <w:multiLevelType w:val="hybridMultilevel"/>
    <w:lvl w:ilvl="0">
      <w:lvlJc w:val="left"/>
      <w:lvlText w:val="%1"/>
      <w:numFmt w:val="lowerLetter"/>
      <w:start w:val="1"/>
    </w:lvl>
    <w:lvl w:ilvl="1">
      <w:lvlJc w:val="left"/>
      <w:lvlText w:val="(%2)"/>
      <w:numFmt w:val="lowerLetter"/>
      <w:start w:val="9"/>
    </w:lvl>
  </w:abstractNum>
  <w:abstractNum w:abstractNumId="150">
    <w:nsid w:val="72E3413A"/>
    <w:multiLevelType w:val="hybridMultilevel"/>
    <w:lvl w:ilvl="0">
      <w:lvlJc w:val="left"/>
      <w:lvlText w:val="(%1)"/>
      <w:numFmt w:val="lowerLetter"/>
      <w:start w:val="2"/>
    </w:lvl>
    <w:lvl w:ilvl="1">
      <w:lvlJc w:val="left"/>
      <w:lvlText w:val="%2"/>
      <w:numFmt w:val="lowerLetter"/>
      <w:start w:val="1"/>
    </w:lvl>
  </w:abstractNum>
  <w:abstractNum w:abstractNumId="151">
    <w:nsid w:val="116AE494"/>
    <w:multiLevelType w:val="hybridMultilevel"/>
    <w:lvl w:ilvl="0">
      <w:lvlJc w:val="left"/>
      <w:lvlText w:val="(%1)"/>
      <w:numFmt w:val="lowerLetter"/>
      <w:start w:val="1"/>
    </w:lvl>
  </w:abstractNum>
  <w:abstractNum w:abstractNumId="152">
    <w:nsid w:val="3494B2FB"/>
    <w:multiLevelType w:val="hybridMultilevel"/>
    <w:lvl w:ilvl="0">
      <w:lvlJc w:val="left"/>
      <w:lvlText w:val="(%1)"/>
      <w:numFmt w:val="lowerLetter"/>
      <w:start w:val="1"/>
    </w:lvl>
  </w:abstractNum>
  <w:abstractNum w:abstractNumId="153">
    <w:nsid w:val="B13A31"/>
    <w:multiLevelType w:val="hybridMultilevel"/>
    <w:lvl w:ilvl="0">
      <w:lvlJc w:val="left"/>
      <w:lvlText w:val="(%1)"/>
      <w:numFmt w:val="lowerLetter"/>
      <w:start w:val="1"/>
    </w:lvl>
  </w:abstractNum>
  <w:abstractNum w:abstractNumId="154">
    <w:nsid w:val="64429599"/>
    <w:multiLevelType w:val="hybridMultilevel"/>
    <w:lvl w:ilvl="0">
      <w:lvlJc w:val="left"/>
      <w:lvlText w:val="%1"/>
      <w:numFmt w:val="lowerLetter"/>
      <w:start w:val="1"/>
    </w:lvl>
    <w:lvl w:ilvl="1">
      <w:lvlJc w:val="left"/>
      <w:lvlText w:val="(%2)"/>
      <w:numFmt w:val="lowerLetter"/>
      <w:start w:val="1"/>
    </w:lvl>
  </w:abstractNum>
  <w:abstractNum w:abstractNumId="155">
    <w:nsid w:val="631F1690"/>
    <w:multiLevelType w:val="hybridMultilevel"/>
    <w:lvl w:ilvl="0">
      <w:lvlJc w:val="left"/>
      <w:lvlText w:val="(%1)"/>
      <w:numFmt w:val="lowerLetter"/>
      <w:start w:val="9"/>
    </w:lvl>
    <w:lvl w:ilvl="1">
      <w:lvlJc w:val="left"/>
      <w:lvlText w:val="%2"/>
      <w:numFmt w:val="lowerLetter"/>
      <w:start w:val="1"/>
    </w:lvl>
  </w:abstractNum>
  <w:abstractNum w:abstractNumId="156">
    <w:nsid w:val="25973E32"/>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3"/>
    </w:lvl>
  </w:abstractNum>
  <w:abstractNum w:abstractNumId="157">
    <w:nsid w:val="EAD6F57"/>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4"/>
    </w:lvl>
  </w:abstractNum>
  <w:abstractNum w:abstractNumId="158">
    <w:nsid w:val="6EC9D844"/>
    <w:multiLevelType w:val="hybridMultilevel"/>
    <w:lvl w:ilvl="0">
      <w:lvlJc w:val="left"/>
      <w:lvlText w:val="%1"/>
      <w:numFmt w:val="upperLetter"/>
      <w:start w:val="1"/>
    </w:lvl>
    <w:lvl w:ilvl="1">
      <w:lvlJc w:val="left"/>
      <w:lvlText w:val="(%2)"/>
      <w:numFmt w:val="lowerLetter"/>
      <w:start w:val="26"/>
    </w:lvl>
  </w:abstractNum>
  <w:abstractNum w:abstractNumId="159">
    <w:nsid w:val="5C49EAEE"/>
    <w:multiLevelType w:val="hybridMultilevel"/>
    <w:lvl w:ilvl="0">
      <w:lvlJc w:val="left"/>
      <w:lvlText w:val="(%1)"/>
      <w:numFmt w:val="upperLetter"/>
      <w:start w:val="3"/>
    </w:lvl>
    <w:lvl w:ilvl="1">
      <w:lvlJc w:val="left"/>
      <w:lvlText w:val="(%2)"/>
      <w:numFmt w:val="lowerLetter"/>
      <w:start w:val="24"/>
    </w:lvl>
  </w:abstractNum>
  <w:abstractNum w:abstractNumId="160">
    <w:nsid w:val="64AF49B"/>
    <w:multiLevelType w:val="hybridMultilevel"/>
    <w:lvl w:ilvl="0">
      <w:lvlJc w:val="left"/>
      <w:lvlText w:val="%1"/>
      <w:numFmt w:val="lowerLetter"/>
      <w:start w:val="1"/>
    </w:lvl>
    <w:lvl w:ilvl="1">
      <w:lvlJc w:val="left"/>
      <w:lvlText w:val="(%2)"/>
      <w:numFmt w:val="upperLetter"/>
      <w:start w:val="6"/>
    </w:lvl>
  </w:abstractNum>
  <w:abstractNum w:abstractNumId="161">
    <w:nsid w:val="397C46BC"/>
    <w:multiLevelType w:val="hybridMultilevel"/>
    <w:lvl w:ilvl="0">
      <w:lvlJc w:val="left"/>
      <w:lvlText w:val="(%1)"/>
      <w:numFmt w:val="lowerLetter"/>
      <w:start w:val="3"/>
    </w:lvl>
    <w:lvl w:ilvl="1">
      <w:lvlJc w:val="left"/>
      <w:lvlText w:val="%2"/>
      <w:numFmt w:val="upperLetter"/>
      <w:start w:val="1"/>
    </w:lvl>
  </w:abstractNum>
  <w:abstractNum w:abstractNumId="162">
    <w:nsid w:val="7E448DE9"/>
    <w:multiLevelType w:val="hybridMultilevel"/>
    <w:lvl w:ilvl="0">
      <w:lvlJc w:val="left"/>
      <w:lvlText w:val="(%1)"/>
      <w:numFmt w:val="lowerLetter"/>
      <w:start w:val="1"/>
    </w:lvl>
  </w:abstractNum>
  <w:abstractNum w:abstractNumId="163">
    <w:nsid w:val="5A9CC3E5"/>
    <w:multiLevelType w:val="hybridMultilevel"/>
    <w:lvl w:ilvl="0">
      <w:lvlJc w:val="left"/>
      <w:lvlText w:val="(%1)"/>
      <w:numFmt w:val="lowerLetter"/>
      <w:start w:val="4"/>
    </w:lvl>
  </w:abstractNum>
  <w:abstractNum w:abstractNumId="164">
    <w:nsid w:val="1AFE3625"/>
    <w:multiLevelType w:val="hybridMultilevel"/>
    <w:lvl w:ilvl="0">
      <w:lvlJc w:val="left"/>
      <w:lvlText w:val="(%1)"/>
      <w:numFmt w:val="lowerLetter"/>
      <w:start w:val="2"/>
    </w:lvl>
  </w:abstractNum>
  <w:abstractNum w:abstractNumId="165">
    <w:nsid w:val="3CA88ECF"/>
    <w:multiLevelType w:val="hybridMultilevel"/>
    <w:lvl w:ilvl="0">
      <w:lvlJc w:val="left"/>
      <w:lvlText w:val="(%1)"/>
      <w:numFmt w:val="lowerRoman"/>
      <w:start w:val="1"/>
    </w:lvl>
  </w:abstractNum>
  <w:abstractNum w:abstractNumId="166">
    <w:nsid w:val="6EBE4208"/>
    <w:multiLevelType w:val="hybridMultilevel"/>
    <w:lvl w:ilvl="0">
      <w:lvlJc w:val="left"/>
      <w:lvlText w:val="(%1)"/>
      <w:numFmt w:val="lowerLetter"/>
      <w:start w:val="1"/>
    </w:lvl>
  </w:abstractNum>
  <w:abstractNum w:abstractNumId="167">
    <w:nsid w:val="C058DF5"/>
    <w:multiLevelType w:val="hybridMultilevel"/>
    <w:lvl w:ilvl="0">
      <w:lvlJc w:val="left"/>
      <w:lvlText w:val="(%1)"/>
      <w:numFmt w:val="lowerLetter"/>
      <w:start w:val="5"/>
    </w:lvl>
  </w:abstractNum>
  <w:abstractNum w:abstractNumId="168">
    <w:nsid w:val="CBE5BE9"/>
    <w:multiLevelType w:val="hybridMultilevel"/>
    <w:lvl w:ilvl="0">
      <w:lvlJc w:val="left"/>
      <w:lvlText w:val="%1"/>
      <w:numFmt w:val="lowerLetter"/>
      <w:start w:val="1"/>
    </w:lvl>
    <w:lvl w:ilvl="1">
      <w:lvlJc w:val="left"/>
      <w:lvlText w:val="(%2)"/>
      <w:numFmt w:val="lowerLetter"/>
      <w:start w:val="1"/>
    </w:lvl>
  </w:abstractNum>
  <w:abstractNum w:abstractNumId="169">
    <w:nsid w:val="3102BBE2"/>
    <w:multiLevelType w:val="hybridMultilevel"/>
    <w:lvl w:ilvl="0">
      <w:lvlJc w:val="left"/>
      <w:lvlText w:val="(%1)"/>
      <w:numFmt w:val="lowerLetter"/>
      <w:start w:val="2"/>
    </w:lvl>
    <w:lvl w:ilvl="1">
      <w:lvlJc w:val="left"/>
      <w:lvlText w:val="(%2)"/>
      <w:numFmt w:val="lowerLetter"/>
      <w:start w:val="10"/>
    </w:lvl>
  </w:abstractNum>
  <w:abstractNum w:abstractNumId="170">
    <w:nsid w:val="26A02C5E"/>
    <w:multiLevelType w:val="hybridMultilevel"/>
    <w:lvl w:ilvl="0">
      <w:lvlJc w:val="left"/>
      <w:lvlText w:val="%1"/>
      <w:numFmt w:val="lowerLetter"/>
      <w:start w:val="1"/>
    </w:lvl>
    <w:lvl w:ilvl="1">
      <w:lvlJc w:val="left"/>
      <w:lvlText w:val="(%2)"/>
      <w:numFmt w:val="lowerLetter"/>
      <w:start w:val="1"/>
    </w:lvl>
  </w:abstractNum>
  <w:abstractNum w:abstractNumId="171">
    <w:nsid w:val="541C8153"/>
    <w:multiLevelType w:val="hybridMultilevel"/>
    <w:lvl w:ilvl="0">
      <w:lvlJc w:val="left"/>
      <w:lvlText w:val="(%1)"/>
      <w:numFmt w:val="lowerLetter"/>
      <w:start w:val="9"/>
    </w:lvl>
    <w:lvl w:ilvl="1">
      <w:lvlJc w:val="left"/>
      <w:lvlText w:val="(%2)"/>
      <w:numFmt w:val="lowerLetter"/>
      <w:start w:val="6"/>
    </w:lvl>
  </w:abstractNum>
  <w:abstractNum w:abstractNumId="172">
    <w:nsid w:val="67906F60"/>
    <w:multiLevelType w:val="hybridMultilevel"/>
    <w:lvl w:ilvl="0">
      <w:lvlJc w:val="left"/>
      <w:lvlText w:val="(%1)"/>
      <w:numFmt w:val="lowerLetter"/>
      <w:start w:val="1"/>
    </w:lvl>
  </w:abstractNum>
  <w:abstractNum w:abstractNumId="173">
    <w:nsid w:val="10DB9DAA"/>
    <w:multiLevelType w:val="hybridMultilevel"/>
    <w:lvl w:ilvl="0">
      <w:lvlJc w:val="left"/>
      <w:lvlText w:val="(%1)"/>
      <w:numFmt w:val="lowerLetter"/>
      <w:start w:val="1"/>
    </w:lvl>
  </w:abstractNum>
  <w:abstractNum w:abstractNumId="174">
    <w:nsid w:val="697D2D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Letter"/>
      <w:start w:val="3"/>
    </w:lvl>
  </w:abstractNum>
  <w:abstractNum w:abstractNumId="175">
    <w:nsid w:val="6D68AB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176">
    <w:nsid w:val="3A966CD0"/>
    <w:multiLevelType w:val="hybridMultilevel"/>
    <w:lvl w:ilvl="0">
      <w:lvlJc w:val="left"/>
      <w:lvlText w:val="%1"/>
      <w:numFmt w:val="lowerLetter"/>
      <w:start w:val="1"/>
    </w:lvl>
    <w:lvl w:ilvl="1">
      <w:lvlJc w:val="left"/>
      <w:lvlText w:val="(%2)"/>
      <w:numFmt w:val="upperLetter"/>
      <w:start w:val="4"/>
    </w:lvl>
    <w:lvl w:ilvl="2">
      <w:lvlJc w:val="left"/>
      <w:lvlText w:val="%3"/>
      <w:numFmt w:val="lowerRoman"/>
      <w:start w:val="1"/>
    </w:lvl>
    <w:lvl w:ilvl="3">
      <w:lvlJc w:val="left"/>
      <w:lvlText w:val="(%4)"/>
      <w:numFmt w:val="lowerLetter"/>
      <w:start w:val="4"/>
    </w:lvl>
  </w:abstractNum>
  <w:abstractNum w:abstractNumId="177">
    <w:nsid w:val="63F37E85"/>
    <w:multiLevelType w:val="hybridMultilevel"/>
    <w:lvl w:ilvl="0">
      <w:lvlJc w:val="left"/>
      <w:lvlText w:val="(%1)"/>
      <w:numFmt w:val="lowerLetter"/>
      <w:start w:val="24"/>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178">
    <w:nsid w:val="5895F5FA"/>
    <w:multiLevelType w:val="hybridMultilevel"/>
    <w:lvl w:ilvl="0">
      <w:lvlJc w:val="left"/>
      <w:lvlText w:val="(%1)"/>
      <w:numFmt w:val="lowerLetter"/>
      <w:start w:val="24"/>
    </w:lvl>
    <w:lvl w:ilvl="1">
      <w:lvlJc w:val="left"/>
      <w:lvlText w:val="%2"/>
      <w:numFmt w:val="upperLetter"/>
      <w:start w:val="1"/>
    </w:lvl>
    <w:lvl w:ilvl="2">
      <w:lvlJc w:val="left"/>
      <w:lvlText w:val="%3"/>
      <w:numFmt w:val="lowerRoman"/>
      <w:start w:val="1"/>
    </w:lvl>
    <w:lvl w:ilvl="3">
      <w:lvlJc w:val="left"/>
      <w:lvlText w:val="%4"/>
      <w:numFmt w:val="lowerLetter"/>
      <w:start w:val="1"/>
    </w:lvl>
  </w:abstractNum>
  <w:abstractNum w:abstractNumId="179">
    <w:nsid w:val="38A5D054"/>
    <w:multiLevelType w:val="hybridMultilevel"/>
    <w:lvl w:ilvl="0">
      <w:lvlJc w:val="left"/>
      <w:lvlText w:val="(%1)"/>
      <w:numFmt w:val="lowerLetter"/>
      <w:start w:val="1"/>
    </w:lvl>
  </w:abstractNum>
  <w:abstractNum w:abstractNumId="180">
    <w:nsid w:val="F3F09D8"/>
    <w:multiLevelType w:val="hybridMultilevel"/>
    <w:lvl w:ilvl="0">
      <w:lvlJc w:val="left"/>
      <w:lvlText w:val="(%1)"/>
      <w:numFmt w:val="lowerLetter"/>
      <w:start w:val="4"/>
    </w:lvl>
  </w:abstractNum>
  <w:abstractNum w:abstractNumId="181">
    <w:nsid w:val="4B793735"/>
    <w:multiLevelType w:val="hybridMultilevel"/>
    <w:lvl w:ilvl="0">
      <w:lvlJc w:val="left"/>
      <w:lvlText w:val="(%1)"/>
      <w:numFmt w:val="lowerLetter"/>
      <w:start w:val="2"/>
    </w:lvl>
  </w:abstractNum>
  <w:abstractNum w:abstractNumId="182">
    <w:nsid w:val="4A10B4E8"/>
    <w:multiLevelType w:val="hybridMultilevel"/>
    <w:lvl w:ilvl="0">
      <w:lvlJc w:val="left"/>
      <w:lvlText w:val="(%1)"/>
      <w:numFmt w:val="lowerLetter"/>
      <w:start w:val="4"/>
    </w:lvl>
  </w:abstractNum>
  <w:abstractNum w:abstractNumId="183">
    <w:nsid w:val="43D3BCD4"/>
    <w:multiLevelType w:val="hybridMultilevel"/>
    <w:lvl w:ilvl="0">
      <w:lvlJc w:val="left"/>
      <w:lvlText w:val="(%1)"/>
      <w:numFmt w:val="lowerLetter"/>
      <w:start w:val="1"/>
    </w:lvl>
  </w:abstractNum>
  <w:abstractNum w:abstractNumId="184">
    <w:nsid w:val="4C2A7166"/>
    <w:multiLevelType w:val="hybridMultilevel"/>
    <w:lvl w:ilvl="0">
      <w:lvlJc w:val="left"/>
      <w:lvlText w:val="(%1)"/>
      <w:numFmt w:val="lowerLetter"/>
      <w:start w:val="1"/>
    </w:lvl>
  </w:abstractNum>
  <w:abstractNum w:abstractNumId="185">
    <w:nsid w:val="2E534A82"/>
    <w:multiLevelType w:val="hybridMultilevel"/>
    <w:lvl w:ilvl="0">
      <w:lvlJc w:val="left"/>
      <w:lvlText w:val="(%1)"/>
      <w:numFmt w:val="lowerLetter"/>
      <w:start w:val="35"/>
    </w:lvl>
    <w:lvl w:ilvl="1">
      <w:lvlJc w:val="left"/>
      <w:lvlText w:val="(%2)"/>
      <w:numFmt w:val="lowerLetter"/>
      <w:start w:val="5"/>
    </w:lvl>
  </w:abstractNum>
  <w:abstractNum w:abstractNumId="186">
    <w:nsid w:val="26F2D364"/>
    <w:multiLevelType w:val="hybridMultilevel"/>
    <w:lvl w:ilvl="0">
      <w:lvlJc w:val="left"/>
      <w:lvlText w:val="%1"/>
      <w:numFmt w:val="lowerLetter"/>
      <w:start w:val="1"/>
    </w:lvl>
    <w:lvl w:ilvl="1">
      <w:lvlJc w:val="left"/>
      <w:lvlText w:val="(%2)"/>
      <w:numFmt w:val="lowerLetter"/>
      <w:start w:val="6"/>
    </w:lvl>
  </w:abstractNum>
  <w:abstractNum w:abstractNumId="187">
    <w:nsid w:val="71C1AF98"/>
    <w:multiLevelType w:val="hybridMultilevel"/>
    <w:lvl w:ilvl="0">
      <w:lvlJc w:val="left"/>
      <w:lvlText w:val="(%1)"/>
      <w:numFmt w:val="lowerLetter"/>
      <w:start w:val="8"/>
    </w:lvl>
    <w:lvl w:ilvl="1">
      <w:lvlJc w:val="left"/>
      <w:lvlText w:val="(%2)"/>
      <w:numFmt w:val="lowerLetter"/>
      <w:start w:val="9"/>
    </w:lvl>
  </w:abstractNum>
  <w:abstractNum w:abstractNumId="188">
    <w:nsid w:val="3D00B9D9"/>
    <w:multiLevelType w:val="hybridMultilevel"/>
    <w:lvl w:ilvl="0">
      <w:lvlJc w:val="left"/>
      <w:lvlText w:val="(%1)"/>
      <w:numFmt w:val="lowerLetter"/>
      <w:start w:val="13"/>
    </w:lvl>
  </w:abstractNum>
  <w:abstractNum w:abstractNumId="189">
    <w:nsid w:val="15BCABA8"/>
    <w:multiLevelType w:val="hybridMultilevel"/>
    <w:lvl w:ilvl="0">
      <w:lvlJc w:val="left"/>
      <w:lvlText w:val="(%1)"/>
      <w:numFmt w:val="decimal"/>
      <w:start w:val="1"/>
    </w:lvl>
  </w:abstractNum>
  <w:abstractNum w:abstractNumId="190">
    <w:nsid w:val="4E0B9A87"/>
    <w:multiLevelType w:val="hybridMultilevel"/>
    <w:lvl w:ilvl="0">
      <w:lvlJc w:val="left"/>
      <w:lvlText w:val="%1"/>
      <w:numFmt w:val="lowerLetter"/>
      <w:start w:val="1"/>
    </w:lvl>
    <w:lvl w:ilvl="1">
      <w:lvlJc w:val="left"/>
      <w:lvlText w:val="(%2)"/>
      <w:numFmt w:val="lowerLetter"/>
      <w:start w:val="1"/>
    </w:lvl>
  </w:abstractNum>
  <w:abstractNum w:abstractNumId="191">
    <w:nsid w:val="434BAE75"/>
    <w:multiLevelType w:val="hybridMultilevel"/>
    <w:lvl w:ilvl="0">
      <w:lvlJc w:val="left"/>
      <w:lvlText w:val="(%1)"/>
      <w:numFmt w:val="lowerLetter"/>
      <w:start w:val="9"/>
    </w:lvl>
    <w:lvl w:ilvl="1">
      <w:lvlJc w:val="left"/>
      <w:lvlText w:val="%2"/>
      <w:numFmt w:val="lowerLetter"/>
      <w:start w:val="1"/>
    </w:lvl>
  </w:abstractNum>
  <w:abstractNum w:abstractNumId="192">
    <w:nsid w:val="4F38F265"/>
    <w:multiLevelType w:val="hybridMultilevel"/>
    <w:lvl w:ilvl="0">
      <w:lvlJc w:val="left"/>
      <w:lvlText w:val="(%1)"/>
      <w:numFmt w:val="lowerLetter"/>
      <w:start w:val="2"/>
    </w:lvl>
  </w:abstractNum>
  <w:abstractNum w:abstractNumId="193">
    <w:nsid w:val="4C502870"/>
    <w:multiLevelType w:val="hybridMultilevel"/>
    <w:lvl w:ilvl="0">
      <w:lvlJc w:val="left"/>
      <w:lvlText w:val="(%1)"/>
      <w:numFmt w:val="lowerRoman"/>
      <w:start w:val="1"/>
    </w:lvl>
  </w:abstractNum>
  <w:abstractNum w:abstractNumId="194">
    <w:nsid w:val="1DE8725A"/>
    <w:multiLevelType w:val="hybridMultilevel"/>
    <w:lvl w:ilvl="0">
      <w:lvlJc w:val="left"/>
      <w:lvlText w:val="(%1)"/>
      <w:numFmt w:val="lowerLetter"/>
      <w:start w:val="3"/>
    </w:lvl>
  </w:abstractNum>
  <w:abstractNum w:abstractNumId="195">
    <w:nsid w:val="6A37288A"/>
    <w:multiLevelType w:val="hybridMultilevel"/>
    <w:lvl w:ilvl="0">
      <w:lvlJc w:val="left"/>
      <w:lvlText w:val="%1"/>
      <w:numFmt w:val="lowerRoman"/>
      <w:start w:val="1"/>
    </w:lvl>
    <w:lvl w:ilvl="1">
      <w:lvlJc w:val="left"/>
      <w:lvlText w:val="(%2)"/>
      <w:numFmt w:val="lowerLetter"/>
      <w:start w:val="1"/>
    </w:lvl>
  </w:abstractNum>
  <w:abstractNum w:abstractNumId="196">
    <w:nsid w:val="8F8B73F"/>
    <w:multiLevelType w:val="hybridMultilevel"/>
    <w:lvl w:ilvl="0">
      <w:lvlJc w:val="left"/>
      <w:lvlText w:val="(%1)"/>
      <w:numFmt w:val="lowerRoman"/>
      <w:start w:val="1"/>
    </w:lvl>
    <w:lvl w:ilvl="1">
      <w:lvlJc w:val="left"/>
      <w:lvlText w:val="%2"/>
      <w:numFmt w:val="lowerLetter"/>
      <w:start w:val="1"/>
    </w:lvl>
  </w:abstractNum>
  <w:abstractNum w:abstractNumId="197">
    <w:nsid w:val="CA6B462"/>
    <w:multiLevelType w:val="hybridMultilevel"/>
    <w:lvl w:ilvl="0">
      <w:lvlJc w:val="left"/>
      <w:lvlText w:val="(%1)"/>
      <w:numFmt w:val="lowerRoman"/>
      <w:start w:val="3"/>
    </w:lvl>
  </w:abstractNum>
  <w:abstractNum w:abstractNumId="198">
    <w:nsid w:val="763CB680"/>
    <w:multiLevelType w:val="hybridMultilevel"/>
    <w:lvl w:ilvl="0">
      <w:lvlJc w:val="left"/>
      <w:lvlText w:val="(%1)"/>
      <w:numFmt w:val="lowerLetter"/>
      <w:start w:val="3"/>
    </w:lvl>
  </w:abstractNum>
  <w:abstractNum w:abstractNumId="199">
    <w:nsid w:val="15B71329"/>
    <w:multiLevelType w:val="hybridMultilevel"/>
    <w:lvl w:ilvl="0">
      <w:lvlJc w:val="left"/>
      <w:lvlText w:val="(%1)"/>
      <w:numFmt w:val="lowerLetter"/>
      <w:start w:val="1"/>
    </w:lvl>
  </w:abstractNum>
  <w:abstractNum w:abstractNumId="200">
    <w:nsid w:val="3DA97044"/>
    <w:multiLevelType w:val="hybridMultilevel"/>
    <w:lvl w:ilvl="0">
      <w:lvlJc w:val="left"/>
      <w:lvlText w:val="(%1)"/>
      <w:numFmt w:val="lowerLetter"/>
      <w:start w:val="3"/>
    </w:lvl>
  </w:abstractNum>
  <w:abstractNum w:abstractNumId="201">
    <w:nsid w:val="1CDCE2DE"/>
    <w:multiLevelType w:val="hybridMultilevel"/>
    <w:lvl w:ilvl="0">
      <w:lvlJc w:val="left"/>
      <w:lvlText w:val="(%1)"/>
      <w:numFmt w:val="lowerLetter"/>
      <w:start w:val="1"/>
    </w:lvl>
  </w:abstractNum>
  <w:abstractNum w:abstractNumId="202">
    <w:nsid w:val="69D3947C"/>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203">
    <w:nsid w:val="2539DFA5"/>
    <w:multiLevelType w:val="hybridMultilevel"/>
    <w:lvl w:ilvl="0">
      <w:lvlJc w:val="left"/>
      <w:lvlText w:val="(%1)"/>
      <w:numFmt w:val="lowerRoman"/>
      <w:start w:val="1"/>
    </w:lvl>
    <w:lvl w:ilvl="1">
      <w:lvlJc w:val="left"/>
      <w:lvlText w:val="(%2)"/>
      <w:numFmt w:val="lowerLetter"/>
      <w:start w:val="34"/>
    </w:lvl>
    <w:lvl w:ilvl="2">
      <w:lvlJc w:val="left"/>
      <w:lvlText w:val="(%3)"/>
      <w:numFmt w:val="upperLetter"/>
      <w:start w:val="1"/>
    </w:lvl>
  </w:abstractNum>
  <w:abstractNum w:abstractNumId="204">
    <w:nsid w:val="2DB88089"/>
    <w:multiLevelType w:val="hybridMultilevel"/>
    <w:lvl w:ilvl="0">
      <w:lvlJc w:val="left"/>
      <w:lvlText w:val="(%1)"/>
      <w:numFmt w:val="lowerRoman"/>
      <w:start w:val="3"/>
    </w:lvl>
  </w:abstractNum>
  <w:abstractNum w:abstractNumId="205">
    <w:nsid w:val="706B674E"/>
    <w:multiLevelType w:val="hybridMultilevel"/>
    <w:lvl w:ilvl="0">
      <w:lvlJc w:val="left"/>
      <w:lvlText w:val="(%1)"/>
      <w:numFmt w:val="lowerLetter"/>
      <w:start w:val="3"/>
    </w:lvl>
  </w:abstractNum>
  <w:abstractNum w:abstractNumId="206">
    <w:nsid w:val="2C106A57"/>
    <w:multiLevelType w:val="hybridMultilevel"/>
    <w:lvl w:ilvl="0">
      <w:lvlJc w:val="left"/>
      <w:lvlText w:val="(%1)"/>
      <w:numFmt w:val="lowerLetter"/>
      <w:start w:val="5"/>
    </w:lvl>
  </w:abstractNum>
  <w:abstractNum w:abstractNumId="207">
    <w:nsid w:val="684EED59"/>
    <w:multiLevelType w:val="hybridMultilevel"/>
    <w:lvl w:ilvl="0">
      <w:lvlJc w:val="left"/>
      <w:lvlText w:val="(%1)"/>
      <w:numFmt w:val="lowerLetter"/>
      <w:start w:val="35"/>
    </w:lvl>
    <w:lvl w:ilvl="1">
      <w:lvlJc w:val="left"/>
      <w:lvlText w:val="(%2)"/>
      <w:numFmt w:val="lowerLetter"/>
      <w:start w:val="6"/>
    </w:lvl>
  </w:abstractNum>
  <w:abstractNum w:abstractNumId="208">
    <w:nsid w:val="545EE5D3"/>
    <w:multiLevelType w:val="hybridMultilevel"/>
    <w:lvl w:ilvl="0">
      <w:lvlJc w:val="left"/>
      <w:lvlText w:val="(%1)"/>
      <w:numFmt w:val="lowerLetter"/>
      <w:start w:val="7"/>
    </w:lvl>
  </w:abstractNum>
  <w:abstractNum w:abstractNumId="209">
    <w:nsid w:val="4A66051"/>
    <w:multiLevelType w:val="hybridMultilevel"/>
    <w:lvl w:ilvl="0">
      <w:lvlJc w:val="left"/>
      <w:lvlText w:val="(%1)"/>
      <w:numFmt w:val="lowerRoman"/>
      <w:start w:val="1"/>
    </w:lvl>
  </w:abstractNum>
  <w:abstractNum w:abstractNumId="210">
    <w:nsid w:val="20F4BDAD"/>
    <w:multiLevelType w:val="hybridMultilevel"/>
    <w:lvl w:ilvl="0">
      <w:lvlJc w:val="left"/>
      <w:lvlText w:val="(%1)"/>
      <w:numFmt w:val="lowerLetter"/>
      <w:start w:val="1"/>
    </w:lvl>
  </w:abstractNum>
  <w:abstractNum w:abstractNumId="211">
    <w:nsid w:val="639DEFAC"/>
    <w:multiLevelType w:val="hybridMultilevel"/>
    <w:lvl w:ilvl="0">
      <w:lvlJc w:val="left"/>
      <w:lvlText w:val="(%1)"/>
      <w:numFmt w:val="lowerLetter"/>
      <w:start w:val="2"/>
    </w:lvl>
  </w:abstractNum>
  <w:abstractNum w:abstractNumId="212">
    <w:nsid w:val="501F9786"/>
    <w:multiLevelType w:val="hybridMultilevel"/>
    <w:lvl w:ilvl="0">
      <w:lvlJc w:val="left"/>
      <w:lvlText w:val="%1"/>
      <w:numFmt w:val="lowerLetter"/>
      <w:start w:val="1"/>
    </w:lvl>
    <w:lvl w:ilvl="1">
      <w:lvlJc w:val="left"/>
      <w:lvlText w:val="(%2)"/>
      <w:numFmt w:val="lowerLetter"/>
      <w:start w:val="1"/>
    </w:lvl>
  </w:abstractNum>
  <w:abstractNum w:abstractNumId="213">
    <w:nsid w:val="6B057295"/>
    <w:multiLevelType w:val="hybridMultilevel"/>
    <w:lvl w:ilvl="0">
      <w:lvlJc w:val="left"/>
      <w:lvlText w:val="(%1)"/>
      <w:numFmt w:val="lowerLetter"/>
      <w:start w:val="2"/>
    </w:lvl>
    <w:lvl w:ilvl="1">
      <w:lvlJc w:val="left"/>
      <w:lvlText w:val="%2"/>
      <w:numFmt w:val="lowerLetter"/>
      <w:start w:val="1"/>
    </w:lvl>
  </w:abstractNum>
  <w:abstractNum w:abstractNumId="214">
    <w:nsid w:val="2771AC80"/>
    <w:multiLevelType w:val="hybridMultilevel"/>
    <w:lvl w:ilvl="0">
      <w:lvlJc w:val="left"/>
      <w:lvlText w:val="%1"/>
      <w:numFmt w:val="lowerLetter"/>
      <w:start w:val="1"/>
    </w:lvl>
    <w:lvl w:ilvl="1">
      <w:lvlJc w:val="left"/>
      <w:lvlText w:val="(%2)"/>
      <w:numFmt w:val="lowerLetter"/>
      <w:start w:val="2"/>
    </w:lvl>
  </w:abstractNum>
  <w:abstractNum w:abstractNumId="215">
    <w:nsid w:val="1C4A08EC"/>
    <w:multiLevelType w:val="hybridMultilevel"/>
    <w:lvl w:ilvl="0">
      <w:lvlJc w:val="left"/>
      <w:lvlText w:val="(%1)"/>
      <w:numFmt w:val="lowerLetter"/>
      <w:start w:val="24"/>
    </w:lvl>
    <w:lvl w:ilvl="1">
      <w:lvlJc w:val="left"/>
      <w:lvlText w:val="%2"/>
      <w:numFmt w:val="lowerLetter"/>
      <w:start w:val="1"/>
    </w:lvl>
  </w:abstractNum>
  <w:abstractNum w:abstractNumId="216">
    <w:nsid w:val="1958BD17"/>
    <w:multiLevelType w:val="hybridMultilevel"/>
    <w:lvl w:ilvl="0">
      <w:lvlJc w:val="left"/>
      <w:lvlText w:val="(%1)"/>
      <w:numFmt w:val="decimal"/>
      <w:start w:val="1"/>
    </w:lvl>
    <w:lvl w:ilvl="1">
      <w:lvlJc w:val="left"/>
      <w:lvlText w:val="%2."/>
      <w:numFmt w:val="lowerLetter"/>
      <w:start w:val="1"/>
    </w:lvl>
  </w:abstractNum>
  <w:abstractNum w:abstractNumId="217">
    <w:nsid w:val="4E647FE4"/>
    <w:multiLevelType w:val="hybridMultilevel"/>
    <w:lvl w:ilvl="0">
      <w:lvlJc w:val="left"/>
      <w:lvlText w:val="(%1)"/>
      <w:numFmt w:val="decimal"/>
      <w:start w:val="1"/>
    </w:lvl>
    <w:lvl w:ilvl="1">
      <w:lvlJc w:val="left"/>
      <w:lvlText w:val="%2."/>
      <w:numFmt w:val="lowerLetter"/>
      <w:start w:val="1"/>
    </w:lvl>
  </w:abstractNum>
  <w:abstractNum w:abstractNumId="218">
    <w:nsid w:val="E0BB885"/>
    <w:multiLevelType w:val="hybridMultilevel"/>
    <w:lvl w:ilvl="0">
      <w:lvlJc w:val="left"/>
      <w:lvlText w:val="(%1)"/>
      <w:numFmt w:val="decimal"/>
      <w:start w:val="1"/>
    </w:lvl>
    <w:lvl w:ilvl="1">
      <w:lvlJc w:val="left"/>
      <w:lvlText w:val="(%2)"/>
      <w:numFmt w:val="lowerLetter"/>
      <w:start w:val="1"/>
    </w:lvl>
  </w:abstractNum>
  <w:abstractNum w:abstractNumId="219">
    <w:nsid w:val="565976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2019-12-29T15:21:26Z</dcterms:created>
  <dcterms:modified xsi:type="dcterms:W3CDTF">2019-12-29T15:21:26Z</dcterms:modified>
</cp:coreProperties>
</file>