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June 24, 2016, the registrant issued a press release, included herewith as Exhibit 99.1, and by this reference incorporated herein.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5080</wp:posOffset>
            </wp:positionV>
            <wp:extent cx="6569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24, 2016</w:t>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b w:val="1"/>
                <w:bCs w:val="1"/>
                <w:color w:val="auto"/>
              </w:rPr>
              <w:t>TPG SPECIALTY LENDING, INC.</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(Registrant)</w:t>
            </w:r>
          </w:p>
        </w:tc>
      </w:tr>
      <w:tr>
        <w:trPr>
          <w:trHeight w:val="446"/>
        </w:trPr>
        <w:tc>
          <w:tcPr>
            <w:tcW w:w="3680" w:type="dxa"/>
            <w:vAlign w:val="bottom"/>
          </w:tcPr>
          <w:p>
            <w:pPr>
              <w:spacing w:after="0"/>
              <w:rPr>
                <w:sz w:val="20"/>
                <w:szCs w:val="20"/>
                <w:color w:val="auto"/>
              </w:rPr>
            </w:pPr>
            <w:r>
              <w:rPr>
                <w:rFonts w:ascii="Arial" w:cs="Arial" w:eastAsia="Arial" w:hAnsi="Arial"/>
                <w:sz w:val="18"/>
                <w:szCs w:val="18"/>
                <w:color w:val="auto"/>
              </w:rPr>
              <w:t>Date: June 24, 2016</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Ian Simmonds</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Provides an Update on Investment Portfolio</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NEW YORK—(BUSINESS WIRE)—June 24, 2016—In light of recent developments on Britain’s referendum to leave the European Union (“Brexit”), TPG Specialty Lending, Inc. (NYSE: TSLX) would like to provide a brief update on our portfolio since our first quarter earnings. Consistent with historical practices, we have been very focused on avoiding risks other than credit risk (i.e., an issuer’s ability to service its debt) in our portfolio, including foreign currency risk. In the continued spirit of transparency, we wanted to provide the following information to our investors at this uncertain moment in the global markets.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Currently, our Europe-based portfolio company exposure is approximately $113.7 million, or 7.2% of the portfolio at amortized cost. This is down from approximately $166.9 million as of March 31, 2016, or 10.4% of the portfolio at amortized cost given the repayment in full of the contractual amount owed as it relates to our investment in Kewill. In keeping with our theme of primarily investing at the top of the capital structure, our junior capital exposure pro forma for the repayment of Kewill is approximately 8% by amortized cost compared to 12% at March 31, 2016.</w:t>
      </w:r>
    </w:p>
    <w:p>
      <w:pPr>
        <w:spacing w:after="0" w:line="17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previously discussed, our investment and risk management process remains highly focused on mitigating risk, including foreign currency risk. When we fund investments in currencies other than U.S. dollars, we borrow on our revolver in local currency, as this provides a natural hedge of our principal value against foreign-currency fluctuations. As a result, we believe that our portfolio is well-hedged against foreign currency movements directly related to Brexit.</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full impact of the Brexit decision, however, remains uncertain. A process of negotiation will determine the future terms of the U.K.’s relationship with the E.U. Like other businesses, we may face new costs and challenges as a result of Brexit, including increased interest rate, exchange rate and other market and economic volatility, as well as an uncertain regulatory and political environment.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2019-12-08T20:04:42Z</dcterms:created>
  <dcterms:modified xsi:type="dcterms:W3CDTF">2019-12-08T20:04:42Z</dcterms:modified>
</cp:coreProperties>
</file>