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3954145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980" w:type="dxa"/>
        <w:tblCellMar>
          <w:top w:w="0" w:type="dxa"/>
          <w:left w:w="0" w:type="dxa"/>
          <w:bottom w:w="0" w:type="dxa"/>
          <w:right w:w="0" w:type="dxa"/>
        </w:tblCellMar>
      </w:tblPr>
      <w:tr>
        <w:trPr>
          <w:trHeight w:val="218"/>
        </w:trPr>
        <w:tc>
          <w:tcPr>
            <w:tcW w:w="5460" w:type="dxa"/>
            <w:vAlign w:val="bottom"/>
          </w:tcPr>
          <w:p>
            <w:pPr>
              <w:jc w:val="center"/>
              <w:ind w:right="1604"/>
              <w:spacing w:after="0"/>
              <w:rPr>
                <w:sz w:val="20"/>
                <w:szCs w:val="20"/>
                <w:color w:val="auto"/>
              </w:rPr>
            </w:pPr>
            <w:r>
              <w:rPr>
                <w:rFonts w:ascii="Arial" w:cs="Arial" w:eastAsia="Arial" w:hAnsi="Arial"/>
                <w:sz w:val="18"/>
                <w:szCs w:val="18"/>
                <w:b w:val="1"/>
                <w:bCs w:val="1"/>
                <w:color w:val="auto"/>
                <w:w w:val="88"/>
              </w:rPr>
              <w:t>Delaware</w:t>
            </w:r>
          </w:p>
        </w:tc>
        <w:tc>
          <w:tcPr>
            <w:tcW w:w="2780" w:type="dxa"/>
            <w:vAlign w:val="bottom"/>
          </w:tcPr>
          <w:p>
            <w:pPr>
              <w:jc w:val="right"/>
              <w:ind w:right="4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5460" w:type="dxa"/>
            <w:vAlign w:val="bottom"/>
          </w:tcPr>
          <w:p>
            <w:pPr>
              <w:jc w:val="center"/>
              <w:ind w:right="160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780" w:type="dxa"/>
            <w:vAlign w:val="bottom"/>
          </w:tcPr>
          <w:p>
            <w:pPr>
              <w:jc w:val="center"/>
              <w:ind w:left="16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460" w:type="dxa"/>
            <w:vAlign w:val="bottom"/>
          </w:tcPr>
          <w:p>
            <w:pPr>
              <w:jc w:val="center"/>
              <w:ind w:right="1604"/>
              <w:spacing w:after="0"/>
              <w:rPr>
                <w:sz w:val="20"/>
                <w:szCs w:val="20"/>
                <w:color w:val="auto"/>
              </w:rPr>
            </w:pPr>
            <w:r>
              <w:rPr>
                <w:rFonts w:ascii="Arial" w:cs="Arial" w:eastAsia="Arial" w:hAnsi="Arial"/>
                <w:sz w:val="14"/>
                <w:szCs w:val="14"/>
                <w:b w:val="1"/>
                <w:bCs w:val="1"/>
                <w:color w:val="auto"/>
                <w:w w:val="89"/>
              </w:rPr>
              <w:t>Incorporation or Organization)</w:t>
            </w:r>
          </w:p>
        </w:tc>
        <w:tc>
          <w:tcPr>
            <w:tcW w:w="2780" w:type="dxa"/>
            <w:vAlign w:val="bottom"/>
          </w:tcPr>
          <w:p>
            <w:pPr>
              <w:jc w:val="center"/>
              <w:ind w:left="16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5460" w:type="dxa"/>
            <w:vAlign w:val="bottom"/>
          </w:tcPr>
          <w:p>
            <w:pPr>
              <w:jc w:val="center"/>
              <w:ind w:right="1624"/>
              <w:spacing w:after="0"/>
              <w:rPr>
                <w:sz w:val="20"/>
                <w:szCs w:val="20"/>
                <w:color w:val="auto"/>
              </w:rPr>
            </w:pPr>
            <w:r>
              <w:rPr>
                <w:rFonts w:ascii="Arial" w:cs="Arial" w:eastAsia="Arial" w:hAnsi="Arial"/>
                <w:sz w:val="18"/>
                <w:szCs w:val="18"/>
                <w:b w:val="1"/>
                <w:bCs w:val="1"/>
                <w:color w:val="auto"/>
                <w:w w:val="89"/>
              </w:rPr>
              <w:t>301 Commerce Street, Suite 3300, Fort Worth, TX</w:t>
            </w:r>
          </w:p>
        </w:tc>
        <w:tc>
          <w:tcPr>
            <w:tcW w:w="2780" w:type="dxa"/>
            <w:vAlign w:val="bottom"/>
          </w:tcPr>
          <w:p>
            <w:pPr>
              <w:jc w:val="right"/>
              <w:ind w:right="244"/>
              <w:spacing w:after="0"/>
              <w:rPr>
                <w:sz w:val="20"/>
                <w:szCs w:val="20"/>
                <w:color w:val="auto"/>
              </w:rPr>
            </w:pPr>
            <w:r>
              <w:rPr>
                <w:rFonts w:ascii="Arial" w:cs="Arial" w:eastAsia="Arial" w:hAnsi="Arial"/>
                <w:sz w:val="18"/>
                <w:szCs w:val="18"/>
                <w:b w:val="1"/>
                <w:bCs w:val="1"/>
                <w:color w:val="auto"/>
              </w:rPr>
              <w:t>76102</w:t>
            </w:r>
          </w:p>
        </w:tc>
      </w:tr>
      <w:tr>
        <w:trPr>
          <w:trHeight w:val="174"/>
        </w:trPr>
        <w:tc>
          <w:tcPr>
            <w:tcW w:w="5460" w:type="dxa"/>
            <w:vAlign w:val="bottom"/>
          </w:tcPr>
          <w:p>
            <w:pPr>
              <w:jc w:val="center"/>
              <w:ind w:right="160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780" w:type="dxa"/>
            <w:vAlign w:val="bottom"/>
          </w:tcPr>
          <w:p>
            <w:pPr>
              <w:jc w:val="center"/>
              <w:ind w:left="16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6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40" w:space="380"/>
            <w:col w:w="160" w:space="100"/>
            <w:col w:w="5960" w:space="720"/>
            <w:col w:w="1920" w:space="480"/>
            <w:col w:w="160"/>
          </w:cols>
          <w:pgMar w:left="240" w:top="230" w:right="239" w:bottom="1440" w:gutter="0" w:footer="0" w:header="0"/>
          <w:type w:val="continuous"/>
        </w:sectPr>
      </w:pPr>
    </w:p>
    <w:p>
      <w:pPr>
        <w:spacing w:after="0" w:line="184" w:lineRule="exact"/>
        <w:tabs>
          <w:tab w:leader="none" w:pos="9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Securities Exchange Act of 1934).</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10040" w:space="180"/>
            <w:col w:w="1200"/>
          </w:cols>
          <w:pgMar w:left="240" w:top="230"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the Registrant’s common stock, $.01 par value per share, outstanding at May 12, 2011 was 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 FOR THE QUARTER ENDED MARCH 31, 2011</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0"/>
              </w:rPr>
              <w:t>PAGE</w:t>
            </w:r>
          </w:p>
        </w:tc>
      </w:tr>
      <w:tr>
        <w:trPr>
          <w:trHeight w:val="161"/>
        </w:trPr>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INDEX</w:t>
            </w:r>
          </w:p>
        </w:tc>
        <w:tc>
          <w:tcPr>
            <w:tcW w:w="4620" w:type="dxa"/>
            <w:vAlign w:val="bottom"/>
            <w:gridSpan w:val="5"/>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w:t>
            </w:r>
          </w:p>
        </w:tc>
      </w:tr>
      <w:tr>
        <w:trPr>
          <w:trHeight w:val="277"/>
        </w:trPr>
        <w:tc>
          <w:tcPr>
            <w:tcW w:w="14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220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FINANCIAL INFORMATION</w:t>
              </w:r>
            </w:hyperlink>
          </w:p>
        </w:tc>
        <w:tc>
          <w:tcPr>
            <w:tcW w:w="728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46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948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Balance Sheets as of March 31, 2011 (Unaudited) and December 31, 2010</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Statements of Operations for the three months ended March 31, 2011 and the period from July 21, 2010 (inception) to March 31,</w:t>
              </w:r>
            </w:hyperlink>
          </w:p>
        </w:tc>
        <w:tc>
          <w:tcPr>
            <w:tcW w:w="44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2011 (Unaudited)</w:t>
              </w:r>
            </w:hyperlink>
          </w:p>
        </w:tc>
        <w:tc>
          <w:tcPr>
            <w:tcW w:w="8240" w:type="dxa"/>
            <w:vAlign w:val="bottom"/>
            <w:gridSpan w:val="18"/>
          </w:tcPr>
          <w:p>
            <w:pPr>
              <w:spacing w:after="0"/>
              <w:rPr>
                <w:sz w:val="17"/>
                <w:szCs w:val="17"/>
                <w:color w:val="auto"/>
              </w:rPr>
            </w:pPr>
          </w:p>
        </w:tc>
        <w:tc>
          <w:tcPr>
            <w:tcW w:w="380" w:type="dxa"/>
            <w:vAlign w:val="bottom"/>
          </w:tcPr>
          <w:p>
            <w:pPr>
              <w:spacing w:after="0"/>
              <w:rPr>
                <w:sz w:val="17"/>
                <w:szCs w:val="17"/>
                <w:color w:val="auto"/>
              </w:rPr>
            </w:pPr>
          </w:p>
        </w:tc>
      </w:tr>
      <w:tr>
        <w:trPr>
          <w:trHeight w:val="304"/>
        </w:trPr>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Statements of Changes in Net Assets for the three months ended March 31, 2011 and the period from July 21, 2010 (inception) to</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96"/>
        </w:trPr>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March 31, 2011 (Unaudited)</w:t>
              </w:r>
            </w:hyperlink>
          </w:p>
        </w:tc>
        <w:tc>
          <w:tcPr>
            <w:tcW w:w="7080" w:type="dxa"/>
            <w:vAlign w:val="bottom"/>
            <w:tcBorders>
              <w:top w:val="single" w:sz="8" w:color="0000EE"/>
            </w:tcBorders>
            <w:gridSpan w:val="11"/>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304"/>
        </w:trPr>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Statements of Cash Flows for the three months ended March 31, 2011 and the period from July 21, 2010 (inception) to March 31,</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196"/>
        </w:trPr>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2011 (Unaudited)</w:t>
              </w:r>
            </w:hyperlink>
          </w:p>
        </w:tc>
        <w:tc>
          <w:tcPr>
            <w:tcW w:w="7840" w:type="dxa"/>
            <w:vAlign w:val="bottom"/>
            <w:tcBorders>
              <w:top w:val="single" w:sz="8" w:color="0000EE"/>
            </w:tcBorders>
            <w:gridSpan w:val="17"/>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304"/>
        </w:trPr>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46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Management’s Discussion and Analysis of Financial Condition and Results of Operations</w:t>
              </w:r>
            </w:hyperlink>
          </w:p>
        </w:tc>
        <w:tc>
          <w:tcPr>
            <w:tcW w:w="318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146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Quantitative and Qualitative Disclosures About Market Risk</w:t>
              </w:r>
            </w:hyperlink>
          </w:p>
        </w:tc>
        <w:tc>
          <w:tcPr>
            <w:tcW w:w="522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1460" w:type="dxa"/>
            <w:vAlign w:val="bottom"/>
            <w:gridSpan w:val="2"/>
          </w:tcPr>
          <w:p>
            <w:pPr>
              <w:ind w:left="440"/>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8"/>
          </w:tcPr>
          <w:p>
            <w:pPr>
              <w:spacing w:after="0"/>
              <w:rPr>
                <w:rFonts w:ascii="Arial" w:cs="Arial" w:eastAsia="Arial" w:hAnsi="Arial"/>
                <w:sz w:val="18"/>
                <w:szCs w:val="18"/>
                <w:color w:val="0000EE"/>
                <w:w w:val="85"/>
              </w:rPr>
            </w:pPr>
            <w:hyperlink w:anchor="page14">
              <w:r>
                <w:rPr>
                  <w:rFonts w:ascii="Arial" w:cs="Arial" w:eastAsia="Arial" w:hAnsi="Arial"/>
                  <w:sz w:val="18"/>
                  <w:szCs w:val="18"/>
                  <w:color w:val="0000EE"/>
                  <w:w w:val="85"/>
                </w:rPr>
                <w:t>Controls and Procedures</w:t>
              </w:r>
            </w:hyperlink>
          </w:p>
        </w:tc>
        <w:tc>
          <w:tcPr>
            <w:tcW w:w="776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14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14">
              <w:r>
                <w:rPr>
                  <w:rFonts w:ascii="Arial" w:cs="Arial" w:eastAsia="Arial" w:hAnsi="Arial"/>
                  <w:sz w:val="18"/>
                  <w:szCs w:val="18"/>
                  <w:color w:val="0000EE"/>
                  <w:w w:val="93"/>
                </w:rPr>
                <w:t>OTHER INFORMATION</w:t>
              </w:r>
            </w:hyperlink>
          </w:p>
        </w:tc>
        <w:tc>
          <w:tcPr>
            <w:tcW w:w="764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146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14">
              <w:r>
                <w:rPr>
                  <w:rFonts w:ascii="Arial" w:cs="Arial" w:eastAsia="Arial" w:hAnsi="Arial"/>
                  <w:sz w:val="18"/>
                  <w:szCs w:val="18"/>
                  <w:color w:val="0000EE"/>
                  <w:w w:val="85"/>
                </w:rPr>
                <w:t>Legal Proceedings</w:t>
              </w:r>
            </w:hyperlink>
          </w:p>
        </w:tc>
        <w:tc>
          <w:tcPr>
            <w:tcW w:w="818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1460" w:type="dxa"/>
            <w:vAlign w:val="bottom"/>
            <w:gridSpan w:val="2"/>
          </w:tcPr>
          <w:p>
            <w:pPr>
              <w:ind w:left="440"/>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4">
              <w:r>
                <w:rPr>
                  <w:rFonts w:ascii="Arial" w:cs="Arial" w:eastAsia="Arial" w:hAnsi="Arial"/>
                  <w:sz w:val="18"/>
                  <w:szCs w:val="18"/>
                  <w:color w:val="0000EE"/>
                  <w:w w:val="85"/>
                </w:rPr>
                <w:t>Risk Factors</w:t>
              </w:r>
            </w:hyperlink>
          </w:p>
        </w:tc>
        <w:tc>
          <w:tcPr>
            <w:tcW w:w="8600" w:type="dxa"/>
            <w:vAlign w:val="bottom"/>
            <w:gridSpan w:val="1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146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14">
              <w:r>
                <w:rPr>
                  <w:rFonts w:ascii="Arial" w:cs="Arial" w:eastAsia="Arial" w:hAnsi="Arial"/>
                  <w:sz w:val="18"/>
                  <w:szCs w:val="18"/>
                  <w:color w:val="0000EE"/>
                  <w:w w:val="86"/>
                </w:rPr>
                <w:t>Unregistered Sales of Equity Securities and Use of Proceeds</w:t>
              </w:r>
            </w:hyperlink>
          </w:p>
        </w:tc>
        <w:tc>
          <w:tcPr>
            <w:tcW w:w="524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146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9480" w:type="dxa"/>
            <w:vAlign w:val="bottom"/>
            <w:gridSpan w:val="2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Defaults Upon Senior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1460" w:type="dxa"/>
            <w:vAlign w:val="bottom"/>
            <w:gridSpan w:val="2"/>
          </w:tcPr>
          <w:p>
            <w:pPr>
              <w:ind w:left="440"/>
              <w:spacing w:after="0"/>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1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[Reserved]</w:t>
              </w:r>
            </w:hyperlink>
          </w:p>
        </w:tc>
        <w:tc>
          <w:tcPr>
            <w:tcW w:w="722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200" w:type="dxa"/>
            <w:vAlign w:val="bottom"/>
            <w:gridSpan w:val="1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460" w:type="dxa"/>
            <w:vAlign w:val="bottom"/>
            <w:gridSpan w:val="2"/>
          </w:tcPr>
          <w:p>
            <w:pPr>
              <w:ind w:left="440"/>
              <w:spacing w:after="0"/>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Other Information</w:t>
              </w:r>
            </w:hyperlink>
          </w:p>
        </w:tc>
        <w:tc>
          <w:tcPr>
            <w:tcW w:w="820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1460" w:type="dxa"/>
            <w:vAlign w:val="bottom"/>
            <w:gridSpan w:val="2"/>
          </w:tcPr>
          <w:p>
            <w:pPr>
              <w:ind w:left="440"/>
              <w:spacing w:after="0"/>
              <w:rPr>
                <w:sz w:val="20"/>
                <w:szCs w:val="20"/>
                <w:color w:val="auto"/>
              </w:rPr>
            </w:pPr>
            <w:r>
              <w:rPr>
                <w:rFonts w:ascii="Arial" w:cs="Arial" w:eastAsia="Arial" w:hAnsi="Arial"/>
                <w:sz w:val="18"/>
                <w:szCs w:val="18"/>
                <w:color w:val="auto"/>
              </w:rPr>
              <w:t>Item 6.</w:t>
            </w:r>
          </w:p>
        </w:tc>
        <w:tc>
          <w:tcPr>
            <w:tcW w:w="9480" w:type="dxa"/>
            <w:vAlign w:val="bottom"/>
            <w:gridSpan w:val="2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Exhibits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1460" w:type="dxa"/>
            <w:vAlign w:val="bottom"/>
            <w:gridSpan w:val="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83"/>
        </w:trPr>
        <w:tc>
          <w:tcPr>
            <w:tcW w:w="11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400" w:type="dxa"/>
            <w:vAlign w:val="bottom"/>
            <w:gridSpan w:val="16"/>
          </w:tcPr>
          <w:p>
            <w:pPr>
              <w:ind w:left="422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w:t>
      </w:r>
    </w:p>
    <w:p>
      <w:pPr>
        <w:spacing w:after="0" w:line="1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(the “SEC”), the following factors, among others, could cause actual results to differ materially from forward-looking statements or historical performance:</w:t>
      </w:r>
    </w:p>
    <w:p>
      <w:pPr>
        <w:spacing w:after="0" w:line="59" w:lineRule="exact"/>
        <w:rPr>
          <w:sz w:val="20"/>
          <w:szCs w:val="20"/>
          <w:color w:val="auto"/>
        </w:rPr>
      </w:pPr>
    </w:p>
    <w:p>
      <w:pPr>
        <w:ind w:left="900" w:right="10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economic downturn, or a continuation or worsening of the current global recession, could impair the portfolio companies’ (that we will invest in) abilities to continue to operate, which could lead to the loss of some or all of our investments in such portfolio companies;</w:t>
      </w:r>
    </w:p>
    <w:p>
      <w:pPr>
        <w:spacing w:after="0" w:line="4" w:lineRule="exact"/>
        <w:rPr>
          <w:rFonts w:ascii="Arial" w:cs="Arial" w:eastAsia="Arial" w:hAnsi="Arial"/>
          <w:sz w:val="16"/>
          <w:szCs w:val="16"/>
          <w:color w:val="auto"/>
        </w:rPr>
      </w:pPr>
    </w:p>
    <w:p>
      <w:pPr>
        <w:ind w:left="900" w:right="50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which we intend to target for investment, potentially causing us to experience a decrease in investment opportunities and diminished demand for capital from these companies;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equity markets could impair our ability to raise capital and our investment activities;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and elsewhere in our filings with the SEC.</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1934 Act, which preclude civil liability for certain forward-looking statements, do not apply to the forward-looking statements in this report because we are an investment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300" w:type="dxa"/>
            <w:vAlign w:val="bottom"/>
            <w:gridSpan w:val="6"/>
          </w:tcPr>
          <w:p>
            <w:pPr>
              <w:spacing w:after="0"/>
              <w:rPr>
                <w:sz w:val="20"/>
                <w:szCs w:val="20"/>
                <w:color w:val="auto"/>
              </w:rPr>
            </w:pPr>
            <w:r>
              <w:rPr>
                <w:rFonts w:ascii="Arial" w:cs="Arial" w:eastAsia="Arial" w:hAnsi="Arial"/>
                <w:sz w:val="18"/>
                <w:szCs w:val="18"/>
                <w:color w:val="auto"/>
                <w:w w:val="99"/>
              </w:rPr>
              <w:t>In this Quarterly Report, “Company”, “we”, “us” and “our” refer to TPG Specialty Lending, Inc. unless the context states otherwise.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240" w:type="dxa"/>
            <w:vAlign w:val="bottom"/>
          </w:tcPr>
          <w:p>
            <w:pPr>
              <w:ind w:left="14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40" w:type="dxa"/>
            <w:vAlign w:val="bottom"/>
          </w:tcPr>
          <w:p>
            <w:pPr>
              <w:jc w:val="center"/>
              <w:ind w:left="1292"/>
              <w:spacing w:after="0"/>
              <w:rPr>
                <w:sz w:val="20"/>
                <w:szCs w:val="20"/>
                <w:color w:val="auto"/>
              </w:rPr>
            </w:pPr>
            <w:r>
              <w:rPr>
                <w:rFonts w:ascii="Arial" w:cs="Arial" w:eastAsia="Arial" w:hAnsi="Arial"/>
                <w:sz w:val="18"/>
                <w:szCs w:val="18"/>
                <w:b w:val="1"/>
                <w:bCs w:val="1"/>
                <w:color w:val="auto"/>
                <w:w w:val="90"/>
              </w:rPr>
              <w:t>TPG Specialty Lending, Inc.</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40" w:type="dxa"/>
            <w:vAlign w:val="bottom"/>
          </w:tcPr>
          <w:p>
            <w:pPr>
              <w:jc w:val="center"/>
              <w:ind w:left="1292"/>
              <w:spacing w:after="0"/>
              <w:rPr>
                <w:sz w:val="20"/>
                <w:szCs w:val="20"/>
                <w:color w:val="auto"/>
              </w:rPr>
            </w:pPr>
            <w:r>
              <w:rPr>
                <w:rFonts w:ascii="Arial" w:cs="Arial" w:eastAsia="Arial" w:hAnsi="Arial"/>
                <w:sz w:val="18"/>
                <w:szCs w:val="18"/>
                <w:b w:val="1"/>
                <w:bCs w:val="1"/>
                <w:color w:val="auto"/>
                <w:w w:val="87"/>
              </w:rPr>
              <w:t>(A Development Stage Company)</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40" w:type="dxa"/>
            <w:vAlign w:val="bottom"/>
          </w:tcPr>
          <w:p>
            <w:pPr>
              <w:jc w:val="center"/>
              <w:ind w:left="1312"/>
              <w:spacing w:after="0"/>
              <w:rPr>
                <w:sz w:val="20"/>
                <w:szCs w:val="20"/>
                <w:color w:val="auto"/>
              </w:rPr>
            </w:pPr>
            <w:r>
              <w:rPr>
                <w:rFonts w:ascii="Arial" w:cs="Arial" w:eastAsia="Arial" w:hAnsi="Arial"/>
                <w:sz w:val="18"/>
                <w:szCs w:val="18"/>
                <w:b w:val="1"/>
                <w:bCs w:val="1"/>
                <w:color w:val="auto"/>
                <w:w w:val="84"/>
              </w:rPr>
              <w:t>Balance Sheets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March 31,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(Unaudited)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00" w:type="dxa"/>
            <w:vAlign w:val="bottom"/>
            <w:gridSpan w:val="2"/>
            <w:vMerge w:val="continue"/>
          </w:tcPr>
          <w:p>
            <w:pPr>
              <w:spacing w:after="0"/>
              <w:rPr>
                <w:sz w:val="24"/>
                <w:szCs w:val="24"/>
                <w:color w:val="auto"/>
              </w:rPr>
            </w:pPr>
          </w:p>
        </w:tc>
        <w:tc>
          <w:tcPr>
            <w:tcW w:w="8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organization expenses payable to affiliate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1,500,000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Directors’ fees payable to affiliate</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22,833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expenses and payables to affiliate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31,474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1,554,307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80" w:type="dxa"/>
            <w:vAlign w:val="bottom"/>
          </w:tcPr>
          <w:p>
            <w:pPr>
              <w:spacing w:after="0"/>
              <w:rPr>
                <w:sz w:val="10"/>
                <w:szCs w:val="10"/>
                <w:color w:val="auto"/>
              </w:rPr>
            </w:pPr>
          </w:p>
        </w:tc>
        <w:tc>
          <w:tcPr>
            <w:tcW w:w="8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40" w:type="dxa"/>
            <w:vAlign w:val="bottom"/>
            <w:gridSpan w:val="3"/>
          </w:tcPr>
          <w:p>
            <w:pPr>
              <w:spacing w:after="0"/>
              <w:rPr>
                <w:sz w:val="20"/>
                <w:szCs w:val="20"/>
                <w:color w:val="auto"/>
              </w:rPr>
            </w:pPr>
            <w:r>
              <w:rPr>
                <w:rFonts w:ascii="Arial" w:cs="Arial" w:eastAsia="Arial" w:hAnsi="Arial"/>
                <w:sz w:val="18"/>
                <w:szCs w:val="18"/>
                <w:b w:val="1"/>
                <w:bCs w:val="1"/>
                <w:color w:val="auto"/>
              </w:rPr>
              <w:t>Net Assets (Liabilities)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shares, $0.01 par value; 100,000,000 shares authorized; no shares issued and outstanding</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w w:val="93"/>
              </w:rPr>
              <w:t>Common shares, $0.01 par value; 100,000,000 and 10,000 shares authorized at March 31, 2011 and December 31, 2010,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gridSpan w:val="2"/>
          </w:tcPr>
          <w:p>
            <w:pPr>
              <w:ind w:left="200"/>
              <w:spacing w:after="0"/>
              <w:rPr>
                <w:sz w:val="20"/>
                <w:szCs w:val="20"/>
                <w:color w:val="auto"/>
              </w:rPr>
            </w:pPr>
            <w:r>
              <w:rPr>
                <w:rFonts w:ascii="Arial" w:cs="Arial" w:eastAsia="Arial" w:hAnsi="Arial"/>
                <w:sz w:val="18"/>
                <w:szCs w:val="18"/>
                <w:color w:val="auto"/>
              </w:rPr>
              <w:t>respectively; 1,000 shares issued and outstanding at March 31, 2011 and December 31, 2010</w:t>
            </w:r>
          </w:p>
        </w:tc>
        <w:tc>
          <w:tcPr>
            <w:tcW w:w="10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Accumulated net loss</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(1,554,307)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Net Assets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(1,553,307)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Liabilities and Net Assets (Liabilities)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(1,553.31)</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13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July 21,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ended</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(inception)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March 31, 2011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8"/>
              </w:rPr>
              <w:t>March 31, 2011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Initial organization</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1,500,000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31,474</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Expenses</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1,554,307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1,554,307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060" w:type="dxa"/>
            <w:vAlign w:val="bottom"/>
          </w:tcPr>
          <w:p>
            <w:pPr>
              <w:ind w:left="420"/>
              <w:spacing w:after="0"/>
              <w:rPr>
                <w:sz w:val="20"/>
                <w:szCs w:val="20"/>
                <w:color w:val="auto"/>
              </w:rPr>
            </w:pPr>
            <w:r>
              <w:rPr>
                <w:rFonts w:ascii="Arial" w:cs="Arial" w:eastAsia="Arial" w:hAnsi="Arial"/>
                <w:sz w:val="18"/>
                <w:szCs w:val="18"/>
                <w:b w:val="1"/>
                <w:bCs w:val="1"/>
                <w:color w:val="auto"/>
              </w:rPr>
              <w:t>Net Investment Loss</w:t>
            </w: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(1,554,307)</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(1,554,307)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Decrease in Net Assets Resulting from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(1,554,307)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(1,554,307)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Loss Per Share –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9060" w:type="dxa"/>
            <w:vAlign w:val="bottom"/>
            <w:vMerge w:val="continue"/>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(1,554.31)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(3,915.13)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Weighted-Average Shares Outstanding – Basic and Diluted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vMerge w:val="restart"/>
          </w:tcPr>
          <w:p>
            <w:pPr>
              <w:jc w:val="center"/>
              <w:ind w:left="2252"/>
              <w:spacing w:after="0"/>
              <w:rPr>
                <w:sz w:val="20"/>
                <w:szCs w:val="20"/>
                <w:color w:val="auto"/>
              </w:rPr>
            </w:pPr>
            <w:r>
              <w:rPr>
                <w:rFonts w:ascii="Arial" w:cs="Arial" w:eastAsia="Arial" w:hAnsi="Arial"/>
                <w:sz w:val="18"/>
                <w:szCs w:val="18"/>
                <w:color w:val="auto"/>
                <w:w w:val="87"/>
              </w:rPr>
              <w:t>The accompanying notes are an integral part of these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9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080" w:type="dxa"/>
            <w:vAlign w:val="bottom"/>
            <w:gridSpan w:val="2"/>
          </w:tcPr>
          <w:p>
            <w:pPr>
              <w:jc w:val="right"/>
              <w:ind w:right="323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 (Liabilities)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Three months</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July 21,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ended</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(inception)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March 31, 2011</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March 31,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 Net Assets Resulting from Operations</w:t>
            </w: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Net investment loss</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 (1,554,307)</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 (1,554,307)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Decrease in Net Assets (Liabilities) Resulting from Operations</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(1,554,307)</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(1,554,307)</w:t>
            </w:r>
          </w:p>
        </w:tc>
        <w:tc>
          <w:tcPr>
            <w:tcW w:w="0" w:type="dxa"/>
            <w:vAlign w:val="bottom"/>
          </w:tcPr>
          <w:p>
            <w:pPr>
              <w:spacing w:after="0"/>
              <w:rPr>
                <w:sz w:val="1"/>
                <w:szCs w:val="1"/>
                <w:color w:val="auto"/>
              </w:rPr>
            </w:pPr>
          </w:p>
        </w:tc>
      </w:tr>
      <w:tr>
        <w:trPr>
          <w:trHeight w:val="329"/>
        </w:trPr>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9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w:t>
            </w: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b w:val="1"/>
                <w:bCs w:val="1"/>
                <w:color w:val="auto"/>
              </w:rPr>
              <w:t>Increase in Net Assets (Liabilities) Resulting from Capital Share Transactions</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0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Decrease in Net Assets (Liabilities)</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(1,554,307)</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(1,553,307)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Net assets (liabilities), beginning of period</w:t>
            </w: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0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Net assets (liabilities), end of period</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 (1,553,307)</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 (1,553,307)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vMerge w:val="restart"/>
          </w:tcPr>
          <w:p>
            <w:pPr>
              <w:jc w:val="center"/>
              <w:ind w:left="2252"/>
              <w:spacing w:after="0"/>
              <w:rPr>
                <w:sz w:val="20"/>
                <w:szCs w:val="20"/>
                <w:color w:val="auto"/>
              </w:rPr>
            </w:pPr>
            <w:r>
              <w:rPr>
                <w:rFonts w:ascii="Arial" w:cs="Arial" w:eastAsia="Arial" w:hAnsi="Arial"/>
                <w:sz w:val="18"/>
                <w:szCs w:val="18"/>
                <w:color w:val="auto"/>
                <w:w w:val="87"/>
              </w:rPr>
              <w:t>The accompanying notes are an integral part of these financial statements.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90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080" w:type="dxa"/>
            <w:vAlign w:val="bottom"/>
            <w:gridSpan w:val="2"/>
          </w:tcPr>
          <w:p>
            <w:pPr>
              <w:jc w:val="right"/>
              <w:ind w:right="3232"/>
              <w:spacing w:after="0"/>
              <w:rPr>
                <w:sz w:val="20"/>
                <w:szCs w:val="20"/>
                <w:color w:val="auto"/>
              </w:rPr>
            </w:pPr>
            <w:r>
              <w:rPr>
                <w:rFonts w:ascii="Arial" w:cs="Arial" w:eastAsia="Arial" w:hAnsi="Arial"/>
                <w:sz w:val="18"/>
                <w:szCs w:val="18"/>
                <w:color w:val="auto"/>
              </w:rPr>
              <w:t>6</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9080" w:type="dxa"/>
            <w:vAlign w:val="bottom"/>
          </w:tcPr>
          <w:p>
            <w:pPr>
              <w:spacing w:after="0"/>
              <w:rPr>
                <w:sz w:val="12"/>
                <w:szCs w:val="12"/>
                <w:color w:val="auto"/>
              </w:rPr>
            </w:pPr>
          </w:p>
        </w:tc>
        <w:tc>
          <w:tcPr>
            <w:tcW w:w="13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July 21, 2010</w:t>
            </w:r>
          </w:p>
        </w:tc>
      </w:tr>
      <w:tr>
        <w:trPr>
          <w:trHeight w:val="149"/>
        </w:trPr>
        <w:tc>
          <w:tcPr>
            <w:tcW w:w="9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ended</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(inception) to</w:t>
            </w:r>
          </w:p>
        </w:tc>
      </w:tr>
      <w:tr>
        <w:trPr>
          <w:trHeight w:val="161"/>
        </w:trPr>
        <w:tc>
          <w:tcPr>
            <w:tcW w:w="908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March 31, 2011</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March 31, 2011</w:t>
            </w: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Decrease in net assets (liabilities) resulting from operations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(1,554,307)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(1,554,307)</w:t>
            </w:r>
          </w:p>
        </w:tc>
      </w:tr>
      <w:tr>
        <w:trPr>
          <w:trHeight w:val="208"/>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increase (decrease) in net assets (liabilities) resulting from operations to net cash provided by</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Change in initial organization expenses payable</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1,500,000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1,500,000</w:t>
            </w: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directors’ fees payable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22,833</w:t>
            </w:r>
          </w:p>
        </w:tc>
      </w:tr>
      <w:tr>
        <w:trPr>
          <w:trHeight w:val="223"/>
        </w:trPr>
        <w:tc>
          <w:tcPr>
            <w:tcW w:w="9080" w:type="dxa"/>
            <w:vAlign w:val="bottom"/>
          </w:tcPr>
          <w:p>
            <w:pPr>
              <w:ind w:left="440"/>
              <w:spacing w:after="0"/>
              <w:rPr>
                <w:sz w:val="20"/>
                <w:szCs w:val="20"/>
                <w:color w:val="auto"/>
              </w:rPr>
            </w:pPr>
            <w:r>
              <w:rPr>
                <w:rFonts w:ascii="Arial" w:cs="Arial" w:eastAsia="Arial" w:hAnsi="Arial"/>
                <w:sz w:val="18"/>
                <w:szCs w:val="18"/>
                <w:color w:val="auto"/>
              </w:rPr>
              <w:t>Change in other accrued expenses and payables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31,474</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31,474</w:t>
            </w:r>
          </w:p>
        </w:tc>
        <w:tc>
          <w:tcPr>
            <w:tcW w:w="100" w:type="dxa"/>
            <w:vAlign w:val="bottom"/>
          </w:tcPr>
          <w:p>
            <w:pPr>
              <w:spacing w:after="0"/>
              <w:rPr>
                <w:sz w:val="19"/>
                <w:szCs w:val="19"/>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329"/>
        </w:trPr>
        <w:tc>
          <w:tcPr>
            <w:tcW w:w="90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shares</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22"/>
        </w:trPr>
        <w:tc>
          <w:tcPr>
            <w:tcW w:w="9080" w:type="dxa"/>
            <w:vAlign w:val="bottom"/>
          </w:tcPr>
          <w:p>
            <w:pPr>
              <w:ind w:left="44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116"/>
        </w:trPr>
        <w:tc>
          <w:tcPr>
            <w:tcW w:w="90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Cash and cash equivalents, end of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0"/>
        </w:trPr>
        <w:tc>
          <w:tcPr>
            <w:tcW w:w="9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(Unaudited)</w:t>
      </w:r>
    </w:p>
    <w:p>
      <w:pPr>
        <w:spacing w:after="0" w:line="171" w:lineRule="exact"/>
        <w:rPr>
          <w:sz w:val="20"/>
          <w:szCs w:val="20"/>
          <w:color w:val="auto"/>
        </w:rPr>
      </w:pPr>
    </w:p>
    <w:p>
      <w:pPr>
        <w:ind w:right="8240" w:firstLine="8"/>
        <w:spacing w:after="0" w:line="347"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intends to elect to be treated as a regulated investment company (“RIC”) under Subchapter M of the Internal Revenue Code of 1986, as amended (the “Code”). As of March 31, 2011, no operations other than (1) the sale and issuance of 1,000 shares of common stock at an aggregate purchase price of $1,000 to Tarrant Advisors, Inc., an affiliate of the Company; and (2) the accrual of certain organization, directors’ fees and other expenses, have occurred. TSL is managed by TSL Advisers, LLC (the “Adviser”). No management fees will be paid to the Adviser until commencement of commercial activities.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Stage Company</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development stage company as defined by ASC 915-10-05, “Development Stage Entity”. As of March 31, 2011, the Company is still devoting substantially all of its efforts to establishing the business and its planned principal operations have not commenced. All losses accumulated, since inception, have been considered as part of the Company’s development stage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accompanying financial statements are prepared in accordance with accounting principles generally accepted in the United States of America (“U.S. GAAP”). In the opinion of management, all adjustments, consisting solely of accruals considered necessary for the fair presentation of financial statements for interim periods, have been included. The results of operations for interim periods are not indicative of results to be expected for the full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fiscal year ends on December 31.</w:t>
      </w:r>
    </w:p>
    <w:p>
      <w:pPr>
        <w:spacing w:after="0" w:line="246" w:lineRule="exact"/>
        <w:rPr>
          <w:sz w:val="20"/>
          <w:szCs w:val="20"/>
          <w:color w:val="auto"/>
        </w:rPr>
      </w:pPr>
    </w:p>
    <w:p>
      <w:pPr>
        <w:ind w:right="8860" w:firstLine="8"/>
        <w:spacing w:after="0" w:line="347"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Such amounts could differ from those estimates and such differences could be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Cash and cash equivalents consist of demand deposits and highly liquid investments (e.g. money market funds, U.S. treasury notes) with original maturities of three months or less. Cash and cash equivalents are carried at cost which approximates fair value. The Company places its cash and cash equivalents on deposit with highly rated U.S. banking corporations.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 has elected to be treated as a BDC under the 1940 Act. The Company also intends to elect to be treated as a RIC under the Code for the taxable year ending December 31, 2011. So long as the Company maintains its status as a RIC, it generally will not pay corporate-level U.S. federal income taxes on any ordinary income or capital gains that it distributes at least annually to its stockholders as dividends. Rather, any tax liability related to income earned and distributed by TSL represents obligations of the Company’s investors and will not be reflected in the financial statements of the Company.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Company evaluates the need for disclosures and/or adjustments resulting from subsequent events through the date the financial statements are issued.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90"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In February 2010, the Financial Accounting Standards Board updated Accounting Standards Codification 855, “Subsequent Events,” that requires SEC filers to evaluate subsequent events through the date the financials are issued. The provisions of this standard were effective immediately. The Company has taken into consideration this guidance when evaluating subsequent events and has included the required disclosures.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On March 15, 2011, the Company entered into an Administration Agreement (the “Administration Agreement”) with the Adviser. Under the terms of the Administration Agreement, the Adviser will provide administrative services to the Company. These services include providing office space, equipment and office services to the Company, maintaining its financial records, preparing reports to its stockholders and reports filed with the SEC and managing the payment of its expenses and the performance of administrative and professional services rendered to it by others.</w:t>
      </w:r>
    </w:p>
    <w:p>
      <w:pPr>
        <w:spacing w:after="0" w:line="11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Administration Agreement provides that the Company will reimburse the Adviser for certain initial organization and operating costs incurred prior to the commencement of the Company’s operations (up to an aggregate of $1.5 million). During the quarter ended March 31, 2011, initial organization costs exceeded $1.5 million and a corresponding amount has been recorded in the accompanying financial statements.</w:t>
      </w:r>
    </w:p>
    <w:p>
      <w:pPr>
        <w:spacing w:after="0" w:line="10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Unless earlier terminated as described below, the Administration Agreement will remain in effect until March 15, 2013 and from year to year thereafter if approved annually by (1) the vote of the Company’s Board of Directors, or by the vote of a majority of its outstanding voting securities, and (2) the vote of a majority of the Company’s directors who are not “interested persons” of the Company, of the Adviser or of any of their respective affiliates, as defined in the 1940 Act. The Administration Agreement will automatically terminate in the event of assignment and may be terminated by either party without penalty upon at least 60 days’ written notice to the other party.</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 person who is an officer, director or employee of the Adviser and who serves as a director of the Company receives any compensation from the Company for such services. Directors who are not affiliated with the Adviser receive compensation for their services and reimbursement of expenses incurred to attend meetings.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Expenses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Expenses for the quarter ended March 31, 2011 consist of $1.5 million of initial organization and operating costs that the Company is required to reimburse the Adviser for in accordance with the Administration Agreement. The Company also accrued directors’ fees of $22,833 and other direct expenses of $31,474 mainly consisting of a proration of directors’ and officers’ insurance policy premiums and the BDC-required fidelity bond premium. All such expenses are payable to our Adviser at March 31,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At March 31, 2011, management is not aware of any pending or threatened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Assets (Liabilities)</w:t>
      </w:r>
    </w:p>
    <w:p>
      <w:pPr>
        <w:spacing w:after="0" w:line="9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In connection with its formation, the Company had the authority to issue 10,000 common shares at $0.01 per share par value. The Company also had the authority to issue 100,000,000 preferred shares at $0.01 per share par value. The Company’s preferred shares are non-convertible.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On December 21, 2010, the Company issued 1,000 common shares for $1,000 to Tarrant Advisors, Inc., an affiliate of the Company.</w:t>
      </w:r>
    </w:p>
    <w:p>
      <w:pPr>
        <w:spacing w:after="0" w:line="171"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On March 8, 2011, the Company increased the number of common shares authorized to be issued to 100,000,000, par value $0.01 per share, of which 1,000 shares remain outstanding as of March 31, 2011. The authorized shares of preferred stock were unchanged and no preferred shares are outstanding as of March 31, 2011.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engaged in any other equity transactions as of March 31, 2011.</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Financial Highlights</w:t>
      </w:r>
    </w:p>
    <w:p>
      <w:pPr>
        <w:spacing w:after="0" w:line="9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following per share data and ratios have been derived from information provided in the financial statements. The following are the financial highlights for a common share outstanding during the three months ended March 31, 2011 and for the period from July 21, 2010 (inception) to March 31, 2011:</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Three months</w:t>
            </w:r>
          </w:p>
        </w:tc>
        <w:tc>
          <w:tcPr>
            <w:tcW w:w="80" w:type="dxa"/>
            <w:vAlign w:val="bottom"/>
          </w:tcPr>
          <w:p>
            <w:pPr>
              <w:spacing w:after="0"/>
              <w:rPr>
                <w:sz w:val="12"/>
                <w:szCs w:val="12"/>
                <w:color w:val="auto"/>
              </w:rPr>
            </w:pPr>
          </w:p>
        </w:tc>
        <w:tc>
          <w:tcPr>
            <w:tcW w:w="12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July 21,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March 31, 2011</w:t>
            </w:r>
          </w:p>
        </w:tc>
        <w:tc>
          <w:tcPr>
            <w:tcW w:w="8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March 31,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8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loss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(1,554.31)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Issuance of stock at prices above net asset value</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decrease in net assets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(1,554.31)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ind w:left="420"/>
              <w:spacing w:after="0"/>
              <w:rPr>
                <w:sz w:val="20"/>
                <w:szCs w:val="20"/>
                <w:color w:val="auto"/>
              </w:rPr>
            </w:pPr>
            <w:r>
              <w:rPr>
                <w:rFonts w:ascii="Arial" w:cs="Arial" w:eastAsia="Arial" w:hAnsi="Arial"/>
                <w:sz w:val="18"/>
                <w:szCs w:val="18"/>
                <w:color w:val="auto"/>
              </w:rPr>
              <w:t>Net asset value, end of period</w:t>
            </w: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vMerge w:val="continue"/>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(1,553.31)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(1,553.31)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Total Return </w:t>
            </w:r>
            <w:r>
              <w:rPr>
                <w:rFonts w:ascii="Arial" w:cs="Arial" w:eastAsia="Arial" w:hAnsi="Arial"/>
                <w:sz w:val="18"/>
                <w:szCs w:val="18"/>
                <w:color w:val="auto"/>
              </w:rPr>
              <w:t>(1)(2)</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(155,430.70)%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(155,430.70)%</w:t>
            </w:r>
          </w:p>
        </w:tc>
        <w:tc>
          <w:tcPr>
            <w:tcW w:w="0" w:type="dxa"/>
            <w:vAlign w:val="bottom"/>
          </w:tcPr>
          <w:p>
            <w:pPr>
              <w:spacing w:after="0"/>
              <w:rPr>
                <w:sz w:val="1"/>
                <w:szCs w:val="1"/>
                <w:color w:val="auto"/>
              </w:rPr>
            </w:pPr>
          </w:p>
        </w:tc>
      </w:tr>
      <w:tr>
        <w:trPr>
          <w:trHeight w:val="322"/>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Ratios / Supplemental Data</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 (liabilities) (2)</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Ratio of total expenses to average net assets (liabilities) (2)</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(200.26)%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(300.39)%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loss to average net assets (liabilities) (2)</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assets (liabilities), end of period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(1,553,307)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(1,553,307)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Total committed capital</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contributed capital to total committed capital</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Year of formation</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return is based on the change in net asset value per share during the respective periods.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240" w:lineRule="exact"/>
        <w:rPr>
          <w:sz w:val="20"/>
          <w:szCs w:val="20"/>
          <w:color w:val="auto"/>
        </w:rPr>
      </w:pPr>
    </w:p>
    <w:p>
      <w:pPr>
        <w:jc w:val="center"/>
        <w:ind w:right="9660" w:firstLine="8"/>
        <w:spacing w:after="0" w:line="417" w:lineRule="auto"/>
        <w:tabs>
          <w:tab w:leader="none" w:pos="176"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i w:val="1"/>
          <w:iCs w:val="1"/>
          <w:color w:val="auto"/>
        </w:rPr>
        <w:t>Subscription Agreements</w:t>
      </w:r>
    </w:p>
    <w:p>
      <w:pPr>
        <w:spacing w:after="0" w:line="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On April 15, 2011, the Company entered into subscription agreements with several investors, including the Adviser, providing for the private placement of the Company’s common shares. The commitments received provide the Company with sufficient liquidity to settle its liabilities and commence its lending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Agreement</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April 15, 2011, the Company entered into an Advisory Agreement (the “Advisory Agreement”) with the Adviser. Under the terms of the Advisory Agreement, the Adviser will:</w:t>
      </w:r>
    </w:p>
    <w:p>
      <w:pPr>
        <w:spacing w:after="0" w:line="51" w:lineRule="exact"/>
        <w:rPr>
          <w:sz w:val="20"/>
          <w:szCs w:val="20"/>
          <w:color w:val="auto"/>
        </w:rPr>
      </w:pPr>
    </w:p>
    <w:p>
      <w:pPr>
        <w:ind w:left="900" w:right="8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determine the composition of the Company’s portfolio, the nature and timing of the changes to the Company’s portfolio and the manner of implementing such changes;</w:t>
      </w:r>
    </w:p>
    <w:p>
      <w:pPr>
        <w:spacing w:after="0" w:line="5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 evaluate and negotiate the structure of the investments the Company makes (including performing due diligence on the Company’s prospective portfolio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determine the assets the Company will originate, purchase, retain or sell;</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close, monitor and administer the investments the Company makes, including the exercise of any rights in the Company’s capacity as a lender or equity holder;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provide the Company with such other investment advice, research and related services as the Company may, from time to time, require.</w:t>
      </w:r>
    </w:p>
    <w:p>
      <w:pPr>
        <w:spacing w:after="0" w:line="19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Adviser’s services under the Advisory Agreement are not exclusive, and the Adviser is free to furnish similar or other services to others so long as its services to the Company are not impaired.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Advisory Agreement, the Company will pay the Adviser a base management fee and may also pay to it certain incentive fees.</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Unless earlier terminated as described below, the Advisory Agreement will remain in effect until April 15, 2013 and from year to year thereafter if approved annually by (1) the vote of the Company’s Board of Directors, or by the vote of a majority of its outstanding voting securities, and (2) the vote of a majority of the Company’s directors who are not “interested persons” of the Company, of the Adviser or of any of their respective affiliates, as defined in the 1940 Act. The Advisory Agreement will automatically terminate in the event of assignment and may be terminated by either party without penalty upon at least 60 days’ written notice to the other party.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were incorporated under the laws of the State of Delaware on July 21, 2010. We have elected to be treated as a BDC under the 1940 Act, and intend to elect to be treated as a RIC for federal income tax purposes. As such, we will be required to comply with various regulatory requirements, such as the requirement to invest at least 70% of our assets in “qualifying assets,” source of income limitations, asset diversification requirements, and the requirement to distribute annually at least 90% of our taxable income and tax-exempt interest.</w:t>
      </w:r>
    </w:p>
    <w:p>
      <w:pPr>
        <w:spacing w:after="0" w:line="14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are currently in the development stage and have not commenced commercial operations. Since inception, there has been no activity other than (1) an initial $1,000 capital contribution received from Tarrant Advisors, Inc., an affiliate of the Company and our initial shareholder, in exchange for 1,000 shares of our common stock; and (2) the accrual of certain initial organization and operating expenses.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2011, there has been no formal commitment of external capital. See discussion under “Recent Developments” that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As we are currently in the development stage, there have been no revenues earned during the quarter ended March 31, 2011 and the period from July 21, 2010 (inception) through March 31, 2011.</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plan to generate revenues in the form of interest income from the debt securities we hold and dividends and capital appreciation on either direct equity investments or equity interests obtained in connection with originating loans, such as options, warrants or conversion rights. We expect most of the debt securities we will hold will be floating rate in nature. The debt we invest in will typically not be rated by any rating agency, but if it were, it is likely that such debt would be below investment grade. We intend to structure our debt investments with interest payable quarterly, semi-annually or annually, but we may structure certain investments with terms to provide for longer interest payment periods or to allow interest to be paid by adding amounts due to the principal balance of the loan, resulting in deferred cash receipts. In addition, we may also generate revenue in the form of commitment, loan origination, structuring or diligence fees, fees for providing managerial assistance to our portfolio companies, and possibly consulting fees. Certain of these fees may be capitalized and amortized as additional interest income over the life of the related loan.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Expenses for the quarter ended March 31, 2011 consist of $1.5 million of initial organization and operating costs for which we are required to reimburse the Adviser in accordance with the Administration Agreement. We have also accrued for operating expenses, including director fee expenses of $22,833 and other direct expenses of $31,474, mainly consisting of a proration of directors’ and officers’ insurance policy premiums and the BDC-required fidelity bond premium. All such expenses are payable to our Adviser at March 31,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may, but are not required to, enter into interest rate, foreign exchange or other derivative agreements to hedge interest rate, currency, credit or other risks, but we do not generally intend to enter into any such derivative agreements for speculative purposes. Any derivative agreements entered into for speculative purposes are not expected to be material to the Company’s business or results of operations. These hedging activities, which will be in compliance with applicable legal and regulatory requirements, may include the use of futures, options and forward contracts. We will bear the costs incurred in connection with entering into, administering and settling any such derivative contracts. There can be no assurance any hedging strategy we employ will be successful.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did not enter into any interest rate, foreign exchange or other derivative agreements during the quarter ended March 31,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Condition, Liquidity and Capital Resources</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we have not yet commenced commercial activities, the only transactions to date have been the receipt of an initial capital contribution of $1,000 from Tarrant Advisors, Inc., an affiliate of the Company and our initial shareholder, in exchange for 1,000 shares of our securities and the recording of certain initial organization and directors’ fees and other expenses.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expect to generate cash from (1) future offerings of our common or preferred stock, (2) cash flows from operations and (3) borrowings from banks or other lenders. We will seek to enter into any bank debt, credit facility or other financing arrangements on at least customary market terms; however, we cannot assure we will be able to do so.</w:t>
      </w:r>
    </w:p>
    <w:p>
      <w:pPr>
        <w:spacing w:after="0" w:line="14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Our primary use of cash will be for (1) investments in portfolio companies and other investments to comply with certain portfolio diversification requirements, (2) the cost of operations (including paying the Adviser), (3) debt service and other financing costs and (4) cash distributions to the holders of our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Economic Environment</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U.S. capital markets have been experiencing extreme volatility and disruption for more than two years, and we believe that the U.S. economy has not fully emerged from a period of recession. Disruptions in the capital markets have increased the spread between the yields realized on risk-free and higher risk securities, resulting in illiquidity in parts of the capital markets. We believe these conditions may continue for a prolonged period of time or worsen in the future. A prolonged period of market illiquidity may have an adverse effect on our business, financial condition and results of operations. Unfavorable economic conditions could also increase our portfolio companies’ funding costs, limit their access to the capital markets or result in a decision by lenders not to extend credit to them. These events could limit our investment originations, limit their ability to grow, negatively impact our operating results, and delay or prevent us from launching or completing an IPO of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Subscription Agreements</w:t>
      </w:r>
    </w:p>
    <w:p>
      <w:pPr>
        <w:spacing w:after="0" w:line="9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On April 15, 2011, the Company entered into subscription agreements with several investors, including the Adviser, providing for the private placement of the Company’s common shares. The commitments received provide the Company with sufficient liquidity to settle its liabilities and commence its lending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Advisory Agreement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On April 15, 2011, the Company entered into the Advisory Agreement with the Adviser. Under the terms of the Advisory Agreement, the Adviser will:</w:t>
      </w:r>
    </w:p>
    <w:p>
      <w:pPr>
        <w:spacing w:after="0" w:line="113" w:lineRule="exact"/>
        <w:rPr>
          <w:sz w:val="20"/>
          <w:szCs w:val="20"/>
          <w:color w:val="auto"/>
        </w:rPr>
      </w:pPr>
    </w:p>
    <w:p>
      <w:pPr>
        <w:ind w:left="900" w:right="7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determine the composition of the Company’s portfolio, the nature and timing of the changes to the Company’s portfolio and the manner of implementing such changes;</w:t>
      </w:r>
    </w:p>
    <w:p>
      <w:pPr>
        <w:spacing w:after="0" w:line="5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identify, evaluate and negotiate the structure of the investments the Company makes (including performing due diligence on the Company’s prospective portfolio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determine the assets the Company will originate, purchase, retain or sell;</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close, monitor and administer the investments the Company makes, including the exercise of any rights in the Company’s capacity as a lender or equity holder;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provide the Company with such other investment advice, research and related services as the Company may, from time to time, require.</w:t>
      </w:r>
    </w:p>
    <w:p>
      <w:pPr>
        <w:spacing w:after="0" w:line="19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Adviser’s services under the Advisory Agreement are not exclusive, and the Adviser is free to furnish similar or other services to others so long as its services to the Company are not impaired.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Advisory Agreement, the Company will pay the Adviser a base management fee and may also pay to it certain incentive fees.</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Unless earlier terminated as described below, the Advisory Agreement will remain in effect until April 15, 2013 and from year to year thereafter if approved annually by (1) the vote of the Company’s Board of Directors, or by the vote of a majority of its outstanding voting securities, and (2) the vote of a majority of the Company’s directors who are not “interested persons” of the Company, of the Adviser or of any of their respective affiliates, as defined in the 1940 Act. The Advisory Agreement will automatically terminate in the event of assignment and may be terminated by either party without penalty upon at least 60 days’ written notice to the other party.</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will be subject to financial market risks, including changes in interest rates. We plan to invest primarily in illiquid debt and equity securities of private companies. Most of our investments will not have a readily available market price, and we will value these investments at fair value as determined in good faith by the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Securities Exchange Act of 1934).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Securities Exchange Act of 1934.</w:t>
      </w:r>
    </w:p>
    <w:p>
      <w:pPr>
        <w:spacing w:after="0" w:line="1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are not currently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loans to or other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previously disclosed in our Registration Statement on Form 10.</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00"/>
          </w:cols>
          <w:pgMar w:left="240" w:top="459" w:right="259" w:bottom="1440" w:gutter="0" w:footer="0" w:header="0"/>
        </w:sect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Defaults Upon Senior Securities</w:t>
      </w:r>
    </w:p>
    <w:p>
      <w:pPr>
        <w:spacing w:after="0" w:line="130" w:lineRule="exact"/>
        <w:rPr>
          <w:sz w:val="20"/>
          <w:szCs w:val="20"/>
          <w:color w:val="auto"/>
        </w:rPr>
      </w:pPr>
    </w:p>
    <w:p>
      <w:pPr>
        <w:sectPr>
          <w:pgSz w:w="11900" w:h="16838" w:orient="portrait"/>
          <w:cols w:equalWidth="0" w:num="2">
            <w:col w:w="540" w:space="500"/>
            <w:col w:w="103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400"/>
          </w:cols>
          <w:pgMar w:left="240" w:top="459" w:right="259" w:bottom="1440" w:gutter="0" w:footer="0" w:header="0"/>
          <w:type w:val="continuous"/>
        </w:sect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Information</w:t>
      </w:r>
    </w:p>
    <w:p>
      <w:pPr>
        <w:spacing w:after="0" w:line="119" w:lineRule="exact"/>
        <w:rPr>
          <w:sz w:val="20"/>
          <w:szCs w:val="20"/>
          <w:color w:val="auto"/>
        </w:rPr>
      </w:pPr>
    </w:p>
    <w:p>
      <w:pPr>
        <w:sectPr>
          <w:pgSz w:w="11900" w:h="16838" w:orient="portrait"/>
          <w:cols w:equalWidth="0" w:num="2">
            <w:col w:w="540" w:space="500"/>
            <w:col w:w="103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400"/>
          </w:cols>
          <w:pgMar w:left="240" w:top="459" w:right="259" w:bottom="1440" w:gutter="0" w:footer="0" w:header="0"/>
          <w:type w:val="continuous"/>
        </w:sect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Exhibits.</w:t>
      </w:r>
    </w:p>
    <w:p>
      <w:pPr>
        <w:spacing w:after="0" w:line="124" w:lineRule="exact"/>
        <w:rPr>
          <w:sz w:val="20"/>
          <w:szCs w:val="20"/>
          <w:color w:val="auto"/>
        </w:rPr>
      </w:pPr>
    </w:p>
    <w:p>
      <w:pPr>
        <w:sectPr>
          <w:pgSz w:w="11900" w:h="16838" w:orient="portrait"/>
          <w:cols w:equalWidth="0" w:num="2">
            <w:col w:w="540" w:space="500"/>
            <w:col w:w="10360"/>
          </w:cols>
          <w:pgMar w:left="240" w:top="459" w:right="259" w:bottom="1440" w:gutter="0" w:footer="0" w:header="0"/>
          <w:type w:val="continuous"/>
        </w:sect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8" w:lineRule="exact"/>
        <w:rPr>
          <w:sz w:val="20"/>
          <w:szCs w:val="20"/>
          <w:color w:val="auto"/>
        </w:rPr>
      </w:pPr>
    </w:p>
    <w:p>
      <w:pPr>
        <w:ind w:left="800" w:right="300" w:hanging="637"/>
        <w:spacing w:after="0" w:line="268" w:lineRule="auto"/>
        <w:tabs>
          <w:tab w:leader="none" w:pos="7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 (incorporated by reference to Exhibit 3.1 to the Company’s Registration Statement on Form 10 filed on March 14, 2011).</w:t>
      </w:r>
    </w:p>
    <w:p>
      <w:pPr>
        <w:spacing w:after="0" w:line="78"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Bylaws (incorporated by reference to Exhibit 3.2 to the Company’s Registration Statement on Form 10 filed on March 14, 2011).</w:t>
      </w:r>
    </w:p>
    <w:p>
      <w:pPr>
        <w:spacing w:after="0" w:line="117" w:lineRule="exact"/>
        <w:rPr>
          <w:sz w:val="20"/>
          <w:szCs w:val="20"/>
          <w:color w:val="auto"/>
        </w:rPr>
      </w:pPr>
    </w:p>
    <w:p>
      <w:pPr>
        <w:ind w:left="800" w:right="40" w:hanging="725"/>
        <w:spacing w:after="0" w:line="268" w:lineRule="auto"/>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Administration Agreement, dated as of March 15, 2011, between the Company and the Administrator (incorporated by reference to Exhibit 10.1 to the Company’s Current Report on Form 8-K filed on March 15, 2011).</w:t>
      </w:r>
    </w:p>
    <w:p>
      <w:pPr>
        <w:spacing w:after="0" w:line="78" w:lineRule="exact"/>
        <w:rPr>
          <w:sz w:val="20"/>
          <w:szCs w:val="20"/>
          <w:color w:val="auto"/>
        </w:rPr>
      </w:pPr>
    </w:p>
    <w:p>
      <w:pPr>
        <w:ind w:left="60"/>
        <w:spacing w:after="0"/>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302 of the Sarbanes-Oxley Act of 2002.</w:t>
      </w:r>
    </w:p>
    <w:p>
      <w:pPr>
        <w:spacing w:after="0" w:line="117" w:lineRule="exact"/>
        <w:rPr>
          <w:sz w:val="20"/>
          <w:szCs w:val="20"/>
          <w:color w:val="auto"/>
        </w:rPr>
      </w:pPr>
    </w:p>
    <w:p>
      <w:pPr>
        <w:ind w:left="60"/>
        <w:spacing w:after="0"/>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302 of the Sarbanes-Oxley Act of 2002.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760" w:hanging="698"/>
        <w:spacing w:after="0"/>
        <w:tabs>
          <w:tab w:leader="none" w:pos="7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Certification of CEO and CFO Pursuant to 18 U.S.C. Section 1350, as Adopted Pursuant to Section 906 of the Sarbanes-Oxley Act of 2002.</w:t>
      </w:r>
    </w:p>
    <w:p>
      <w:pPr>
        <w:spacing w:after="0" w:line="192" w:lineRule="exact"/>
        <w:rPr>
          <w:rFonts w:ascii="Arial" w:cs="Arial" w:eastAsia="Arial" w:hAnsi="Arial"/>
          <w:sz w:val="15"/>
          <w:szCs w:val="15"/>
          <w:color w:val="auto"/>
        </w:rPr>
      </w:pPr>
    </w:p>
    <w:p>
      <w:pPr>
        <w:ind w:left="5620"/>
        <w:spacing w:after="0"/>
        <w:rPr>
          <w:rFonts w:ascii="Arial" w:cs="Arial" w:eastAsia="Arial" w:hAnsi="Arial"/>
          <w:sz w:val="15"/>
          <w:szCs w:val="15"/>
          <w:color w:val="auto"/>
        </w:rPr>
      </w:pPr>
      <w:r>
        <w:rPr>
          <w:rFonts w:ascii="Arial" w:cs="Arial" w:eastAsia="Arial" w:hAnsi="Arial"/>
          <w:sz w:val="18"/>
          <w:szCs w:val="18"/>
          <w:color w:val="auto"/>
        </w:rPr>
        <w:t>15</w:t>
      </w:r>
    </w:p>
    <w:p>
      <w:pPr>
        <w:sectPr>
          <w:pgSz w:w="11900" w:h="16838" w:orient="portrait"/>
          <w:cols w:equalWidth="0" w:num="1">
            <w:col w:w="10600"/>
          </w:cols>
          <w:pgMar w:left="240" w:top="459" w:right="10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TPG SPECIALTY LENDING, INC.</w:t>
      </w:r>
    </w:p>
    <w:p>
      <w:pPr>
        <w:sectPr>
          <w:pgSz w:w="11900" w:h="16838" w:orient="portrait"/>
          <w:cols w:equalWidth="0" w:num="1">
            <w:col w:w="10940"/>
          </w:cols>
          <w:pgMar w:left="240" w:top="459" w:right="719" w:bottom="1440" w:gutter="0" w:footer="0" w:header="0"/>
        </w:sectPr>
      </w:pP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May 13, 2011</w:t>
      </w:r>
      <w:r>
        <w:rPr>
          <w:sz w:val="20"/>
          <w:szCs w:val="20"/>
          <w:color w:val="auto"/>
        </w:rPr>
        <w:tab/>
      </w:r>
      <w:r>
        <w:rPr>
          <w:rFonts w:ascii="Arial" w:cs="Arial" w:eastAsia="Arial" w:hAnsi="Arial"/>
          <w:sz w:val="16"/>
          <w:szCs w:val="16"/>
          <w:color w:val="auto"/>
        </w:rPr>
        <w:t>By:</w:t>
      </w:r>
    </w:p>
    <w:p>
      <w:pPr>
        <w:spacing w:after="0" w:line="200" w:lineRule="exact"/>
        <w:rPr>
          <w:sz w:val="20"/>
          <w:szCs w:val="20"/>
          <w:color w:val="auto"/>
        </w:rPr>
      </w:pPr>
    </w:p>
    <w:p>
      <w:pPr>
        <w:spacing w:after="0" w:line="322"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May 13, 2011</w:t>
      </w:r>
      <w:r>
        <w:rPr>
          <w:sz w:val="20"/>
          <w:szCs w:val="20"/>
          <w:color w:val="auto"/>
        </w:rPr>
        <w:tab/>
      </w:r>
      <w:r>
        <w:rPr>
          <w:rFonts w:ascii="Arial" w:cs="Arial" w:eastAsia="Arial" w:hAnsi="Arial"/>
          <w:sz w:val="16"/>
          <w:szCs w:val="16"/>
          <w:color w:val="auto"/>
        </w:rPr>
        <w:t>By:</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/s/</w:t>
      </w:r>
      <w:r>
        <w:rPr>
          <w:sz w:val="20"/>
          <w:szCs w:val="20"/>
          <w:color w:val="auto"/>
        </w:rPr>
        <w:tab/>
      </w:r>
      <w:r>
        <w:rPr>
          <w:rFonts w:ascii="Arial" w:cs="Arial" w:eastAsia="Arial" w:hAnsi="Arial"/>
          <w:sz w:val="12"/>
          <w:szCs w:val="12"/>
          <w:b w:val="1"/>
          <w:bCs w:val="1"/>
          <w:color w:val="auto"/>
        </w:rPr>
        <w:t>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-1250315</wp:posOffset>
            </wp:positionH>
            <wp:positionV relativeFrom="paragraph">
              <wp:posOffset>0</wp:posOffset>
            </wp:positionV>
            <wp:extent cx="34734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4"/>
          <w:szCs w:val="14"/>
          <w:b w:val="1"/>
          <w:bCs w:val="1"/>
          <w:color w:val="auto"/>
        </w:rPr>
        <w:t>Michael Fishman</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Chief Executive Officer</w:t>
      </w:r>
    </w:p>
    <w:p>
      <w:pPr>
        <w:spacing w:after="0" w:line="253" w:lineRule="exact"/>
        <w:rPr>
          <w:sz w:val="20"/>
          <w:szCs w:val="20"/>
          <w:color w:val="auto"/>
        </w:rPr>
      </w:pPr>
    </w:p>
    <w:p>
      <w:pPr>
        <w:ind w:left="120"/>
        <w:spacing w:after="0"/>
        <w:tabs>
          <w:tab w:leader="none" w:pos="360" w:val="left"/>
        </w:tabs>
        <w:rPr>
          <w:sz w:val="20"/>
          <w:szCs w:val="20"/>
          <w:color w:val="auto"/>
        </w:rPr>
      </w:pPr>
      <w:r>
        <w:rPr>
          <w:rFonts w:ascii="Arial" w:cs="Arial" w:eastAsia="Arial" w:hAnsi="Arial"/>
          <w:sz w:val="14"/>
          <w:szCs w:val="14"/>
          <w:b w:val="1"/>
          <w:bCs w:val="1"/>
          <w:color w:val="auto"/>
        </w:rPr>
        <w:t>/s/</w:t>
      </w:r>
      <w:r>
        <w:rPr>
          <w:sz w:val="20"/>
          <w:szCs w:val="20"/>
          <w:color w:val="auto"/>
        </w:rPr>
        <w:tab/>
      </w:r>
      <w:r>
        <w:rPr>
          <w:rFonts w:ascii="Arial" w:cs="Arial" w:eastAsia="Arial" w:hAnsi="Arial"/>
          <w:sz w:val="12"/>
          <w:szCs w:val="12"/>
          <w:b w:val="1"/>
          <w:bCs w:val="1"/>
          <w:color w:val="auto"/>
        </w:rPr>
        <w:t>John E.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-1250315</wp:posOffset>
            </wp:positionH>
            <wp:positionV relativeFrom="paragraph">
              <wp:posOffset>0</wp:posOffset>
            </wp:positionV>
            <wp:extent cx="34734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4"/>
          <w:szCs w:val="14"/>
          <w:b w:val="1"/>
          <w:bCs w:val="1"/>
          <w:color w:val="auto"/>
        </w:rPr>
        <w:t>John E. Viola</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Chief Financial Officer</w:t>
      </w:r>
    </w:p>
    <w:p>
      <w:pPr>
        <w:sectPr>
          <w:pgSz w:w="11900" w:h="16838" w:orient="portrait"/>
          <w:cols w:equalWidth="0" w:num="2">
            <w:col w:w="7200" w:space="720"/>
            <w:col w:w="3020"/>
          </w:cols>
          <w:pgMar w:left="240" w:top="459" w:right="719" w:bottom="144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Fishman, certify that:</w:t>
      </w:r>
    </w:p>
    <w:p>
      <w:pPr>
        <w:spacing w:after="0" w:line="9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5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320" w:hanging="567"/>
        <w:spacing w:after="0" w:line="259"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May 13, 2011</w:t>
      </w:r>
      <w:r>
        <w:rPr>
          <w:sz w:val="20"/>
          <w:szCs w:val="20"/>
          <w:color w:val="auto"/>
        </w:rPr>
        <w:tab/>
      </w:r>
      <w:r>
        <w:rPr>
          <w:rFonts w:ascii="Arial" w:cs="Arial" w:eastAsia="Arial" w:hAnsi="Arial"/>
          <w:sz w:val="16"/>
          <w:szCs w:val="16"/>
          <w:color w:val="auto"/>
        </w:rPr>
        <w:t>By: /s/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Michael Fishman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E. Viola, certify that:</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5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320" w:hanging="567"/>
        <w:spacing w:after="0" w:line="259"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May 13, 2011</w:t>
      </w:r>
      <w:r>
        <w:rPr>
          <w:sz w:val="20"/>
          <w:szCs w:val="20"/>
          <w:color w:val="auto"/>
        </w:rPr>
        <w:tab/>
      </w:r>
      <w:r>
        <w:rPr>
          <w:rFonts w:ascii="Arial" w:cs="Arial" w:eastAsia="Arial" w:hAnsi="Arial"/>
          <w:sz w:val="16"/>
          <w:szCs w:val="16"/>
          <w:color w:val="auto"/>
        </w:rPr>
        <w:t>By: /s/ John E.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John E. Viola</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In connection with the Quarterly Report on Form 10-Q of TPG Specialty Lending, Inc. (the “Company”) for the quarter ended March 31, 2011 as filed with the Securities and Exchange Commission on the date hereof (the “Report”), Michael Fishman, as Chief Executive Officer of the Company, and John Viola, as Chief Financial Officer of the Company, each hereby certifies, pursuant to 18 U.S.C. § 1350, as adopted pursuant to § 906 of the Sarbanes-Oxley Act of 2002, that:</w:t>
      </w:r>
    </w:p>
    <w:p>
      <w:pPr>
        <w:spacing w:after="0" w:line="107"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Michael Fishman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0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Michael Fishman</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100"/>
              <w:spacing w:after="0"/>
              <w:rPr>
                <w:sz w:val="20"/>
                <w:szCs w:val="20"/>
                <w:color w:val="auto"/>
              </w:rPr>
            </w:pPr>
            <w:r>
              <w:rPr>
                <w:rFonts w:ascii="Arial" w:cs="Arial" w:eastAsia="Arial" w:hAnsi="Arial"/>
                <w:sz w:val="18"/>
                <w:szCs w:val="18"/>
                <w:color w:val="auto"/>
              </w:rPr>
              <w:t>May 13, 2011</w:t>
            </w:r>
          </w:p>
        </w:tc>
      </w:tr>
      <w:tr>
        <w:trPr>
          <w:trHeight w:val="433"/>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E. Viola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020" w:type="dxa"/>
            <w:vAlign w:val="bottom"/>
          </w:tcPr>
          <w:p>
            <w:pPr>
              <w:ind w:left="100"/>
              <w:spacing w:after="0"/>
              <w:rPr>
                <w:sz w:val="20"/>
                <w:szCs w:val="20"/>
                <w:color w:val="auto"/>
              </w:rPr>
            </w:pPr>
            <w:r>
              <w:rPr>
                <w:rFonts w:ascii="Arial" w:cs="Arial" w:eastAsia="Arial" w:hAnsi="Arial"/>
                <w:sz w:val="18"/>
                <w:szCs w:val="18"/>
                <w:color w:val="auto"/>
              </w:rPr>
              <w:t>John E. Viola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100"/>
              <w:spacing w:after="0"/>
              <w:rPr>
                <w:sz w:val="20"/>
                <w:szCs w:val="20"/>
                <w:color w:val="auto"/>
              </w:rPr>
            </w:pPr>
            <w:r>
              <w:rPr>
                <w:rFonts w:ascii="Arial" w:cs="Arial" w:eastAsia="Arial" w:hAnsi="Arial"/>
                <w:sz w:val="18"/>
                <w:szCs w:val="18"/>
                <w:color w:val="auto"/>
              </w:rPr>
              <w:t>May 13, 2011</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8"/>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32"/>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2019-12-11T09:35:34Z</dcterms:created>
  <dcterms:modified xsi:type="dcterms:W3CDTF">2019-12-11T09:35:34Z</dcterms:modified>
</cp:coreProperties>
</file>