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3, 2022, the registrant issued a press release announcing its financial results for the quarter ended March 31, 2022.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May 3, 2022, the registrant issued a press release, included herewith as Exhibit 99.1, announcing the declaration of a second quarter 2022 base dividend per share of $0.41 to shareholders of record as of June 15, 2022, payable on July 15, 2022, and a first quarter 2022 supplemental dividend per share of $0.04 to shareholders of record as of May 31, 2022, payable on June 30,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p>
        </w:tc>
        <w:tc>
          <w:tcPr>
            <w:tcW w:w="7760" w:type="dxa"/>
            <w:vAlign w:val="bottom"/>
            <w:gridSpan w:val="2"/>
          </w:tcPr>
          <w:p>
            <w:pPr>
              <w:ind w:left="21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3, 2022</w:t>
            </w:r>
          </w:p>
        </w:tc>
        <w:tc>
          <w:tcPr>
            <w:tcW w:w="7760" w:type="dxa"/>
            <w:vAlign w:val="bottom"/>
            <w:gridSpan w:val="2"/>
          </w:tcPr>
          <w:p>
            <w:pPr>
              <w:ind w:left="2140"/>
              <w:spacing w:after="0"/>
              <w:rPr>
                <w:sz w:val="20"/>
                <w:szCs w:val="20"/>
                <w:color w:val="auto"/>
              </w:rPr>
            </w:pPr>
            <w:r>
              <w:rPr>
                <w:rFonts w:ascii="Arial" w:cs="Arial" w:eastAsia="Arial" w:hAnsi="Arial"/>
                <w:sz w:val="18"/>
                <w:szCs w:val="18"/>
                <w:color w:val="auto"/>
              </w:rPr>
              <w:t>By: /s/ Ian Simmonds</w:t>
            </w:r>
          </w:p>
        </w:tc>
      </w:tr>
      <w:tr>
        <w:trPr>
          <w:trHeight w:val="195"/>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FIRST QUARTER 2022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Sixth Street Specialty Lending, Inc. Reports First Quarter Adjusted Net Investment Income Per Share of $0.49 and NAV Per Share of $16.88; Declares a Second Quarter Base Dividend Per Share of $0.41 and a First Quarter Supplemental Dividend Per Share of $0.04</w:t>
      </w:r>
    </w:p>
    <w:p>
      <w:pPr>
        <w:spacing w:after="0" w:line="5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NEW YORK—May 3, 2022— Sixth Street Specialty Lending, Inc. (NYSE: TSLX, or the “Company”) today reported adjusted net investment income of $0.49 per share and adjusted net income of $0.56 per share for the first quarter ended March 31, 2022. These results correspond to an annualized return on equity (ROE) on adjusted net investment income and adjusted net income of 11.6% and 13.2%,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57150</wp:posOffset>
            </wp:positionV>
            <wp:extent cx="234886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Both adjusted net investment income per share and adjusted net income per share exclude approximately $0.02 per share of capital gains incentive fee expenses that were accrued, but not paid or payable, related to cumulative unrealized capital gains in excess of cumulative net realized capital gains less any cumulative unrealized losses and capital gains incentive fees paid inception-to-date. Including the impact of the accrued capital gains incentive fee expenses, the Company’s net investment income and net income for the quarter ended March 31, 2022, were $35.7 million, or $0.47 per share, and $40.9 million, or $0.54 per share, respectively. The Company’s strong net investment income in the first quarter reflects continued strength of the core earnings power of its portfolio. Net investment income was supported by fee income from portfolio activity, alongside interest and dividend income levels driven by sustained portfolio yields.</w:t>
      </w:r>
    </w:p>
    <w:p>
      <w:pPr>
        <w:spacing w:after="0" w:line="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Reported net asset value (NAV) per share was $16.88 at March 31, 2022 as compared to $16.84 or a pro forma NAV per share of $16.73 at December 31, 2021 (which accounts for the impact of the $0.11 per share fourth quarter 2021 supplemental dividend). The drivers of this quarter’s NAV per share growth were primarily the continued overearning of the Company’s base quarterly dividend and net realized and unrealized gains related to portfolio-company specific events.</w:t>
      </w:r>
    </w:p>
    <w:p>
      <w:pPr>
        <w:spacing w:after="0" w:line="5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announced that its Board of Directors has declared a second quarter 2022 base dividend of $0.41 per share to shareholders of record as of June 15, 2022, payable on July 15, 2022, and a first quarter supplemental dividend of $0.04 per share to shareholders of record as of May 31, 2022, payable on June 30, 2022. Adjusted for the impact of the supplemental dividend related to this quarter’s earnings, the Company’s Q1 pro forma NAV per share was $16.84.</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25, 2022, the Company completed an amendment to its Revolving Credit Facility, which, among other changes, (a) increased the aggregate commitments under the facility from $1.510 billion to $1.585 billion, (b) extended the stated maturity date to April 23, 2027 for $1.510 billion of commitments, (c) removed the minimum borrower net worth and liquidity test financial covenants and (d) updated and modified terms and provisions of the facility to reflect alternative reference rates based on term Secured Overnight Financing Rate for loans denominated in U.S. dollars.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2348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$0.49</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$0.47</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1"/>
              </w:rPr>
              <w:t>Net Income Per Share</w:t>
            </w:r>
          </w:p>
        </w:tc>
        <w:tc>
          <w:tcPr>
            <w:tcW w:w="860" w:type="dxa"/>
            <w:vAlign w:val="bottom"/>
            <w:shd w:val="clear" w:color="auto" w:fill="0F2F50"/>
          </w:tcPr>
          <w:p>
            <w:pPr>
              <w:spacing w:after="0"/>
              <w:rPr>
                <w:sz w:val="24"/>
                <w:szCs w:val="24"/>
                <w:color w:val="auto"/>
              </w:rPr>
            </w:pPr>
          </w:p>
        </w:tc>
      </w:tr>
      <w:tr>
        <w:trPr>
          <w:trHeight w:val="108"/>
        </w:trPr>
        <w:tc>
          <w:tcPr>
            <w:tcW w:w="320" w:type="dxa"/>
            <w:vAlign w:val="bottom"/>
            <w:shd w:val="clear" w:color="auto" w:fill="0F2F50"/>
          </w:tcPr>
          <w:p>
            <w:pPr>
              <w:spacing w:after="0"/>
              <w:rPr>
                <w:sz w:val="9"/>
                <w:szCs w:val="9"/>
                <w:color w:val="auto"/>
              </w:rPr>
            </w:pPr>
          </w:p>
        </w:tc>
        <w:tc>
          <w:tcPr>
            <w:tcW w:w="400" w:type="dxa"/>
            <w:vAlign w:val="bottom"/>
            <w:shd w:val="clear" w:color="auto" w:fill="0F2F50"/>
          </w:tcPr>
          <w:p>
            <w:pPr>
              <w:spacing w:after="0"/>
              <w:rPr>
                <w:sz w:val="9"/>
                <w:szCs w:val="9"/>
                <w:color w:val="auto"/>
              </w:rPr>
            </w:pPr>
          </w:p>
        </w:tc>
        <w:tc>
          <w:tcPr>
            <w:tcW w:w="2120" w:type="dxa"/>
            <w:vAlign w:val="bottom"/>
            <w:shd w:val="clear" w:color="auto" w:fill="0F2F50"/>
          </w:tcPr>
          <w:p>
            <w:pPr>
              <w:spacing w:after="0"/>
              <w:rPr>
                <w:sz w:val="9"/>
                <w:szCs w:val="9"/>
                <w:color w:val="auto"/>
              </w:rPr>
            </w:pPr>
          </w:p>
        </w:tc>
        <w:tc>
          <w:tcPr>
            <w:tcW w:w="860" w:type="dxa"/>
            <w:vAlign w:val="bottom"/>
            <w:shd w:val="clear" w:color="auto" w:fill="0F2F50"/>
          </w:tcPr>
          <w:p>
            <w:pPr>
              <w:spacing w:after="0"/>
              <w:rPr>
                <w:sz w:val="9"/>
                <w:szCs w:val="9"/>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$0.56</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$0.54</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30"/>
              <w:spacing w:after="0"/>
              <w:rPr>
                <w:sz w:val="20"/>
                <w:szCs w:val="20"/>
                <w:color w:val="auto"/>
              </w:rPr>
            </w:pPr>
            <w:r>
              <w:rPr>
                <w:rFonts w:ascii="Arial" w:cs="Arial" w:eastAsia="Arial" w:hAnsi="Arial"/>
                <w:sz w:val="18"/>
                <w:szCs w:val="18"/>
                <w:b w:val="1"/>
                <w:bCs w:val="1"/>
                <w:color w:val="FFFFFF"/>
                <w:w w:val="94"/>
              </w:rPr>
              <w:t>Annualized ROE</w:t>
            </w:r>
          </w:p>
        </w:tc>
        <w:tc>
          <w:tcPr>
            <w:tcW w:w="86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120" w:type="dxa"/>
            <w:vAlign w:val="bottom"/>
            <w:tcBorders>
              <w:bottom w:val="single" w:sz="8" w:color="D9DDE1"/>
            </w:tcBorders>
          </w:tcPr>
          <w:p>
            <w:pPr>
              <w:spacing w:after="0"/>
              <w:rPr>
                <w:sz w:val="9"/>
                <w:szCs w:val="9"/>
                <w:color w:val="auto"/>
              </w:rPr>
            </w:pPr>
          </w:p>
        </w:tc>
        <w:tc>
          <w:tcPr>
            <w:tcW w:w="860" w:type="dxa"/>
            <w:vAlign w:val="bottom"/>
            <w:tcBorders>
              <w:bottom w:val="single" w:sz="8" w:color="D9DDE1"/>
            </w:tcBorders>
          </w:tcPr>
          <w:p>
            <w:pPr>
              <w:spacing w:after="0"/>
              <w:rPr>
                <w:sz w:val="9"/>
                <w:szCs w:val="9"/>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9"/>
              </w:rPr>
              <w:t>NAV</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1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$1,284.0</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120" w:type="dxa"/>
            <w:vAlign w:val="bottom"/>
            <w:tcBorders>
              <w:bottom w:val="single" w:sz="8" w:color="D9DDE1"/>
            </w:tcBorders>
          </w:tcPr>
          <w:p>
            <w:pPr>
              <w:spacing w:after="0"/>
              <w:rPr>
                <w:sz w:val="8"/>
                <w:szCs w:val="8"/>
                <w:color w:val="auto"/>
              </w:rPr>
            </w:pPr>
          </w:p>
        </w:tc>
        <w:tc>
          <w:tcPr>
            <w:tcW w:w="86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$16.88</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5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2022</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 PF):</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2348865" cy="24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340"/>
            <w:col w:w="3720"/>
          </w:cols>
          <w:pgMar w:left="320" w:top="121" w:right="319" w:bottom="1440" w:gutter="0" w:footer="0" w:header="0"/>
          <w:type w:val="continuous"/>
        </w:sectPr>
      </w:pPr>
    </w:p>
    <w:p>
      <w:pPr>
        <w:spacing w:after="0" w:line="146"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FFFFFF"/>
        </w:rPr>
        <w:t>Dividends Declared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Arial" w:cs="Arial" w:eastAsia="Arial" w:hAnsi="Arial"/>
                <w:sz w:val="18"/>
                <w:szCs w:val="18"/>
                <w:b w:val="1"/>
                <w:bCs w:val="1"/>
                <w:color w:val="auto"/>
              </w:rPr>
              <w:t>Q1 2022 (Base):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20" w:type="dxa"/>
            <w:vAlign w:val="bottom"/>
          </w:tcPr>
          <w:p>
            <w:pPr>
              <w:spacing w:after="0"/>
              <w:rPr>
                <w:sz w:val="20"/>
                <w:szCs w:val="20"/>
                <w:color w:val="auto"/>
              </w:rPr>
            </w:pPr>
          </w:p>
        </w:tc>
      </w:tr>
      <w:tr>
        <w:trPr>
          <w:trHeight w:val="54"/>
        </w:trPr>
        <w:tc>
          <w:tcPr>
            <w:tcW w:w="7540" w:type="dxa"/>
            <w:vAlign w:val="bottom"/>
          </w:tcPr>
          <w:p>
            <w:pPr>
              <w:spacing w:after="0"/>
              <w:rPr>
                <w:sz w:val="4"/>
                <w:szCs w:val="4"/>
                <w:color w:val="auto"/>
              </w:rPr>
            </w:pPr>
          </w:p>
        </w:tc>
        <w:tc>
          <w:tcPr>
            <w:tcW w:w="2720" w:type="dxa"/>
            <w:vAlign w:val="bottom"/>
            <w:tcBorders>
              <w:bottom w:val="single" w:sz="8" w:color="D9DDE1"/>
            </w:tcBorders>
          </w:tcPr>
          <w:p>
            <w:pPr>
              <w:spacing w:after="0"/>
              <w:rPr>
                <w:sz w:val="4"/>
                <w:szCs w:val="4"/>
                <w:color w:val="auto"/>
              </w:rPr>
            </w:pPr>
          </w:p>
        </w:tc>
        <w:tc>
          <w:tcPr>
            <w:tcW w:w="980" w:type="dxa"/>
            <w:vAlign w:val="bottom"/>
            <w:tcBorders>
              <w:bottom w:val="single" w:sz="8" w:color="D9DDE1"/>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54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b w:val="1"/>
                <w:bCs w:val="1"/>
                <w:color w:val="auto"/>
              </w:rPr>
              <w:t>LTM Q1’22 (Base):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20" w:type="dxa"/>
            <w:vAlign w:val="bottom"/>
          </w:tcPr>
          <w:p>
            <w:pPr>
              <w:spacing w:after="0"/>
              <w:rPr>
                <w:sz w:val="21"/>
                <w:szCs w:val="21"/>
                <w:color w:val="auto"/>
              </w:rPr>
            </w:pPr>
          </w:p>
        </w:tc>
      </w:tr>
      <w:tr>
        <w:trPr>
          <w:trHeight w:val="54"/>
        </w:trPr>
        <w:tc>
          <w:tcPr>
            <w:tcW w:w="7540" w:type="dxa"/>
            <w:vAlign w:val="bottom"/>
          </w:tcPr>
          <w:p>
            <w:pPr>
              <w:spacing w:after="0"/>
              <w:rPr>
                <w:sz w:val="4"/>
                <w:szCs w:val="4"/>
                <w:color w:val="auto"/>
              </w:rPr>
            </w:pPr>
          </w:p>
        </w:tc>
        <w:tc>
          <w:tcPr>
            <w:tcW w:w="2720" w:type="dxa"/>
            <w:vAlign w:val="bottom"/>
            <w:tcBorders>
              <w:bottom w:val="single" w:sz="8" w:color="D9DDE1"/>
            </w:tcBorders>
          </w:tcPr>
          <w:p>
            <w:pPr>
              <w:spacing w:after="0"/>
              <w:rPr>
                <w:sz w:val="4"/>
                <w:szCs w:val="4"/>
                <w:color w:val="auto"/>
              </w:rPr>
            </w:pPr>
          </w:p>
        </w:tc>
        <w:tc>
          <w:tcPr>
            <w:tcW w:w="980" w:type="dxa"/>
            <w:vAlign w:val="bottom"/>
            <w:tcBorders>
              <w:bottom w:val="single" w:sz="8" w:color="D9DDE1"/>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7540" w:type="dxa"/>
            <w:vAlign w:val="bottom"/>
          </w:tcPr>
          <w:p>
            <w:pPr>
              <w:spacing w:after="0"/>
              <w:rPr>
                <w:sz w:val="21"/>
                <w:szCs w:val="21"/>
                <w:color w:val="auto"/>
              </w:rPr>
            </w:pPr>
          </w:p>
        </w:tc>
        <w:tc>
          <w:tcPr>
            <w:tcW w:w="2720" w:type="dxa"/>
            <w:vAlign w:val="bottom"/>
          </w:tcPr>
          <w:p>
            <w:pPr>
              <w:ind w:left="60"/>
              <w:spacing w:after="0"/>
              <w:rPr>
                <w:sz w:val="20"/>
                <w:szCs w:val="20"/>
                <w:color w:val="auto"/>
              </w:rPr>
            </w:pPr>
            <w:r>
              <w:rPr>
                <w:rFonts w:ascii="Arial" w:cs="Arial" w:eastAsia="Arial" w:hAnsi="Arial"/>
                <w:sz w:val="18"/>
                <w:szCs w:val="18"/>
                <w:b w:val="1"/>
                <w:bCs w:val="1"/>
                <w:color w:val="auto"/>
              </w:rPr>
              <w:t>LTM Q1’22 (Supp/Special):</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$0.74</w:t>
            </w:r>
          </w:p>
        </w:tc>
        <w:tc>
          <w:tcPr>
            <w:tcW w:w="20" w:type="dxa"/>
            <w:vAlign w:val="bottom"/>
          </w:tcPr>
          <w:p>
            <w:pPr>
              <w:spacing w:after="0"/>
              <w:rPr>
                <w:sz w:val="21"/>
                <w:szCs w:val="21"/>
                <w:color w:val="auto"/>
              </w:rPr>
            </w:pPr>
          </w:p>
        </w:tc>
      </w:tr>
      <w:tr>
        <w:trPr>
          <w:trHeight w:val="40"/>
        </w:trPr>
        <w:tc>
          <w:tcPr>
            <w:tcW w:w="7540" w:type="dxa"/>
            <w:vAlign w:val="bottom"/>
          </w:tcPr>
          <w:p>
            <w:pPr>
              <w:spacing w:after="0"/>
              <w:rPr>
                <w:sz w:val="3"/>
                <w:szCs w:val="3"/>
                <w:color w:val="auto"/>
              </w:rPr>
            </w:pPr>
          </w:p>
        </w:tc>
        <w:tc>
          <w:tcPr>
            <w:tcW w:w="2720" w:type="dxa"/>
            <w:vAlign w:val="bottom"/>
            <w:tcBorders>
              <w:bottom w:val="single" w:sz="8" w:color="D9DDE1"/>
            </w:tcBorders>
          </w:tcPr>
          <w:p>
            <w:pPr>
              <w:spacing w:after="0"/>
              <w:rPr>
                <w:sz w:val="3"/>
                <w:szCs w:val="3"/>
                <w:color w:val="auto"/>
              </w:rPr>
            </w:pPr>
          </w:p>
        </w:tc>
        <w:tc>
          <w:tcPr>
            <w:tcW w:w="980" w:type="dxa"/>
            <w:vAlign w:val="bottom"/>
            <w:tcBorders>
              <w:bottom w:val="single" w:sz="8" w:color="D9DDE1"/>
            </w:tcBorders>
          </w:tcPr>
          <w:p>
            <w:pPr>
              <w:spacing w:after="0"/>
              <w:rPr>
                <w:sz w:val="3"/>
                <w:szCs w:val="3"/>
                <w:color w:val="auto"/>
              </w:rPr>
            </w:pPr>
          </w:p>
        </w:tc>
        <w:tc>
          <w:tcPr>
            <w:tcW w:w="20" w:type="dxa"/>
            <w:vAlign w:val="bottom"/>
          </w:tcPr>
          <w:p>
            <w:pPr>
              <w:spacing w:after="0"/>
              <w:rPr>
                <w:sz w:val="3"/>
                <w:szCs w:val="3"/>
                <w:color w:val="auto"/>
              </w:rPr>
            </w:pPr>
          </w:p>
        </w:tc>
      </w:tr>
      <w:tr>
        <w:trPr>
          <w:trHeight w:val="237"/>
        </w:trPr>
        <w:tc>
          <w:tcPr>
            <w:tcW w:w="754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Arial" w:cs="Arial" w:eastAsia="Arial" w:hAnsi="Arial"/>
                <w:sz w:val="18"/>
                <w:szCs w:val="18"/>
                <w:b w:val="1"/>
                <w:bCs w:val="1"/>
                <w:color w:val="auto"/>
              </w:rPr>
              <w:t>LTM Q1’22 (Total):</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20" w:type="dxa"/>
            <w:vAlign w:val="bottom"/>
          </w:tcPr>
          <w:p>
            <w:pPr>
              <w:spacing w:after="0"/>
              <w:rPr>
                <w:sz w:val="20"/>
                <w:szCs w:val="20"/>
                <w:color w:val="auto"/>
              </w:rPr>
            </w:pPr>
          </w:p>
        </w:tc>
      </w:tr>
      <w:tr>
        <w:trPr>
          <w:trHeight w:val="729"/>
        </w:trPr>
        <w:tc>
          <w:tcPr>
            <w:tcW w:w="7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45"/>
        </w:trPr>
        <w:tc>
          <w:tcPr>
            <w:tcW w:w="75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March 31, 2022, new investment commitments totaled $79.3 million. This compares to $1,389.1 million for the quarter ended December 31, 2021.</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quarter ended March 31, 2022, the principal amount of new investments funded was $52.8 million in 2 new and 8 upsizes to existing portfolio companies. For this period, the Company had $144.4 million aggregate principal amount in exits and repayments. For the quarter ended December 31, 2021, the principal amount of new investments funded was $656.3 million in 15 new portfolio companies and 4 existing portfolio companies. For that period, the Company had $527.8 million aggregate principal amount in exits and repayments.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and December 31, 2021, the Company had investments in 69 and 72 portfolio companies, respectively, with an aggregate fair value of $2,451.9 million and $2,521.6 million, respectively. As of March 31, 2022, the average investment size in each portfolio company was $35.5 million based on fair value.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2022, the Company’s portfolio based on fair value consisted of 91.3% first-lien debt investments, 1.7% second-lien debt investments, 0.6% mezzanine investments, and 6.4% equity and other investments. As of December 31, 2021, the Company’s portfolio based on fair value consisted of 91.2% first-lien debt investments, 1.7% second-lien debt investments, 0.7% mezzanine investments, and 6.4% equity and other investments.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2022, 99.0% of debt investments based on fair value in the portfolio bore interest at floating rates with 100.0% of these subject to LIBOR floors. The Company’s credit facilities also bear interest at floating rates. In connection with the Company’s Convertible Notes and other Notes, which bear interest at fixed rates, the Company has entered into fixed-to-floating interest rate swaps in order to align the nature of the interest rates of its liabilities with its investment portfolio.</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2022 and December 31, 2021, the weighted average total yield of debt and income-producing securities at fair value (which includes interest income and amortization of fees and discounts) was 10.1% and 10.0%, respectively, and the weighted average total yield of debt and income-producing securities at amortized cost (which includes interest income and amortization of fees and discounts) was 10.3% and 10.2% for the quarter ended March 31, 2022 and December 31, 2021, respectively.</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less than 0.01% of the portfolio at fair value was on non-accrual status. No new portfolio companies were added to non-accrual during the quarter.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Calculation includes income earning debt investments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234886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Commitments:</w:t>
            </w:r>
          </w:p>
        </w:tc>
        <w:tc>
          <w:tcPr>
            <w:tcW w:w="142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$79.3MM</w:t>
            </w:r>
          </w:p>
        </w:tc>
      </w:tr>
      <w:tr>
        <w:trPr>
          <w:trHeight w:val="27"/>
        </w:trPr>
        <w:tc>
          <w:tcPr>
            <w:tcW w:w="2280" w:type="dxa"/>
            <w:vAlign w:val="bottom"/>
            <w:tcBorders>
              <w:bottom w:val="single" w:sz="8" w:color="E7E6E6"/>
            </w:tcBorders>
          </w:tcPr>
          <w:p>
            <w:pPr>
              <w:spacing w:after="0"/>
              <w:rPr>
                <w:sz w:val="2"/>
                <w:szCs w:val="2"/>
                <w:color w:val="auto"/>
              </w:rPr>
            </w:pPr>
          </w:p>
        </w:tc>
        <w:tc>
          <w:tcPr>
            <w:tcW w:w="1420" w:type="dxa"/>
            <w:vAlign w:val="bottom"/>
            <w:tcBorders>
              <w:bottom w:val="single" w:sz="8" w:color="E7E6E6"/>
            </w:tcBorders>
          </w:tcPr>
          <w:p>
            <w:pPr>
              <w:spacing w:after="0"/>
              <w:rPr>
                <w:sz w:val="2"/>
                <w:szCs w:val="2"/>
                <w:color w:val="auto"/>
              </w:rPr>
            </w:pPr>
          </w:p>
        </w:tc>
      </w:tr>
      <w:tr>
        <w:trPr>
          <w:trHeight w:val="237"/>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Fundings:</w:t>
            </w:r>
          </w:p>
        </w:tc>
        <w:tc>
          <w:tcPr>
            <w:tcW w:w="142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$52.8MM</w:t>
            </w:r>
          </w:p>
        </w:tc>
      </w:tr>
      <w:tr>
        <w:trPr>
          <w:trHeight w:val="27"/>
        </w:trPr>
        <w:tc>
          <w:tcPr>
            <w:tcW w:w="2280" w:type="dxa"/>
            <w:vAlign w:val="bottom"/>
            <w:tcBorders>
              <w:bottom w:val="single" w:sz="8" w:color="E7E6E6"/>
            </w:tcBorders>
          </w:tcPr>
          <w:p>
            <w:pPr>
              <w:spacing w:after="0"/>
              <w:rPr>
                <w:sz w:val="2"/>
                <w:szCs w:val="2"/>
                <w:color w:val="auto"/>
              </w:rPr>
            </w:pPr>
          </w:p>
        </w:tc>
        <w:tc>
          <w:tcPr>
            <w:tcW w:w="1420" w:type="dxa"/>
            <w:vAlign w:val="bottom"/>
            <w:tcBorders>
              <w:bottom w:val="single" w:sz="8" w:color="E7E6E6"/>
            </w:tcBorders>
          </w:tcPr>
          <w:p>
            <w:pPr>
              <w:spacing w:after="0"/>
              <w:rPr>
                <w:sz w:val="2"/>
                <w:szCs w:val="2"/>
                <w:color w:val="auto"/>
              </w:rPr>
            </w:pPr>
          </w:p>
        </w:tc>
      </w:tr>
      <w:tr>
        <w:trPr>
          <w:trHeight w:val="237"/>
        </w:trPr>
        <w:tc>
          <w:tcPr>
            <w:tcW w:w="2280" w:type="dxa"/>
            <w:vAlign w:val="bottom"/>
          </w:tcPr>
          <w:p>
            <w:pPr>
              <w:ind w:left="80"/>
              <w:spacing w:after="0"/>
              <w:rPr>
                <w:sz w:val="20"/>
                <w:szCs w:val="20"/>
                <w:color w:val="auto"/>
              </w:rPr>
            </w:pPr>
            <w:r>
              <w:rPr>
                <w:rFonts w:ascii="Arial" w:cs="Arial" w:eastAsia="Arial" w:hAnsi="Arial"/>
                <w:sz w:val="18"/>
                <w:szCs w:val="18"/>
                <w:b w:val="1"/>
                <w:bCs w:val="1"/>
                <w:color w:val="auto"/>
              </w:rPr>
              <w:t>Net Fundings/(Payoffs):</w:t>
            </w:r>
          </w:p>
        </w:tc>
        <w:tc>
          <w:tcPr>
            <w:tcW w:w="142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($91.6)MM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325755</wp:posOffset>
            </wp:positionV>
            <wp:extent cx="234886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$35.5MM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(1.4%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234886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386080</wp:posOffset>
            </wp:positionV>
            <wp:extent cx="234886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2348865"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Fair Value:</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10.1%</w:t>
            </w:r>
          </w:p>
        </w:tc>
      </w:tr>
      <w:tr>
        <w:trPr>
          <w:trHeight w:val="81"/>
        </w:trPr>
        <w:tc>
          <w:tcPr>
            <w:tcW w:w="2500" w:type="dxa"/>
            <w:vAlign w:val="bottom"/>
            <w:tcBorders>
              <w:bottom w:val="single" w:sz="8" w:color="D9DDE1"/>
            </w:tcBorders>
          </w:tcPr>
          <w:p>
            <w:pPr>
              <w:spacing w:after="0"/>
              <w:rPr>
                <w:sz w:val="7"/>
                <w:szCs w:val="7"/>
                <w:color w:val="auto"/>
              </w:rPr>
            </w:pPr>
          </w:p>
        </w:tc>
        <w:tc>
          <w:tcPr>
            <w:tcW w:w="1200" w:type="dxa"/>
            <w:vAlign w:val="bottom"/>
            <w:tcBorders>
              <w:bottom w:val="single" w:sz="8" w:color="D9DDE1"/>
            </w:tcBorders>
          </w:tcPr>
          <w:p>
            <w:pPr>
              <w:spacing w:after="0"/>
              <w:rPr>
                <w:sz w:val="7"/>
                <w:szCs w:val="7"/>
                <w:color w:val="auto"/>
              </w:rPr>
            </w:pPr>
          </w:p>
        </w:tc>
      </w:tr>
      <w:tr>
        <w:trPr>
          <w:trHeight w:val="290"/>
        </w:trPr>
        <w:tc>
          <w:tcPr>
            <w:tcW w:w="2500" w:type="dxa"/>
            <w:vAlign w:val="bottom"/>
          </w:tcPr>
          <w:p>
            <w:pPr>
              <w:ind w:left="80"/>
              <w:spacing w:after="0"/>
              <w:rPr>
                <w:sz w:val="20"/>
                <w:szCs w:val="20"/>
                <w:color w:val="auto"/>
              </w:rPr>
            </w:pPr>
            <w:r>
              <w:rPr>
                <w:rFonts w:ascii="Arial" w:cs="Arial" w:eastAsia="Arial" w:hAnsi="Arial"/>
                <w:sz w:val="18"/>
                <w:szCs w:val="18"/>
                <w:b w:val="1"/>
                <w:bCs w:val="1"/>
                <w:color w:val="auto"/>
              </w:rPr>
              <w:t>Yield at Amortized Cost: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10.3%</w:t>
            </w:r>
          </w:p>
        </w:tc>
      </w:tr>
    </w:tbl>
    <w:p>
      <w:pPr>
        <w:spacing w:after="0" w:line="1044" w:lineRule="exact"/>
        <w:rPr>
          <w:sz w:val="20"/>
          <w:szCs w:val="20"/>
          <w:color w:val="auto"/>
        </w:rPr>
      </w:pPr>
    </w:p>
    <w:p>
      <w:pPr>
        <w:sectPr>
          <w:pgSz w:w="11900" w:h="16838" w:orient="portrait"/>
          <w:cols w:equalWidth="0" w:num="2">
            <w:col w:w="7200" w:space="320"/>
            <w:col w:w="3720"/>
          </w:cols>
          <w:pgMar w:left="320" w:top="14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MARCH 31, 2022</w:t>
      </w:r>
    </w:p>
    <w:p>
      <w:pPr>
        <w:sectPr>
          <w:pgSz w:w="11900" w:h="16838" w:orient="portrait"/>
          <w:cols w:equalWidth="0" w:num="1">
            <w:col w:w="11240"/>
          </w:cols>
          <w:pgMar w:left="320" w:top="1435"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3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investment income was $67.4 million and $66.2 million, respectively. The increase was due to a slight increase in the average size of our portfolio compared to Q1 2021.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3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expenses totaled $31.4 million and $33.4 million for the three months ended March 31, 2022 and 2021, respectively. The decrease in expenses was primarily driven by lower accrued capital gains incentive fees related to cumulative unrealized capital gains in excess of cumulative net realized capital gains less cumulative unrealized losses and capital gains incentive fees paid inception-to-date.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3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March 31, 2022, the Company had $23.5 million in cash and cash equivalents (including $19.1 million of restricted cash), total principal value of debt outstanding of $1,174.8 million, and $1,232.7 million of undrawn capacity on its revolving credit facility, subject to borrowing base and other limitations. The Company’s weighted average interest rate on debt outstanding was 2.3% and 2.2% for the three-month periods ended March 31, 2022 and December 31, 2021, respectively. At March 31, 2022, the Company’s debt to equity ratio was 0.91x, compared to 0.95x at December 31, 2021. Average debt to equity was 0.95x for the three-month period ended March 31, 2022, compared to 0.99x for the three-month period ended December 31, 2021.</w:t>
      </w:r>
    </w:p>
    <w:p>
      <w:pPr>
        <w:spacing w:after="0" w:line="148" w:lineRule="exact"/>
        <w:rPr>
          <w:sz w:val="20"/>
          <w:szCs w:val="20"/>
          <w:color w:val="auto"/>
        </w:rPr>
      </w:pPr>
    </w:p>
    <w:p>
      <w:pPr>
        <w:jc w:val="both"/>
        <w:ind w:left="260" w:right="20" w:hanging="252"/>
        <w:spacing w:after="0" w:line="23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$67.4MM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565785</wp:posOffset>
            </wp:positionV>
            <wp:extent cx="234886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$31.4MM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831850</wp:posOffset>
            </wp:positionV>
            <wp:extent cx="234886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$1,174.8MM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2022 Quarter End:</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0.91x</w:t>
            </w:r>
          </w:p>
        </w:tc>
      </w:tr>
      <w:tr>
        <w:trPr>
          <w:trHeight w:val="40"/>
        </w:trPr>
        <w:tc>
          <w:tcPr>
            <w:tcW w:w="320" w:type="dxa"/>
            <w:vAlign w:val="bottom"/>
            <w:tcBorders>
              <w:bottom w:val="single" w:sz="8" w:color="D9DDE1"/>
            </w:tcBorders>
          </w:tcPr>
          <w:p>
            <w:pPr>
              <w:spacing w:after="0"/>
              <w:rPr>
                <w:sz w:val="3"/>
                <w:szCs w:val="3"/>
                <w:color w:val="auto"/>
              </w:rPr>
            </w:pPr>
          </w:p>
        </w:tc>
        <w:tc>
          <w:tcPr>
            <w:tcW w:w="2100" w:type="dxa"/>
            <w:vAlign w:val="bottom"/>
            <w:tcBorders>
              <w:bottom w:val="single" w:sz="8" w:color="D9DDE1"/>
            </w:tcBorders>
          </w:tcPr>
          <w:p>
            <w:pPr>
              <w:spacing w:after="0"/>
              <w:rPr>
                <w:sz w:val="3"/>
                <w:szCs w:val="3"/>
                <w:color w:val="auto"/>
              </w:rPr>
            </w:pPr>
          </w:p>
        </w:tc>
        <w:tc>
          <w:tcPr>
            <w:tcW w:w="128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Q1</w:t>
            </w:r>
          </w:p>
        </w:tc>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280" w:type="dxa"/>
            <w:vAlign w:val="bottom"/>
          </w:tcPr>
          <w:p>
            <w:pPr>
              <w:ind w:left="620"/>
              <w:spacing w:after="0"/>
              <w:rPr>
                <w:sz w:val="20"/>
                <w:szCs w:val="20"/>
                <w:color w:val="auto"/>
              </w:rPr>
            </w:pPr>
            <w:r>
              <w:rPr>
                <w:rFonts w:ascii="Arial" w:cs="Arial" w:eastAsia="Arial" w:hAnsi="Arial"/>
                <w:sz w:val="18"/>
                <w:szCs w:val="18"/>
                <w:b w:val="1"/>
                <w:bCs w:val="1"/>
                <w:color w:val="auto"/>
              </w:rPr>
              <w:t>0.95x</w:t>
            </w:r>
          </w:p>
        </w:tc>
      </w:tr>
    </w:tbl>
    <w:p>
      <w:pPr>
        <w:spacing w:after="0" w:line="1078"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liquidity at March 31, 2022 and changes to unfunded commitments since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tcPr>
          <w:p>
            <w:pPr>
              <w:spacing w:after="0"/>
              <w:rPr>
                <w:sz w:val="20"/>
                <w:szCs w:val="20"/>
                <w:color w:val="auto"/>
              </w:rPr>
            </w:pPr>
            <w:r>
              <w:rPr>
                <w:rFonts w:ascii="Arial" w:cs="Arial" w:eastAsia="Arial" w:hAnsi="Arial"/>
                <w:sz w:val="14"/>
                <w:szCs w:val="14"/>
                <w:color w:val="auto"/>
              </w:rPr>
              <w:t>$ Millions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460" w:type="dxa"/>
            <w:vAlign w:val="bottom"/>
            <w:tcBorders>
              <w:bottom w:val="single" w:sz="8" w:color="0F2F50"/>
            </w:tcBorders>
            <w:shd w:val="clear" w:color="auto" w:fill="0F2F50"/>
          </w:tcPr>
          <w:p>
            <w:pPr>
              <w:ind w:left="1780"/>
              <w:spacing w:after="0"/>
              <w:rPr>
                <w:sz w:val="20"/>
                <w:szCs w:val="20"/>
                <w:color w:val="auto"/>
              </w:rPr>
            </w:pPr>
            <w:r>
              <w:rPr>
                <w:rFonts w:ascii="Arial" w:cs="Arial" w:eastAsia="Arial" w:hAnsi="Arial"/>
                <w:sz w:val="18"/>
                <w:szCs w:val="18"/>
                <w:b w:val="1"/>
                <w:bCs w:val="1"/>
                <w:color w:val="FFFFFF"/>
              </w:rPr>
              <w:t>Revolving Credit Facility</w:t>
            </w:r>
            <w:r>
              <w:rPr>
                <w:rFonts w:ascii="Arial" w:cs="Arial" w:eastAsia="Arial" w:hAnsi="Arial"/>
                <w:sz w:val="15"/>
                <w:szCs w:val="15"/>
                <w:b w:val="1"/>
                <w:bCs w:val="1"/>
                <w:color w:val="FFFFFF"/>
              </w:rPr>
              <w:t>1</w:t>
            </w:r>
          </w:p>
        </w:tc>
        <w:tc>
          <w:tcPr>
            <w:tcW w:w="1100" w:type="dxa"/>
            <w:vAlign w:val="bottom"/>
            <w:tcBorders>
              <w:bottom w:val="single" w:sz="8" w:color="0F2F50"/>
            </w:tcBorders>
            <w:shd w:val="clear" w:color="auto" w:fill="0F2F50"/>
          </w:tcPr>
          <w:p>
            <w:pPr>
              <w:spacing w:after="0"/>
              <w:rPr>
                <w:sz w:val="21"/>
                <w:szCs w:val="21"/>
                <w:color w:val="auto"/>
              </w:rPr>
            </w:pPr>
          </w:p>
        </w:tc>
        <w:tc>
          <w:tcPr>
            <w:tcW w:w="220" w:type="dxa"/>
            <w:vAlign w:val="bottom"/>
          </w:tcPr>
          <w:p>
            <w:pPr>
              <w:spacing w:after="0"/>
              <w:rPr>
                <w:sz w:val="21"/>
                <w:szCs w:val="21"/>
                <w:color w:val="auto"/>
              </w:rPr>
            </w:pPr>
          </w:p>
        </w:tc>
        <w:tc>
          <w:tcPr>
            <w:tcW w:w="4560" w:type="dxa"/>
            <w:vAlign w:val="bottom"/>
            <w:tcBorders>
              <w:bottom w:val="single" w:sz="8" w:color="0F2F50"/>
            </w:tcBorders>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tcBorders>
              <w:bottom w:val="single" w:sz="8" w:color="0F2F50"/>
            </w:tcBorders>
            <w:shd w:val="clear" w:color="auto" w:fill="0F2F50"/>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12/31/21 10-K)</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$332</w:t>
            </w:r>
          </w:p>
        </w:tc>
        <w:tc>
          <w:tcPr>
            <w:tcW w:w="2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($277)</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$1,312</w:t>
            </w:r>
          </w:p>
        </w:tc>
      </w:tr>
      <w:tr>
        <w:trPr>
          <w:trHeight w:val="196"/>
        </w:trPr>
        <w:tc>
          <w:tcPr>
            <w:tcW w:w="450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2</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($147)</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$1,165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6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($19)</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$314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2</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to reflect the April 2022 amendment to the revolving credit facility, which upsized the facility by $75 million to $1.585 billion and extended the maturity date to April 2027 for $1.510 billion of commitments</w:t>
      </w:r>
    </w:p>
    <w:p>
      <w:pPr>
        <w:ind w:left="400" w:hanging="392"/>
        <w:spacing w:after="0" w:line="216"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the Company’s funding mix was comprised of 76% unsecured and 24% secured debt. As illustrated below, the Company’s nearest debt maturity is in August 2022 at $100 million, and the weighted average remaining life of investments funded with debt was ~2.1 years, compared to a weighted average remaining maturity on debt of ~4.1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74295</wp:posOffset>
            </wp:positionV>
            <wp:extent cx="5760720" cy="3068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*Adjusted to reflect the April 2022 amendment to the revolving credit facility, which upsized by $75 million to $1.585 billion and extended the maturity date to April 23, 2027 for $1.510 billion of commitments</w:t>
      </w:r>
    </w:p>
    <w:p>
      <w:pPr>
        <w:spacing w:after="0" w:line="7" w:lineRule="exact"/>
        <w:rPr>
          <w:sz w:val="20"/>
          <w:szCs w:val="20"/>
          <w:color w:val="auto"/>
        </w:rPr>
      </w:pPr>
    </w:p>
    <w:p>
      <w:pPr>
        <w:jc w:val="both"/>
        <w:spacing w:after="0" w:line="21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spacing w:after="0" w:line="1" w:lineRule="exact"/>
        <w:rPr>
          <w:sz w:val="20"/>
          <w:szCs w:val="20"/>
          <w:color w:val="auto"/>
        </w:rPr>
      </w:pPr>
    </w:p>
    <w:p>
      <w:pPr>
        <w:ind w:left="400" w:hanging="392"/>
        <w:spacing w:after="0" w:line="234" w:lineRule="auto"/>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of Deferred Financing Costs and Interest Rate Fair Value Hedging. Deferred Financing Costs total $23.7M at 3/31/21, $22.3M at 6/30/21, $20.8M at 9/30/21, $19.1M at 12/31/21 and $17.8M at 3/31/22. Fair value hedge on interest rate swaps related to the 2024 and 2026 notes total $2.2M at 3/31/21, $4.5M at 6/30/21, $2.5M at 9/30/21, ($5.9M) at 12/31/21 and ($33.0M) at 3/31/22</w:t>
      </w:r>
    </w:p>
    <w:p>
      <w:pPr>
        <w:jc w:val="both"/>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(54% of investments) and the remaining (shorter-dated) investments (46% of investments) are currently funded by debt financing. Investments for purposes of this analysis exclude unfunded commitments, and equity capital is defined as 3/31/22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conference call to discuss the Company’s financial results will be held live at 8:30 a.m. Eastern Time on May 4, 2022.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9175546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May 4 through May 11 via a webcast link located on the Investor Resources section of TSLX’s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9175546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March 31, 2022</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March 31,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2,451.9</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2,382.7</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2,491.2</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2,551.9</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2,417.9</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80" w:type="dxa"/>
            <w:vAlign w:val="bottom"/>
            <w:shd w:val="clear" w:color="auto" w:fill="CFF0FC"/>
          </w:tcPr>
          <w:p>
            <w:pPr>
              <w:spacing w:after="0"/>
              <w:rPr>
                <w:sz w:val="19"/>
                <w:szCs w:val="19"/>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15"/>
                <w:szCs w:val="15"/>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5"/>
                <w:szCs w:val="15"/>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80" w:type="dxa"/>
            <w:vAlign w:val="bottom"/>
            <w:shd w:val="clear" w:color="auto" w:fill="CFF0FC"/>
          </w:tcPr>
          <w:p>
            <w:pPr>
              <w:spacing w:after="0"/>
              <w:rPr>
                <w:sz w:val="20"/>
                <w:szCs w:val="20"/>
                <w:color w:val="auto"/>
              </w:rPr>
            </w:pPr>
          </w:p>
        </w:tc>
      </w:tr>
      <w:tr>
        <w:trPr>
          <w:trHeight w:val="257"/>
        </w:trPr>
        <w:tc>
          <w:tcPr>
            <w:tcW w:w="6280" w:type="dxa"/>
            <w:vAlign w:val="bottom"/>
          </w:tcPr>
          <w:p>
            <w:pPr>
              <w:spacing w:after="0"/>
              <w:rPr>
                <w:sz w:val="20"/>
                <w:szCs w:val="20"/>
                <w:color w:val="auto"/>
              </w:rPr>
            </w:pPr>
            <w:r>
              <w:rPr>
                <w:rFonts w:ascii="Arial" w:cs="Arial" w:eastAsia="Arial" w:hAnsi="Arial"/>
                <w:sz w:val="18"/>
                <w:szCs w:val="18"/>
                <w:color w:val="auto"/>
              </w:rPr>
              <w:t>Accrued Capital Gains Incentive Fee Expense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2"/>
                <w:szCs w:val="22"/>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9"/>
                <w:szCs w:val="19"/>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15"/>
                <w:szCs w:val="15"/>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0.49</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0.63</w:t>
            </w:r>
          </w:p>
        </w:tc>
        <w:tc>
          <w:tcPr>
            <w:tcW w:w="2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15"/>
                <w:szCs w:val="15"/>
                <w:color w:val="auto"/>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FF0FC"/>
          </w:tcPr>
          <w:p>
            <w:pPr>
              <w:spacing w:after="0"/>
              <w:rPr>
                <w:sz w:val="20"/>
                <w:szCs w:val="20"/>
                <w:color w:val="auto"/>
              </w:rPr>
            </w:pPr>
          </w:p>
        </w:tc>
      </w:tr>
      <w:tr>
        <w:trPr>
          <w:trHeight w:val="256"/>
        </w:trPr>
        <w:tc>
          <w:tcPr>
            <w:tcW w:w="6280" w:type="dxa"/>
            <w:vAlign w:val="bottom"/>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2"/>
                <w:szCs w:val="22"/>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Income (Loss)) </w:t>
            </w:r>
            <w:r>
              <w:rPr>
                <w:rFonts w:ascii="Arial" w:cs="Arial" w:eastAsia="Arial" w:hAnsi="Arial"/>
                <w:sz w:val="15"/>
                <w:szCs w:val="15"/>
                <w:color w:val="auto"/>
              </w:rPr>
              <w:t>(2)(3)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Income (Loss))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w:t>
            </w:r>
          </w:p>
        </w:tc>
      </w:tr>
    </w:tbl>
    <w:p>
      <w:pPr>
        <w:spacing w:after="0" w:line="211" w:lineRule="exact"/>
        <w:rPr>
          <w:sz w:val="20"/>
          <w:szCs w:val="20"/>
          <w:color w:val="auto"/>
        </w:rPr>
      </w:pPr>
    </w:p>
    <w:p>
      <w:pPr>
        <w:ind w:left="800" w:hanging="401"/>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spacing w:after="0" w:line="82" w:lineRule="exact"/>
        <w:rPr>
          <w:rFonts w:ascii="Arial" w:cs="Arial" w:eastAsia="Arial" w:hAnsi="Arial"/>
          <w:sz w:val="14"/>
          <w:szCs w:val="14"/>
          <w:color w:val="auto"/>
        </w:rPr>
      </w:pPr>
    </w:p>
    <w:p>
      <w:pPr>
        <w:ind w:left="800" w:hanging="401"/>
        <w:spacing w:after="0" w:line="230"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800" w:hanging="401"/>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70" w:lineRule="exact"/>
        <w:rPr>
          <w:rFonts w:ascii="Arial" w:cs="Arial" w:eastAsia="Arial" w:hAnsi="Arial"/>
          <w:sz w:val="14"/>
          <w:szCs w:val="14"/>
          <w:color w:val="auto"/>
        </w:rPr>
      </w:pPr>
    </w:p>
    <w:p>
      <w:pPr>
        <w:ind w:left="800" w:right="20" w:hanging="401"/>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$2,301,668 and $2,354,984,</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2,375,860</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$12,666, respectively)</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$64,362 and $64,362, respectively)</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75,999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$2,366,030 and $2,432,012,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2,451,859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2,521,593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$19,069 and $14,399, respectively)</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2,491,175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$17,755 and $19,147, respectively)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1,121,190</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31,162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3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76,366,724</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76,067,586 shares issued, respectively; and 76,070,680 and 75,771,542</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3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1,195,695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1,189,275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3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1,283,985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2,491,175</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55"/>
        </w:trPr>
        <w:tc>
          <w:tcPr>
            <w:tcW w:w="7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345"/>
        </w:trPr>
        <w:tc>
          <w:tcPr>
            <w:tcW w:w="7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2" w:right="31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55"/>
        </w:trPr>
        <w:tc>
          <w:tcPr>
            <w:tcW w:w="73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24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64,233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61,765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235</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1,762</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2,277</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66,230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64,549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133</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Pr>
          <w:p>
            <w:pPr>
              <w:spacing w:after="0"/>
              <w:rPr>
                <w:sz w:val="14"/>
                <w:szCs w:val="14"/>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24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756</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1,066</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937</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67,429</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66,242</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9,602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8,953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9,330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8,738</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7,877</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7,811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1,424</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4,515</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Professional fees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1,484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31,367</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33,472</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31,367</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33,472</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36,062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32,770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Pr>
          <w:p>
            <w:pPr>
              <w:spacing w:after="0"/>
              <w:rPr>
                <w:sz w:val="13"/>
                <w:szCs w:val="13"/>
                <w:color w:val="auto"/>
              </w:rPr>
            </w:pP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35,712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line="155" w:lineRule="exact"/>
              <w:rPr>
                <w:sz w:val="20"/>
                <w:szCs w:val="20"/>
                <w:color w:val="auto"/>
              </w:rPr>
            </w:pPr>
            <w:r>
              <w:rPr>
                <w:rFonts w:ascii="Arial" w:cs="Arial" w:eastAsia="Arial" w:hAnsi="Arial"/>
                <w:sz w:val="14"/>
                <w:szCs w:val="14"/>
                <w:color w:val="auto"/>
              </w:rPr>
              <w:t>32,310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(5,622)</w:t>
            </w:r>
          </w:p>
        </w:tc>
        <w:tc>
          <w:tcPr>
            <w:tcW w:w="26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24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(14,350)</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16,220</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24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(1,800)</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240" w:type="dxa"/>
            <w:vAlign w:val="bottom"/>
            <w:shd w:val="clear" w:color="auto" w:fill="CFF0FC"/>
          </w:tcPr>
          <w:p>
            <w:pPr>
              <w:spacing w:after="0"/>
              <w:rPr>
                <w:sz w:val="14"/>
                <w:szCs w:val="14"/>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(2,943)</w:t>
            </w: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24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(8,495)</w:t>
            </w:r>
          </w:p>
        </w:tc>
        <w:tc>
          <w:tcPr>
            <w:tcW w:w="2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14,619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13,673</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24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13,668</w:t>
            </w:r>
          </w:p>
        </w:tc>
        <w:tc>
          <w:tcPr>
            <w:tcW w:w="2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14,587</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3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5,173</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24,342</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40,885</w:t>
            </w:r>
          </w:p>
        </w:tc>
        <w:tc>
          <w:tcPr>
            <w:tcW w:w="2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56,652</w:t>
            </w:r>
          </w:p>
        </w:tc>
        <w:tc>
          <w:tcPr>
            <w:tcW w:w="100" w:type="dxa"/>
            <w:vAlign w:val="bottom"/>
            <w:tcBorders>
              <w:bottom w:val="single" w:sz="8" w:color="CFF0FC"/>
            </w:tcBorders>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tcBorders>
              <w:bottom w:val="single" w:sz="8" w:color="CFF0FC"/>
            </w:tcBorders>
            <w:vMerge w:val="continue"/>
          </w:tcPr>
          <w:p>
            <w:pPr>
              <w:spacing w:after="0"/>
              <w:rPr>
                <w:sz w:val="12"/>
                <w:szCs w:val="12"/>
                <w:color w:val="auto"/>
              </w:rPr>
            </w:pPr>
          </w:p>
        </w:tc>
        <w:tc>
          <w:tcPr>
            <w:tcW w:w="240" w:type="dxa"/>
            <w:vAlign w:val="bottom"/>
            <w:tcBorders>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0.54</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0.81</w:t>
            </w: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75,972,079</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69,691,162</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0.51</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0.75</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3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24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81,536,251</w:t>
            </w:r>
          </w:p>
        </w:tc>
        <w:tc>
          <w:tcPr>
            <w:tcW w:w="2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77,356,492</w:t>
            </w:r>
          </w:p>
        </w:tc>
        <w:tc>
          <w:tcPr>
            <w:tcW w:w="1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7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44"/>
        </w:trPr>
        <w:tc>
          <w:tcPr>
            <w:tcW w:w="7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quarter ended March 31, 2022 and 2021 is presented below (information presented herein is at par value unless otherwise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March 31, 2022</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31, 2021</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304.5</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79.3</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48.5</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52.8</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140.5</w:t>
            </w:r>
          </w:p>
        </w:tc>
        <w:tc>
          <w:tcPr>
            <w:tcW w:w="3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3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5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4"/>
        </w:trPr>
        <w:tc>
          <w:tcPr>
            <w:tcW w:w="5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$60 billion in assets under management and committed capital. For more information, visit the Company’s website at www.sixthstreetspecialtylending.com.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over $60 billion in assets under management and committed capital. The firm uses its long-term flexible capital, data-enabled capabilities, and One Team culture to develop themes and offer solutions to companies across all stages of growth. Founded in 2009, Sixth Street has more than 350 team members including over 180 investment professionals around the world. For more information, visit www.sixthstreet.com or follow Sixth Street on LinkedIn.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2022-05-03T15:17:44Z</dcterms:created>
  <dcterms:modified xsi:type="dcterms:W3CDTF">2022-05-03T15:17:44Z</dcterms:modified>
</cp:coreProperties>
</file>