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294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294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540" w:type="dxa"/>
            <w:vAlign w:val="bottom"/>
          </w:tcPr>
          <w:p>
            <w:pPr>
              <w:ind w:left="13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40" w:type="dxa"/>
            <w:vAlign w:val="bottom"/>
          </w:tcPr>
          <w:p>
            <w:pPr>
              <w:jc w:val="center"/>
              <w:ind w:right="1266"/>
              <w:spacing w:after="0"/>
              <w:rPr>
                <w:sz w:val="20"/>
                <w:szCs w:val="20"/>
                <w:color w:val="auto"/>
              </w:rPr>
            </w:pPr>
            <w:r>
              <w:rPr>
                <w:rFonts w:ascii="Arial" w:cs="Arial" w:eastAsia="Arial" w:hAnsi="Arial"/>
                <w:sz w:val="14"/>
                <w:szCs w:val="14"/>
                <w:b w:val="1"/>
                <w:bCs w:val="1"/>
                <w:color w:val="auto"/>
                <w:w w:val="89"/>
              </w:rPr>
              <w:t>of Incorporation)</w:t>
            </w:r>
          </w:p>
        </w:tc>
        <w:tc>
          <w:tcPr>
            <w:tcW w:w="3540" w:type="dxa"/>
            <w:vAlign w:val="bottom"/>
          </w:tcPr>
          <w:p>
            <w:pPr>
              <w:ind w:left="13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2020"/>
        <w:spacing w:after="0"/>
        <w:rPr>
          <w:sz w:val="20"/>
          <w:szCs w:val="20"/>
          <w:color w:val="auto"/>
        </w:rPr>
      </w:pPr>
      <w:r>
        <w:rPr>
          <w:rFonts w:ascii="Arial" w:cs="Arial" w:eastAsia="Arial" w:hAnsi="Arial"/>
          <w:sz w:val="15"/>
          <w:szCs w:val="15"/>
          <w:b w:val="1"/>
          <w:bCs w:val="1"/>
          <w:color w:val="auto"/>
        </w:rPr>
        <w:t>301 Commerce Street, Suite 3300</w:t>
      </w:r>
    </w:p>
    <w:p>
      <w:pPr>
        <w:spacing w:after="0" w:line="56"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56"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2, 2011, TPG Specialty Lending, Inc. (the “Company”) delivered a capital drawdown notice to certain of its investors relating to the issuance of 53,146 shares of the Company’s common stock, par value $0.01 per share (the “Common Stock”) for an aggregate offering price of $52.5 million. The shares are expected to be issued on or around December 15, 2011.</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issuance of Common Stock is being made pursuant to subscription agreements entered into by the Company and the above-mentioned investors. Under the terms of the subscription agreements, the investors are required to fund drawdowns to purchase shares of Common Stock up to the amount of their respective capital commitments on an as-needed basis with a minimum of 10 business days’ prior notice.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17"/>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3660" w:type="dxa"/>
            <w:vAlign w:val="bottom"/>
          </w:tcPr>
          <w:p>
            <w:pPr>
              <w:spacing w:after="0"/>
              <w:rPr>
                <w:sz w:val="20"/>
                <w:szCs w:val="20"/>
                <w:color w:val="auto"/>
              </w:rPr>
            </w:pPr>
            <w:r>
              <w:rPr>
                <w:rFonts w:ascii="Arial" w:cs="Arial" w:eastAsia="Arial" w:hAnsi="Arial"/>
                <w:sz w:val="18"/>
                <w:szCs w:val="18"/>
                <w:color w:val="auto"/>
              </w:rPr>
              <w:t>Date: December 8, 2011</w:t>
            </w:r>
          </w:p>
        </w:tc>
        <w:tc>
          <w:tcPr>
            <w:tcW w:w="216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  /s/ Ronald Cami</w:t>
            </w:r>
          </w:p>
        </w:tc>
      </w:tr>
      <w:tr>
        <w:trPr>
          <w:trHeight w:val="202"/>
        </w:trPr>
        <w:tc>
          <w:tcPr>
            <w:tcW w:w="3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660" w:type="dxa"/>
            <w:vAlign w:val="bottom"/>
          </w:tcPr>
          <w:p>
            <w:pPr>
              <w:spacing w:after="0"/>
              <w:rPr>
                <w:sz w:val="24"/>
                <w:szCs w:val="24"/>
                <w:color w:val="auto"/>
              </w:rPr>
            </w:pPr>
          </w:p>
        </w:tc>
        <w:tc>
          <w:tcPr>
            <w:tcW w:w="252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2019-12-11T08:20:44Z</dcterms:created>
  <dcterms:modified xsi:type="dcterms:W3CDTF">2019-12-11T08:20:44Z</dcterms:modified>
</cp:coreProperties>
</file>