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Easterly Joshua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17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94"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12/16/2011</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11"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FORT WORTH</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73102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0000FF"/>
              </w:rPr>
              <w:t>12/16/2011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P</w:t>
            </w: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2.6</w:t>
            </w:r>
          </w:p>
        </w:tc>
        <w:tc>
          <w:tcPr>
            <w:tcW w:w="4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982.4</w:t>
            </w:r>
          </w:p>
        </w:tc>
        <w:tc>
          <w:tcPr>
            <w:tcW w:w="13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color w:val="0000FF"/>
              </w:rPr>
              <w:t>36.5</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Explanation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of</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8"/>
                <w:szCs w:val="18"/>
                <w:color w:val="0000FF"/>
              </w:rPr>
              <w:t>Responses</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TSL Advisers, LLC ("TSL Advisers") directly holds 7,975 shares of Common Stock of the Issuer, including 36.5 shares of Common Stock of the Issuer indirectly beneficially owned by Mr. Easterly (through his limited partnership interest in TSL Equity Partners, L.P., which is a member of TSL Advisers).</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41" w:lineRule="auto"/>
        <w:tabs>
          <w:tab w:leader="none" w:pos="231"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Ronald Cami is signing on behalf of Mr. Easterly pursuant to the authorization and designation letter dated March 10, 2011, which was previously filed with the Securities and Exchange Commission as an exhibit to a Form 3 filed by Mr. Easterly on March 15, 2011 (SEC File No. 000-54245).</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Ronald Cami, on behalf of</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2"/>
              </w:rPr>
              <w:t>12/20/2011</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7"/>
              </w:rPr>
              <w:t>Joshua Easterly (2)</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2019-12-17T05:14:42Z</dcterms:created>
  <dcterms:modified xsi:type="dcterms:W3CDTF">2019-12-17T05:14:42Z</dcterms:modified>
</cp:coreProperties>
</file>