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410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2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52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4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420" w:type="dxa"/>
            <w:vAlign w:val="bottom"/>
          </w:tcPr>
          <w:p>
            <w:pPr>
              <w:spacing w:after="0"/>
              <w:rPr>
                <w:sz w:val="20"/>
                <w:szCs w:val="20"/>
                <w:color w:val="auto"/>
              </w:rPr>
            </w:pPr>
          </w:p>
        </w:tc>
        <w:tc>
          <w:tcPr>
            <w:tcW w:w="252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20" w:type="dxa"/>
            <w:vAlign w:val="bottom"/>
          </w:tcPr>
          <w:p>
            <w:pPr>
              <w:jc w:val="center"/>
              <w:ind w:left="13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10, 2012, TPG Specialty Lending, Inc. (the “Company”) delivered a capital drawdown notice to its investors relating to the sale of 99,161 shares of the Company’s common stock, par value $0.01 per share (the “Common Stock”) for an aggregate offering price of $100 million. The sale is expected to close on or around December 21, 2012.</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issuance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10795</wp:posOffset>
            </wp:positionV>
            <wp:extent cx="363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December 12, 2012</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2019-12-09T19:45:42Z</dcterms:created>
  <dcterms:modified xsi:type="dcterms:W3CDTF">2019-12-09T19:45:42Z</dcterms:modified>
</cp:coreProperties>
</file>