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24, 2018</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File No. 333-217207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tbl>
      <w:tblPr>
        <w:tblLayout w:type="fixed"/>
        <w:tblInd w:w="3940" w:type="dxa"/>
        <w:tblCellMar>
          <w:top w:w="0" w:type="dxa"/>
          <w:left w:w="0" w:type="dxa"/>
          <w:bottom w:w="0" w:type="dxa"/>
          <w:right w:w="0" w:type="dxa"/>
        </w:tblCellMar>
      </w:tblPr>
      <w:tr>
        <w:trPr>
          <w:trHeight w:val="239"/>
        </w:trPr>
        <w:tc>
          <w:tcPr>
            <w:tcW w:w="5180" w:type="dxa"/>
            <w:vAlign w:val="bottom"/>
          </w:tcPr>
          <w:p>
            <w:pPr>
              <w:ind w:left="1400"/>
              <w:spacing w:after="0" w:line="239" w:lineRule="exact"/>
              <w:rPr>
                <w:sz w:val="20"/>
                <w:szCs w:val="20"/>
                <w:color w:val="auto"/>
              </w:rPr>
            </w:pPr>
            <w:r>
              <w:rPr>
                <w:rFonts w:ascii="Arial" w:cs="Arial" w:eastAsia="Arial" w:hAnsi="Arial"/>
                <w:sz w:val="22"/>
                <w:szCs w:val="22"/>
                <w:b w:val="1"/>
                <w:bCs w:val="1"/>
                <w:i w:val="1"/>
                <w:iCs w:val="1"/>
                <w:color w:val="auto"/>
              </w:rPr>
              <w:t>UNDER</w:t>
            </w:r>
          </w:p>
        </w:tc>
        <w:tc>
          <w:tcPr>
            <w:tcW w:w="2300" w:type="dxa"/>
            <w:vAlign w:val="bottom"/>
            <w:vMerge w:val="restart"/>
          </w:tcPr>
          <w:p>
            <w:pPr>
              <w:ind w:left="210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217"/>
        </w:trPr>
        <w:tc>
          <w:tcPr>
            <w:tcW w:w="5180" w:type="dxa"/>
            <w:vAlign w:val="bottom"/>
          </w:tcPr>
          <w:p>
            <w:pPr>
              <w:jc w:val="center"/>
              <w:ind w:right="1972"/>
              <w:spacing w:after="0" w:line="217" w:lineRule="exact"/>
              <w:rPr>
                <w:sz w:val="20"/>
                <w:szCs w:val="20"/>
                <w:color w:val="auto"/>
              </w:rPr>
            </w:pPr>
            <w:r>
              <w:rPr>
                <w:rFonts w:ascii="Arial" w:cs="Arial" w:eastAsia="Arial" w:hAnsi="Arial"/>
                <w:sz w:val="22"/>
                <w:szCs w:val="22"/>
                <w:b w:val="1"/>
                <w:bCs w:val="1"/>
                <w:i w:val="1"/>
                <w:iCs w:val="1"/>
                <w:color w:val="auto"/>
                <w:w w:val="95"/>
              </w:rPr>
              <w:t>THE SECURITIES ACT OF 1933</w:t>
            </w: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80" w:type="dxa"/>
            <w:vAlign w:val="bottom"/>
          </w:tcPr>
          <w:p>
            <w:pPr>
              <w:jc w:val="center"/>
              <w:ind w:right="1972"/>
              <w:spacing w:after="0"/>
              <w:rPr>
                <w:sz w:val="20"/>
                <w:szCs w:val="20"/>
                <w:color w:val="auto"/>
              </w:rPr>
            </w:pPr>
            <w:r>
              <w:rPr>
                <w:rFonts w:ascii="Arial" w:cs="Arial" w:eastAsia="Arial" w:hAnsi="Arial"/>
                <w:sz w:val="22"/>
                <w:szCs w:val="22"/>
                <w:b w:val="1"/>
                <w:bCs w:val="1"/>
                <w:color w:val="auto"/>
                <w:w w:val="89"/>
              </w:rPr>
              <w:t>Pre-Effective Amendment No.</w:t>
            </w:r>
          </w:p>
        </w:tc>
        <w:tc>
          <w:tcPr>
            <w:tcW w:w="2300" w:type="dxa"/>
            <w:vAlign w:val="bottom"/>
          </w:tcPr>
          <w:p>
            <w:pPr>
              <w:ind w:left="210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339"/>
        </w:trPr>
        <w:tc>
          <w:tcPr>
            <w:tcW w:w="5180" w:type="dxa"/>
            <w:vAlign w:val="bottom"/>
          </w:tcPr>
          <w:p>
            <w:pPr>
              <w:jc w:val="center"/>
              <w:ind w:right="1972"/>
              <w:spacing w:after="0"/>
              <w:rPr>
                <w:sz w:val="20"/>
                <w:szCs w:val="20"/>
                <w:color w:val="auto"/>
              </w:rPr>
            </w:pPr>
            <w:r>
              <w:rPr>
                <w:rFonts w:ascii="Arial" w:cs="Arial" w:eastAsia="Arial" w:hAnsi="Arial"/>
                <w:sz w:val="22"/>
                <w:szCs w:val="22"/>
                <w:b w:val="1"/>
                <w:bCs w:val="1"/>
                <w:color w:val="auto"/>
                <w:w w:val="88"/>
              </w:rPr>
              <w:t>Post-Effective Amendment No. 5</w:t>
            </w:r>
          </w:p>
        </w:tc>
        <w:tc>
          <w:tcPr>
            <w:tcW w:w="2300" w:type="dxa"/>
            <w:vAlign w:val="bottom"/>
          </w:tcPr>
          <w:p>
            <w:pPr>
              <w:ind w:left="210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201295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Commerce Street, Suite 3300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 Worth, TX 76102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(817) 871-4000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Stiepleman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TPG Specialty Lending,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345 California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94104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Adam E. Fleisher,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Helena K. Grannis,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Cleary Gottlieb Steen &amp; Hamilton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225-2000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(212) 225-3999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From time to time after the effective date of this Registration Statement.</w:t>
      </w:r>
    </w:p>
    <w:p>
      <w:pPr>
        <w:spacing w:after="0" w:line="229"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Post-Effective Amendment No. 5 to the Registration Statement on Form N-2 (File No. 333-217207) of TPG Specialty Lending, Inc. (the “Registration Statement”) is being filed pursuant to Rule 462(d) under the Securities Act of 1933, as amended (the “Securities Act”), solely for the purpose of filing exhibits to the Registration Statement. Accordingly, this Post-Effective Amendment No. 5 consists only of a facing page, this explanatory note and Part C of the Registration Statement, which sets forth the exhibits to the Registration Statement. This Post-Effective Amendment No. 5 does not modify any other part of the Registration Statement. Pursuant to Rule 462(d) under the Securities Act, this Post-Effective Amendment No. 5 shall become effective immediately upon filing with the Securities and Exchange Commission. The contents of the Registration Statement are hereby incorporated by reference.</w:t>
      </w:r>
    </w:p>
    <w:p>
      <w:pPr>
        <w:sectPr>
          <w:pgSz w:w="11900" w:h="16838" w:orient="portrait"/>
          <w:cols w:equalWidth="0" w:num="1">
            <w:col w:w="11380"/>
          </w:cols>
          <w:pgMar w:left="240" w:top="270"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320" w:type="dxa"/>
            <w:vAlign w:val="bottom"/>
          </w:tcPr>
          <w:p>
            <w:pPr>
              <w:jc w:val="center"/>
              <w:ind w:left="1010"/>
              <w:spacing w:after="0"/>
              <w:rPr>
                <w:sz w:val="20"/>
                <w:szCs w:val="20"/>
                <w:color w:val="auto"/>
              </w:rPr>
            </w:pPr>
            <w:r>
              <w:rPr>
                <w:rFonts w:ascii="Arial" w:cs="Arial" w:eastAsia="Arial" w:hAnsi="Arial"/>
                <w:sz w:val="18"/>
                <w:szCs w:val="18"/>
                <w:b w:val="1"/>
                <w:bCs w:val="1"/>
                <w:color w:val="auto"/>
              </w:rPr>
              <w:t>TPG SPECIALTY LENDING, INC.</w:t>
            </w:r>
          </w:p>
        </w:tc>
        <w:tc>
          <w:tcPr>
            <w:tcW w:w="1040" w:type="dxa"/>
            <w:vAlign w:val="bottom"/>
          </w:tcPr>
          <w:p>
            <w:pPr>
              <w:spacing w:after="0"/>
              <w:rPr>
                <w:sz w:val="20"/>
                <w:szCs w:val="20"/>
                <w:color w:val="auto"/>
              </w:rPr>
            </w:pPr>
          </w:p>
        </w:tc>
      </w:tr>
      <w:tr>
        <w:trPr>
          <w:trHeight w:val="324"/>
        </w:trPr>
        <w:tc>
          <w:tcPr>
            <w:tcW w:w="10320" w:type="dxa"/>
            <w:vAlign w:val="bottom"/>
          </w:tcPr>
          <w:p>
            <w:pPr>
              <w:jc w:val="center"/>
              <w:ind w:left="1030"/>
              <w:spacing w:after="0"/>
              <w:rPr>
                <w:sz w:val="20"/>
                <w:szCs w:val="20"/>
                <w:color w:val="auto"/>
              </w:rPr>
            </w:pPr>
            <w:r>
              <w:rPr>
                <w:rFonts w:ascii="Arial" w:cs="Arial" w:eastAsia="Arial" w:hAnsi="Arial"/>
                <w:sz w:val="18"/>
                <w:szCs w:val="18"/>
                <w:b w:val="1"/>
                <w:bCs w:val="1"/>
                <w:color w:val="auto"/>
                <w:w w:val="95"/>
              </w:rPr>
              <w:t>PART C</w:t>
            </w:r>
          </w:p>
        </w:tc>
        <w:tc>
          <w:tcPr>
            <w:tcW w:w="1040" w:type="dxa"/>
            <w:vAlign w:val="bottom"/>
          </w:tcPr>
          <w:p>
            <w:pPr>
              <w:spacing w:after="0"/>
              <w:rPr>
                <w:sz w:val="24"/>
                <w:szCs w:val="24"/>
                <w:color w:val="auto"/>
              </w:rPr>
            </w:pPr>
          </w:p>
        </w:tc>
      </w:tr>
      <w:tr>
        <w:trPr>
          <w:trHeight w:val="324"/>
        </w:trPr>
        <w:tc>
          <w:tcPr>
            <w:tcW w:w="10320" w:type="dxa"/>
            <w:vAlign w:val="bottom"/>
          </w:tcPr>
          <w:p>
            <w:pPr>
              <w:jc w:val="center"/>
              <w:ind w:left="1030"/>
              <w:spacing w:after="0"/>
              <w:rPr>
                <w:sz w:val="20"/>
                <w:szCs w:val="20"/>
                <w:color w:val="auto"/>
              </w:rPr>
            </w:pPr>
            <w:r>
              <w:rPr>
                <w:rFonts w:ascii="Arial" w:cs="Arial" w:eastAsia="Arial" w:hAnsi="Arial"/>
                <w:sz w:val="18"/>
                <w:szCs w:val="18"/>
                <w:b w:val="1"/>
                <w:bCs w:val="1"/>
                <w:color w:val="auto"/>
                <w:w w:val="94"/>
              </w:rPr>
              <w:t>Other Information</w:t>
            </w:r>
          </w:p>
        </w:tc>
        <w:tc>
          <w:tcPr>
            <w:tcW w:w="1040" w:type="dxa"/>
            <w:vAlign w:val="bottom"/>
          </w:tcPr>
          <w:p>
            <w:pPr>
              <w:spacing w:after="0"/>
              <w:rPr>
                <w:sz w:val="24"/>
                <w:szCs w:val="24"/>
                <w:color w:val="auto"/>
              </w:rPr>
            </w:pPr>
          </w:p>
        </w:tc>
      </w:tr>
      <w:tr>
        <w:trPr>
          <w:trHeight w:val="432"/>
        </w:trPr>
        <w:tc>
          <w:tcPr>
            <w:tcW w:w="10320" w:type="dxa"/>
            <w:vAlign w:val="bottom"/>
          </w:tcPr>
          <w:p>
            <w:pPr>
              <w:spacing w:after="0"/>
              <w:rPr>
                <w:sz w:val="20"/>
                <w:szCs w:val="20"/>
                <w:color w:val="auto"/>
              </w:rPr>
            </w:pPr>
            <w:r>
              <w:rPr>
                <w:rFonts w:ascii="Arial" w:cs="Arial" w:eastAsia="Arial" w:hAnsi="Arial"/>
                <w:sz w:val="18"/>
                <w:szCs w:val="18"/>
                <w:b w:val="1"/>
                <w:bCs w:val="1"/>
                <w:color w:val="auto"/>
              </w:rPr>
              <w:t>Item 25. Financial Statements and Exhibits</w:t>
            </w:r>
          </w:p>
        </w:tc>
        <w:tc>
          <w:tcPr>
            <w:tcW w:w="1040" w:type="dxa"/>
            <w:vAlign w:val="bottom"/>
          </w:tcPr>
          <w:p>
            <w:pPr>
              <w:spacing w:after="0"/>
              <w:rPr>
                <w:sz w:val="24"/>
                <w:szCs w:val="24"/>
                <w:color w:val="auto"/>
              </w:rPr>
            </w:pPr>
          </w:p>
        </w:tc>
      </w:tr>
      <w:tr>
        <w:trPr>
          <w:trHeight w:val="324"/>
        </w:trPr>
        <w:tc>
          <w:tcPr>
            <w:tcW w:w="10320" w:type="dxa"/>
            <w:vAlign w:val="bottom"/>
          </w:tcPr>
          <w:p>
            <w:pPr>
              <w:spacing w:after="0"/>
              <w:rPr>
                <w:sz w:val="20"/>
                <w:szCs w:val="20"/>
                <w:color w:val="auto"/>
              </w:rPr>
            </w:pPr>
            <w:r>
              <w:rPr>
                <w:rFonts w:ascii="Arial" w:cs="Arial" w:eastAsia="Arial" w:hAnsi="Arial"/>
                <w:sz w:val="18"/>
                <w:szCs w:val="18"/>
                <w:b w:val="1"/>
                <w:bCs w:val="1"/>
                <w:color w:val="auto"/>
              </w:rPr>
              <w:t>(1) Financial Statements</w:t>
            </w:r>
          </w:p>
        </w:tc>
        <w:tc>
          <w:tcPr>
            <w:tcW w:w="1040" w:type="dxa"/>
            <w:vAlign w:val="bottom"/>
          </w:tcPr>
          <w:p>
            <w:pPr>
              <w:spacing w:after="0"/>
              <w:rPr>
                <w:sz w:val="24"/>
                <w:szCs w:val="24"/>
                <w:color w:val="auto"/>
              </w:rPr>
            </w:pPr>
          </w:p>
        </w:tc>
      </w:tr>
      <w:tr>
        <w:trPr>
          <w:trHeight w:val="324"/>
        </w:trPr>
        <w:tc>
          <w:tcPr>
            <w:tcW w:w="10320" w:type="dxa"/>
            <w:vAlign w:val="bottom"/>
          </w:tcPr>
          <w:p>
            <w:pPr>
              <w:ind w:left="920"/>
              <w:spacing w:after="0"/>
              <w:rPr>
                <w:sz w:val="20"/>
                <w:szCs w:val="20"/>
                <w:color w:val="auto"/>
              </w:rPr>
            </w:pPr>
            <w:r>
              <w:rPr>
                <w:rFonts w:ascii="Arial" w:cs="Arial" w:eastAsia="Arial" w:hAnsi="Arial"/>
                <w:sz w:val="18"/>
                <w:szCs w:val="18"/>
                <w:color w:val="auto"/>
                <w:w w:val="99"/>
              </w:rPr>
              <w:t>The following financial statements of TPG Specialty Lending, Inc. are provided in Part A of this Registration Statement:</w:t>
            </w:r>
          </w:p>
        </w:tc>
        <w:tc>
          <w:tcPr>
            <w:tcW w:w="1040" w:type="dxa"/>
            <w:vAlign w:val="bottom"/>
          </w:tcPr>
          <w:p>
            <w:pPr>
              <w:spacing w:after="0"/>
              <w:rPr>
                <w:sz w:val="24"/>
                <w:szCs w:val="24"/>
                <w:color w:val="auto"/>
              </w:rPr>
            </w:pPr>
          </w:p>
        </w:tc>
      </w:tr>
      <w:tr>
        <w:trPr>
          <w:trHeight w:val="445"/>
        </w:trPr>
        <w:tc>
          <w:tcPr>
            <w:tcW w:w="10320" w:type="dxa"/>
            <w:vAlign w:val="bottom"/>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040" w:type="dxa"/>
            <w:vAlign w:val="bottom"/>
          </w:tcPr>
          <w:p>
            <w:pPr>
              <w:spacing w:after="0"/>
              <w:rPr>
                <w:sz w:val="24"/>
                <w:szCs w:val="24"/>
                <w:color w:val="auto"/>
              </w:rPr>
            </w:pP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0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Balance Sheets as of December 31, 2016 and 2015</w:t>
            </w:r>
          </w:p>
        </w:tc>
        <w:tc>
          <w:tcPr>
            <w:tcW w:w="10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2016, 2015 and 2014</w:t>
            </w:r>
          </w:p>
        </w:tc>
        <w:tc>
          <w:tcPr>
            <w:tcW w:w="10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Schedules of Investments as of December 31, 2016 and 2015</w:t>
            </w:r>
          </w:p>
        </w:tc>
        <w:tc>
          <w:tcPr>
            <w:tcW w:w="10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Changes in Net Assets for the Years Ended December 31, 2016, 2015 and 2014</w:t>
            </w:r>
          </w:p>
        </w:tc>
        <w:tc>
          <w:tcPr>
            <w:tcW w:w="104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2016, 2015 and 2014</w:t>
            </w:r>
          </w:p>
        </w:tc>
        <w:tc>
          <w:tcPr>
            <w:tcW w:w="1040" w:type="dxa"/>
            <w:vAlign w:val="bottom"/>
          </w:tcPr>
          <w:p>
            <w:pPr>
              <w:jc w:val="right"/>
              <w:spacing w:after="0"/>
              <w:rPr>
                <w:sz w:val="20"/>
                <w:szCs w:val="20"/>
                <w:color w:val="auto"/>
              </w:rPr>
            </w:pPr>
            <w:r>
              <w:rPr>
                <w:rFonts w:ascii="Arial" w:cs="Arial" w:eastAsia="Arial" w:hAnsi="Arial"/>
                <w:sz w:val="18"/>
                <w:szCs w:val="18"/>
                <w:color w:val="auto"/>
              </w:rPr>
              <w:t>F-14</w:t>
            </w:r>
          </w:p>
        </w:tc>
      </w:tr>
      <w:tr>
        <w:trPr>
          <w:trHeight w:val="230"/>
        </w:trPr>
        <w:tc>
          <w:tcPr>
            <w:tcW w:w="103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040" w:type="dxa"/>
            <w:vAlign w:val="bottom"/>
          </w:tcPr>
          <w:p>
            <w:pPr>
              <w:jc w:val="right"/>
              <w:spacing w:after="0"/>
              <w:rPr>
                <w:sz w:val="20"/>
                <w:szCs w:val="20"/>
                <w:color w:val="auto"/>
              </w:rPr>
            </w:pPr>
            <w:r>
              <w:rPr>
                <w:rFonts w:ascii="Arial" w:cs="Arial" w:eastAsia="Arial" w:hAnsi="Arial"/>
                <w:sz w:val="18"/>
                <w:szCs w:val="18"/>
                <w:color w:val="auto"/>
              </w:rPr>
              <w:t>F-15</w:t>
            </w:r>
          </w:p>
        </w:tc>
      </w:tr>
      <w:tr>
        <w:trPr>
          <w:trHeight w:val="310"/>
        </w:trPr>
        <w:tc>
          <w:tcPr>
            <w:tcW w:w="10320" w:type="dxa"/>
            <w:vAlign w:val="bottom"/>
          </w:tcPr>
          <w:p>
            <w:pPr>
              <w:spacing w:after="0"/>
              <w:rPr>
                <w:sz w:val="20"/>
                <w:szCs w:val="20"/>
                <w:color w:val="auto"/>
              </w:rPr>
            </w:pPr>
            <w:r>
              <w:rPr>
                <w:rFonts w:ascii="Arial" w:cs="Arial" w:eastAsia="Arial" w:hAnsi="Arial"/>
                <w:sz w:val="18"/>
                <w:szCs w:val="18"/>
                <w:b w:val="1"/>
                <w:bCs w:val="1"/>
                <w:color w:val="auto"/>
              </w:rPr>
              <w:t>Interim Unaudited Consolidated Financial Statements</w:t>
            </w:r>
          </w:p>
        </w:tc>
        <w:tc>
          <w:tcPr>
            <w:tcW w:w="1040" w:type="dxa"/>
            <w:vAlign w:val="bottom"/>
          </w:tcPr>
          <w:p>
            <w:pPr>
              <w:spacing w:after="0"/>
              <w:rPr>
                <w:sz w:val="24"/>
                <w:szCs w:val="24"/>
                <w:color w:val="auto"/>
              </w:rPr>
            </w:pP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Balance Sheets as of March 31, 2017 (Unaudited) and December 31, 2016</w:t>
            </w:r>
          </w:p>
        </w:tc>
        <w:tc>
          <w:tcPr>
            <w:tcW w:w="1040" w:type="dxa"/>
            <w:vAlign w:val="bottom"/>
          </w:tcPr>
          <w:p>
            <w:pPr>
              <w:jc w:val="right"/>
              <w:spacing w:after="0"/>
              <w:rPr>
                <w:sz w:val="20"/>
                <w:szCs w:val="20"/>
                <w:color w:val="auto"/>
              </w:rPr>
            </w:pPr>
            <w:r>
              <w:rPr>
                <w:rFonts w:ascii="Arial" w:cs="Arial" w:eastAsia="Arial" w:hAnsi="Arial"/>
                <w:sz w:val="18"/>
                <w:szCs w:val="18"/>
                <w:color w:val="auto"/>
              </w:rPr>
              <w:t>F-46</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Operations for the Three Months Ended March 31, 2017 and 2016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F-47</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Schedules of Investments as of March 31, 2017 (Unaudited) and December 31, 2016</w:t>
            </w:r>
          </w:p>
        </w:tc>
        <w:tc>
          <w:tcPr>
            <w:tcW w:w="1040" w:type="dxa"/>
            <w:vAlign w:val="bottom"/>
          </w:tcPr>
          <w:p>
            <w:pPr>
              <w:jc w:val="right"/>
              <w:spacing w:after="0"/>
              <w:rPr>
                <w:sz w:val="20"/>
                <w:szCs w:val="20"/>
                <w:color w:val="auto"/>
              </w:rPr>
            </w:pPr>
            <w:r>
              <w:rPr>
                <w:rFonts w:ascii="Arial" w:cs="Arial" w:eastAsia="Arial" w:hAnsi="Arial"/>
                <w:sz w:val="18"/>
                <w:szCs w:val="18"/>
                <w:color w:val="auto"/>
              </w:rPr>
              <w:t>F-48</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Changes in Net Assets for the Three Months Ended March 31, 2017 and 2016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F-57</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Cash Flows for the Three Months Ended March 31, 2017 and 2016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F-58</w:t>
            </w:r>
          </w:p>
        </w:tc>
      </w:tr>
      <w:tr>
        <w:trPr>
          <w:trHeight w:val="230"/>
        </w:trPr>
        <w:tc>
          <w:tcPr>
            <w:tcW w:w="10320" w:type="dxa"/>
            <w:vAlign w:val="bottom"/>
          </w:tcPr>
          <w:p>
            <w:pPr>
              <w:spacing w:after="0"/>
              <w:rPr>
                <w:sz w:val="20"/>
                <w:szCs w:val="20"/>
                <w:color w:val="auto"/>
              </w:rPr>
            </w:pPr>
            <w:r>
              <w:rPr>
                <w:rFonts w:ascii="Arial" w:cs="Arial" w:eastAsia="Arial" w:hAnsi="Arial"/>
                <w:sz w:val="18"/>
                <w:szCs w:val="18"/>
                <w:color w:val="auto"/>
              </w:rPr>
              <w:t>Notes to Consolidated Financial Statements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F-59</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 Exhibits</w:t>
      </w:r>
    </w:p>
    <w:p>
      <w:pPr>
        <w:spacing w:after="0" w:line="256" w:lineRule="exact"/>
        <w:rPr>
          <w:sz w:val="20"/>
          <w:szCs w:val="20"/>
          <w:color w:val="auto"/>
        </w:rPr>
      </w:pPr>
    </w:p>
    <w:p>
      <w:pPr>
        <w:ind w:left="760" w:right="160" w:hanging="759"/>
        <w:spacing w:after="0" w:line="277" w:lineRule="auto"/>
        <w:tabs>
          <w:tab w:leader="none" w:pos="7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Amended and Restated Certificate of Incorporation (incorporated by reference to Exhibit 3.1 to Amendment No. 1 to the Company’s Registration Statement on Form 10 filed on March 14, 2011)</w:t>
      </w:r>
    </w:p>
    <w:p>
      <w:pPr>
        <w:spacing w:after="0" w:line="62" w:lineRule="exact"/>
        <w:rPr>
          <w:sz w:val="20"/>
          <w:szCs w:val="20"/>
          <w:color w:val="auto"/>
        </w:rPr>
      </w:pPr>
    </w:p>
    <w:p>
      <w:pPr>
        <w:ind w:left="760" w:right="540" w:hanging="759"/>
        <w:spacing w:after="0" w:line="277" w:lineRule="auto"/>
        <w:tabs>
          <w:tab w:leader="none" w:pos="7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Certificate of Amendment to Amended and Restated Certificate of Incorporation (incorporated by reference to Exhibit 3.1 to the Company’s Current Report on Form 8-K filed on March 12, 2014)</w:t>
      </w:r>
    </w:p>
    <w:p>
      <w:pPr>
        <w:spacing w:after="0" w:line="62" w:lineRule="exact"/>
        <w:rPr>
          <w:sz w:val="20"/>
          <w:szCs w:val="20"/>
          <w:color w:val="auto"/>
        </w:rPr>
      </w:pPr>
    </w:p>
    <w:p>
      <w:pPr>
        <w:ind w:left="760" w:hanging="759"/>
        <w:spacing w:after="0" w:line="277" w:lineRule="auto"/>
        <w:tabs>
          <w:tab w:leader="none" w:pos="74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Certificate of Change of Registered Agent and/or Registered Office (incorporated by reference to Exhibit 3.1 to the Company’s Quarterly Report on Form 10-Q filed on November 7, 2016)</w:t>
      </w:r>
    </w:p>
    <w:p>
      <w:pPr>
        <w:spacing w:after="0" w:line="62" w:lineRule="exact"/>
        <w:rPr>
          <w:sz w:val="20"/>
          <w:szCs w:val="20"/>
          <w:color w:val="auto"/>
        </w:rPr>
      </w:pPr>
    </w:p>
    <w:p>
      <w:pPr>
        <w:ind w:left="760" w:right="280" w:hanging="752"/>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Bylaws of TPG Specialty Lending, Inc., effective as of November 7, 2016 (incorporated by reference to Exhibit 3.2 to the Company’s Quarterly Report on Form 10-Q filed on November 7, 2016)</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00"/>
          </w:cols>
          <w:pgMar w:left="240" w:top="270" w:right="259" w:bottom="1440" w:gutter="0" w:footer="0" w:header="0"/>
        </w:sectPr>
      </w:pPr>
    </w:p>
    <w:bookmarkStart w:id="3" w:name="page4"/>
    <w:bookmarkEnd w:id="3"/>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applicable</w:t>
      </w:r>
    </w:p>
    <w:p>
      <w:pPr>
        <w:spacing w:after="0" w:line="117" w:lineRule="exact"/>
        <w:rPr>
          <w:sz w:val="20"/>
          <w:szCs w:val="20"/>
          <w:color w:val="auto"/>
        </w:rPr>
      </w:pPr>
    </w:p>
    <w:p>
      <w:pPr>
        <w:ind w:left="720" w:right="160" w:hanging="719"/>
        <w:spacing w:after="0" w:line="277" w:lineRule="auto"/>
        <w:tabs>
          <w:tab w:leader="none" w:pos="70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Form of Subscription Agreement in connection with the Private Offerings (incorporated by reference to Exhibit 4.1 to the Company’s Registration Statement on Form 10 filed on January 14, 2011)</w:t>
      </w:r>
    </w:p>
    <w:p>
      <w:pPr>
        <w:spacing w:after="0" w:line="62" w:lineRule="exact"/>
        <w:rPr>
          <w:sz w:val="20"/>
          <w:szCs w:val="20"/>
          <w:color w:val="auto"/>
        </w:rPr>
      </w:pPr>
    </w:p>
    <w:p>
      <w:pPr>
        <w:ind w:left="720" w:right="260" w:hanging="719"/>
        <w:spacing w:after="0" w:line="277" w:lineRule="auto"/>
        <w:tabs>
          <w:tab w:leader="none" w:pos="70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Form of Common Stock Certificate (incorporated by reference to Exhibit 4.2 to the Company’s Annual Report on Form 10-K filed on March 22, 2012)</w:t>
      </w:r>
    </w:p>
    <w:p>
      <w:pPr>
        <w:spacing w:after="0" w:line="62" w:lineRule="exact"/>
        <w:rPr>
          <w:sz w:val="20"/>
          <w:szCs w:val="20"/>
          <w:color w:val="auto"/>
        </w:rPr>
      </w:pPr>
    </w:p>
    <w:p>
      <w:pPr>
        <w:ind w:left="720" w:right="380" w:hanging="719"/>
        <w:spacing w:after="0" w:line="277" w:lineRule="auto"/>
        <w:tabs>
          <w:tab w:leader="none" w:pos="70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Indenture, dated June 10, 2014, between TPG Specialty Lending, Inc. and Wells Fargo Bank, National Association, as Trustee (incorporated by reference to Exhibit 4.1 to the Company’s Current Report on Form 8-K filed on June 10, 2014)</w:t>
      </w:r>
    </w:p>
    <w:p>
      <w:pPr>
        <w:spacing w:after="0" w:line="62" w:lineRule="exact"/>
        <w:rPr>
          <w:sz w:val="20"/>
          <w:szCs w:val="20"/>
          <w:color w:val="auto"/>
        </w:rPr>
      </w:pPr>
    </w:p>
    <w:p>
      <w:pPr>
        <w:ind w:left="720" w:right="180" w:hanging="719"/>
        <w:spacing w:after="0" w:line="277" w:lineRule="auto"/>
        <w:tabs>
          <w:tab w:leader="none" w:pos="70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Form of 4.50% Convertible Senior Notes Due 2019 (incorporated by reference to Exhibit 4.2 to the Company’s Current Report on Form 8-K filed on June 10, 2014)</w:t>
      </w:r>
    </w:p>
    <w:p>
      <w:pPr>
        <w:spacing w:after="0" w:line="62" w:lineRule="exact"/>
        <w:rPr>
          <w:sz w:val="20"/>
          <w:szCs w:val="20"/>
          <w:color w:val="auto"/>
        </w:rPr>
      </w:pPr>
    </w:p>
    <w:p>
      <w:pPr>
        <w:ind w:left="720" w:right="1000" w:hanging="719"/>
        <w:spacing w:after="0" w:line="308" w:lineRule="auto"/>
        <w:tabs>
          <w:tab w:leader="none" w:pos="700" w:val="left"/>
        </w:tabs>
        <w:rPr>
          <w:sz w:val="20"/>
          <w:szCs w:val="20"/>
          <w:color w:val="auto"/>
        </w:rPr>
      </w:pPr>
      <w:r>
        <w:rPr>
          <w:rFonts w:ascii="Arial" w:cs="Arial" w:eastAsia="Arial" w:hAnsi="Arial"/>
          <w:sz w:val="17"/>
          <w:szCs w:val="17"/>
          <w:color w:val="auto"/>
        </w:rPr>
        <w:t>(d)(5)</w:t>
      </w:r>
      <w:r>
        <w:rPr>
          <w:sz w:val="20"/>
          <w:szCs w:val="20"/>
          <w:color w:val="auto"/>
        </w:rPr>
        <w:tab/>
      </w:r>
      <w:r>
        <w:rPr>
          <w:rFonts w:ascii="Arial" w:cs="Arial" w:eastAsia="Arial" w:hAnsi="Arial"/>
          <w:sz w:val="17"/>
          <w:szCs w:val="17"/>
          <w:color w:val="auto"/>
        </w:rPr>
        <w:t>Indenture, dated as of February 1, 2017, between TPG Specialty Lending, Inc. and Wells Fargo Bank, National Association, as Trustee (incorporated by reference to Exhibit 4.1 to the Company’s Current Report on Form 8-K filed on February 1, 2017)</w:t>
      </w:r>
    </w:p>
    <w:p>
      <w:pPr>
        <w:spacing w:after="0" w:line="38" w:lineRule="exact"/>
        <w:rPr>
          <w:sz w:val="20"/>
          <w:szCs w:val="20"/>
          <w:color w:val="auto"/>
        </w:rPr>
      </w:pPr>
    </w:p>
    <w:p>
      <w:pPr>
        <w:ind w:left="720" w:right="40" w:hanging="719"/>
        <w:spacing w:after="0" w:line="277" w:lineRule="auto"/>
        <w:tabs>
          <w:tab w:leader="none" w:pos="70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Form of 4.50% Convertible Senior Note Due 2022 (incorporated by reference to Exhibit 4.2 to the Company’s Current Report on Form 8-K filed on February 1, 2017)</w:t>
      </w:r>
    </w:p>
    <w:p>
      <w:pPr>
        <w:spacing w:after="0" w:line="62"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(d)(7)</w:t>
      </w:r>
      <w:r>
        <w:rPr>
          <w:sz w:val="20"/>
          <w:szCs w:val="20"/>
          <w:color w:val="auto"/>
        </w:rPr>
        <w:tab/>
      </w:r>
      <w:r>
        <w:rPr>
          <w:rFonts w:ascii="Arial" w:cs="Arial" w:eastAsia="Arial" w:hAnsi="Arial"/>
          <w:sz w:val="17"/>
          <w:szCs w:val="17"/>
          <w:color w:val="auto"/>
        </w:rPr>
        <w:t>Form of Indenture (incorporated by reference to Exhibit (d)(5) to the Company’s Registration Statement on Form N-2 filed on April 16, 2015)</w:t>
      </w:r>
    </w:p>
    <w:p>
      <w:pPr>
        <w:spacing w:after="0" w:line="1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(d)(8)</w:t>
      </w:r>
      <w:r>
        <w:rPr>
          <w:sz w:val="20"/>
          <w:szCs w:val="20"/>
          <w:color w:val="auto"/>
        </w:rPr>
        <w:tab/>
      </w:r>
      <w:r>
        <w:rPr>
          <w:rFonts w:ascii="Arial" w:cs="Arial" w:eastAsia="Arial" w:hAnsi="Arial"/>
          <w:sz w:val="18"/>
          <w:szCs w:val="18"/>
          <w:color w:val="auto"/>
        </w:rPr>
        <w:t>Statement of Eligibility of Trustee on Form T-1 (1)</w:t>
      </w:r>
    </w:p>
    <w:p>
      <w:pPr>
        <w:spacing w:after="0" w:line="117" w:lineRule="exact"/>
        <w:rPr>
          <w:sz w:val="20"/>
          <w:szCs w:val="20"/>
          <w:color w:val="auto"/>
        </w:rPr>
      </w:pPr>
    </w:p>
    <w:p>
      <w:pPr>
        <w:ind w:left="720" w:right="360" w:hanging="719"/>
        <w:spacing w:after="0" w:line="277" w:lineRule="auto"/>
        <w:tabs>
          <w:tab w:leader="none" w:pos="700" w:val="left"/>
        </w:tabs>
        <w:rPr>
          <w:sz w:val="20"/>
          <w:szCs w:val="20"/>
          <w:color w:val="auto"/>
        </w:rPr>
      </w:pPr>
      <w:r>
        <w:rPr>
          <w:rFonts w:ascii="Arial" w:cs="Arial" w:eastAsia="Arial" w:hAnsi="Arial"/>
          <w:sz w:val="18"/>
          <w:szCs w:val="18"/>
          <w:color w:val="auto"/>
        </w:rPr>
        <w:t>(d)(9)</w:t>
      </w:r>
      <w:r>
        <w:rPr>
          <w:sz w:val="20"/>
          <w:szCs w:val="20"/>
          <w:color w:val="auto"/>
        </w:rPr>
        <w:tab/>
      </w:r>
      <w:r>
        <w:rPr>
          <w:rFonts w:ascii="Arial" w:cs="Arial" w:eastAsia="Arial" w:hAnsi="Arial"/>
          <w:sz w:val="18"/>
          <w:szCs w:val="18"/>
          <w:color w:val="auto"/>
        </w:rPr>
        <w:t>Form of Subscription Certificate (incorporated by reference to Exhibit (d)(7) to Pre-Effective Amendment No. 1 to the Company’s Registration Statement on Form N-2 filed on July 25, 2014)</w:t>
      </w:r>
    </w:p>
    <w:p>
      <w:pPr>
        <w:spacing w:after="0" w:line="62" w:lineRule="exact"/>
        <w:rPr>
          <w:sz w:val="20"/>
          <w:szCs w:val="20"/>
          <w:color w:val="auto"/>
        </w:rPr>
      </w:pPr>
    </w:p>
    <w:p>
      <w:pPr>
        <w:ind w:left="720" w:right="140" w:hanging="719"/>
        <w:spacing w:after="0" w:line="277" w:lineRule="auto"/>
        <w:tabs>
          <w:tab w:leader="none" w:pos="700" w:val="left"/>
        </w:tabs>
        <w:rPr>
          <w:sz w:val="20"/>
          <w:szCs w:val="20"/>
          <w:color w:val="auto"/>
        </w:rPr>
      </w:pPr>
      <w:r>
        <w:rPr>
          <w:rFonts w:ascii="Arial" w:cs="Arial" w:eastAsia="Arial" w:hAnsi="Arial"/>
          <w:sz w:val="18"/>
          <w:szCs w:val="18"/>
          <w:color w:val="auto"/>
        </w:rPr>
        <w:t>(d)(10)</w:t>
        <w:tab/>
        <w:t>Indenture, dated as of January 22, 2018, between the Company and Wells Fargo Bank, National Association, as Trustee (incorporated by reference to Exhibit 4.1 to the Company’s Current Report on Form 8-K filed on January 22, 2018)</w:t>
      </w:r>
    </w:p>
    <w:p>
      <w:pPr>
        <w:spacing w:after="0" w:line="62" w:lineRule="exact"/>
        <w:rPr>
          <w:sz w:val="20"/>
          <w:szCs w:val="20"/>
          <w:color w:val="auto"/>
        </w:rPr>
      </w:pPr>
    </w:p>
    <w:p>
      <w:pPr>
        <w:ind w:left="720" w:right="680" w:hanging="719"/>
        <w:spacing w:after="0" w:line="308" w:lineRule="auto"/>
        <w:tabs>
          <w:tab w:leader="none" w:pos="700" w:val="left"/>
        </w:tabs>
        <w:rPr>
          <w:sz w:val="20"/>
          <w:szCs w:val="20"/>
          <w:color w:val="auto"/>
        </w:rPr>
      </w:pPr>
      <w:r>
        <w:rPr>
          <w:rFonts w:ascii="Arial" w:cs="Arial" w:eastAsia="Arial" w:hAnsi="Arial"/>
          <w:sz w:val="17"/>
          <w:szCs w:val="17"/>
          <w:color w:val="auto"/>
        </w:rPr>
        <w:t>(d)(11)</w:t>
        <w:tab/>
        <w:t>First Supplemental Indenture, dated as of January 22, 2018, between the Company and Wells Fargo Bank, National Association, as Trustee (incorporated by reference to Exhibit 4.2 to the Company’s Current Report on Form 8-K filed on January 22, 2018)</w:t>
      </w:r>
    </w:p>
    <w:p>
      <w:pPr>
        <w:spacing w:after="0" w:line="38"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(d)(12)</w:t>
        <w:tab/>
        <w:t>Form of 4.50% Note Due 2023 (incorporated by reference to Exhibit 4.3 to the Company’s Current Report on Form 8-K filed on January 22, 2018)</w:t>
      </w:r>
    </w:p>
    <w:p>
      <w:pPr>
        <w:spacing w:after="0" w:line="140" w:lineRule="exact"/>
        <w:rPr>
          <w:sz w:val="20"/>
          <w:szCs w:val="20"/>
          <w:color w:val="auto"/>
        </w:rPr>
      </w:pPr>
    </w:p>
    <w:p>
      <w:pPr>
        <w:ind w:left="720" w:right="340" w:hanging="712"/>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Dividend Reinvestment Plan of TPG Specialty Lending, Inc. (incorporated by reference to Exhibit (e) to Pre-Effective Amendment No. 4 to the Company’s Registration Statement on Form N-2 filed on March 17, 2014)</w:t>
      </w:r>
    </w:p>
    <w:p>
      <w:pPr>
        <w:spacing w:after="0" w:line="62" w:lineRule="exact"/>
        <w:rPr>
          <w:rFonts w:ascii="Arial" w:cs="Arial" w:eastAsia="Arial" w:hAnsi="Arial"/>
          <w:sz w:val="18"/>
          <w:szCs w:val="18"/>
          <w:color w:val="auto"/>
        </w:rPr>
      </w:pPr>
    </w:p>
    <w:p>
      <w:pPr>
        <w:ind w:left="720" w:hanging="71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20" w:right="520" w:hanging="712"/>
        <w:spacing w:after="0" w:line="308"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363" w:lineRule="exact"/>
        <w:rPr>
          <w:sz w:val="20"/>
          <w:szCs w:val="20"/>
          <w:color w:val="auto"/>
        </w:rPr>
      </w:pPr>
    </w:p>
    <w:p>
      <w:pPr>
        <w:ind w:left="720" w:right="300" w:hanging="719"/>
        <w:spacing w:after="0" w:line="277" w:lineRule="auto"/>
        <w:tabs>
          <w:tab w:leader="none" w:pos="70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Securities (incorporated by reference to Exhibit (h)(1) to the Company’s Registration Statement on Form N-2 filed on March 31, 2016)</w:t>
      </w:r>
    </w:p>
    <w:p>
      <w:pPr>
        <w:spacing w:after="0" w:line="62" w:lineRule="exact"/>
        <w:rPr>
          <w:sz w:val="20"/>
          <w:szCs w:val="20"/>
          <w:color w:val="auto"/>
        </w:rPr>
      </w:pPr>
    </w:p>
    <w:p>
      <w:pPr>
        <w:ind w:left="720" w:hanging="719"/>
        <w:spacing w:after="0" w:line="277" w:lineRule="auto"/>
        <w:tabs>
          <w:tab w:leader="none" w:pos="70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Securities (incorporated by reference to Exhibit (h)(2) to the Company’s Registration Statement on Form N-2 filed on March 31, 2016)</w:t>
      </w:r>
    </w:p>
    <w:p>
      <w:pPr>
        <w:spacing w:after="0" w:line="6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(h)(3)</w:t>
      </w:r>
      <w:r>
        <w:rPr>
          <w:sz w:val="20"/>
          <w:szCs w:val="20"/>
          <w:color w:val="auto"/>
        </w:rPr>
        <w:tab/>
      </w:r>
      <w:r>
        <w:rPr>
          <w:rFonts w:ascii="Arial" w:cs="Arial" w:eastAsia="Arial" w:hAnsi="Arial"/>
          <w:sz w:val="16"/>
          <w:szCs w:val="16"/>
          <w:color w:val="auto"/>
        </w:rPr>
        <w:t>Underwriting Agreement, dated January 17, 2018, between the Company, the Adviser and the several underwriters named in Schedule 1 thereto (1)</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(h)(4)</w:t>
      </w:r>
      <w:r>
        <w:rPr>
          <w:sz w:val="20"/>
          <w:szCs w:val="20"/>
          <w:color w:val="auto"/>
        </w:rPr>
        <w:tab/>
      </w:r>
      <w:r>
        <w:rPr>
          <w:rFonts w:ascii="Arial" w:cs="Arial" w:eastAsia="Arial" w:hAnsi="Arial"/>
          <w:sz w:val="16"/>
          <w:szCs w:val="16"/>
          <w:color w:val="auto"/>
        </w:rPr>
        <w:t>Underwriting Agreement, dated March 20, 2018, between the Company, the Adviser and the several underwriters named in Schedule 1 thereto (1)</w:t>
      </w:r>
    </w:p>
    <w:p>
      <w:pPr>
        <w:spacing w:after="0" w:line="140" w:lineRule="exact"/>
        <w:rPr>
          <w:sz w:val="20"/>
          <w:szCs w:val="20"/>
          <w:color w:val="auto"/>
        </w:rPr>
      </w:pPr>
    </w:p>
    <w:p>
      <w:pPr>
        <w:ind w:left="720" w:hanging="71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20" w:right="140" w:hanging="712"/>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Custodian Agreement dated November 29, 2012 between TPG Specialty Lending, Inc. and State Street Bank and Trust Company (incorporated by reference to Exhibit 10.1 to the Company’s Current Report on Form 8-K filed on December 4, 2012)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382" w:right="239" w:bottom="1440" w:gutter="0" w:footer="0" w:header="0"/>
        </w:sectPr>
      </w:pPr>
    </w:p>
    <w:bookmarkStart w:id="4" w:name="page5"/>
    <w:bookmarkEnd w:id="4"/>
    <w:p>
      <w:pPr>
        <w:ind w:left="740" w:right="700" w:hanging="759"/>
        <w:spacing w:after="0" w:line="277" w:lineRule="auto"/>
        <w:tabs>
          <w:tab w:leader="none" w:pos="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(k)(1)</w:t>
      </w:r>
      <w:r>
        <w:rPr>
          <w:sz w:val="20"/>
          <w:szCs w:val="20"/>
          <w:color w:val="auto"/>
        </w:rPr>
        <w:tab/>
      </w:r>
      <w:r>
        <w:rPr>
          <w:rFonts w:ascii="Arial" w:cs="Arial" w:eastAsia="Arial" w:hAnsi="Arial"/>
          <w:sz w:val="18"/>
          <w:szCs w:val="18"/>
          <w:color w:val="auto"/>
        </w:rPr>
        <w:t>Form of Indemnification Agreement between the Company and certain officers and directors (incorporated by reference to Exhibit 10.3 to Amendment No. 1 to the Company’s Registration Statement on Form 10 filed on March 14, 2011)</w:t>
      </w:r>
    </w:p>
    <w:p>
      <w:pPr>
        <w:spacing w:after="0" w:line="62" w:lineRule="exact"/>
        <w:rPr>
          <w:sz w:val="20"/>
          <w:szCs w:val="20"/>
          <w:color w:val="auto"/>
        </w:rPr>
      </w:pPr>
    </w:p>
    <w:p>
      <w:pPr>
        <w:ind w:left="740" w:hanging="759"/>
        <w:spacing w:after="0" w:line="264" w:lineRule="auto"/>
        <w:tabs>
          <w:tab w:leader="none" w:pos="720" w:val="left"/>
        </w:tabs>
        <w:rPr>
          <w:sz w:val="20"/>
          <w:szCs w:val="20"/>
          <w:color w:val="auto"/>
        </w:rPr>
      </w:pPr>
      <w:r>
        <w:rPr>
          <w:rFonts w:ascii="Arial" w:cs="Arial" w:eastAsia="Arial" w:hAnsi="Arial"/>
          <w:sz w:val="18"/>
          <w:szCs w:val="18"/>
          <w:color w:val="auto"/>
        </w:rPr>
        <w:t>(k)(2)</w:t>
      </w:r>
      <w:r>
        <w:rPr>
          <w:sz w:val="20"/>
          <w:szCs w:val="20"/>
          <w:color w:val="auto"/>
        </w:rPr>
        <w:tab/>
      </w:r>
      <w:r>
        <w:rPr>
          <w:rFonts w:ascii="Arial" w:cs="Arial" w:eastAsia="Arial" w:hAnsi="Arial"/>
          <w:sz w:val="18"/>
          <w:szCs w:val="18"/>
          <w:color w:val="auto"/>
        </w:rPr>
        <w:t>Senior Secured Revolving Credit Agreement, dated as of August 23, 2012, among TPG Specialty Lending, Inc., as Borrower, the Lenders Party Hereto and SunTrust Bank, as Administrative Agent, JPMorgan Chase Bank, N.A., as Syndication Agent (incorporated by reference to Exhibit 10.1 to the Company’s Quarterly Report on Form 10-Q filed on November 14, 2012)</w:t>
      </w:r>
    </w:p>
    <w:p>
      <w:pPr>
        <w:spacing w:after="0" w:line="73" w:lineRule="exact"/>
        <w:rPr>
          <w:sz w:val="20"/>
          <w:szCs w:val="20"/>
          <w:color w:val="auto"/>
        </w:rPr>
      </w:pPr>
    </w:p>
    <w:p>
      <w:pPr>
        <w:ind w:left="740" w:right="340" w:hanging="759"/>
        <w:spacing w:after="0" w:line="264" w:lineRule="auto"/>
        <w:tabs>
          <w:tab w:leader="none" w:pos="720" w:val="left"/>
        </w:tabs>
        <w:rPr>
          <w:sz w:val="20"/>
          <w:szCs w:val="20"/>
          <w:color w:val="auto"/>
        </w:rPr>
      </w:pPr>
      <w:r>
        <w:rPr>
          <w:rFonts w:ascii="Arial" w:cs="Arial" w:eastAsia="Arial" w:hAnsi="Arial"/>
          <w:sz w:val="18"/>
          <w:szCs w:val="18"/>
          <w:color w:val="auto"/>
        </w:rPr>
        <w:t>(k)(3)</w:t>
      </w:r>
      <w:r>
        <w:rPr>
          <w:sz w:val="20"/>
          <w:szCs w:val="20"/>
          <w:color w:val="auto"/>
        </w:rPr>
        <w:tab/>
      </w:r>
      <w:r>
        <w:rPr>
          <w:rFonts w:ascii="Arial" w:cs="Arial" w:eastAsia="Arial" w:hAnsi="Arial"/>
          <w:sz w:val="18"/>
          <w:szCs w:val="18"/>
          <w:color w:val="auto"/>
        </w:rPr>
        <w:t>Amended and Restated Senior Secured Revolving Credit Agreement, dated as of July 2, 2013, among TPG Specialty Lending, Inc., the lenders party thereto, SunTrust Bank as administrative agent and JPMorgan Chase Bank N.A. as syndication agent (incorporated by reference to Exhibit 10.1 to the Company’s Current Report on Form 8-K filed on July 9, 2013)</w:t>
      </w:r>
    </w:p>
    <w:p>
      <w:pPr>
        <w:spacing w:after="0" w:line="73" w:lineRule="exact"/>
        <w:rPr>
          <w:sz w:val="20"/>
          <w:szCs w:val="20"/>
          <w:color w:val="auto"/>
        </w:rPr>
      </w:pPr>
    </w:p>
    <w:p>
      <w:pPr>
        <w:ind w:left="740" w:right="120" w:hanging="759"/>
        <w:spacing w:after="0" w:line="286" w:lineRule="auto"/>
        <w:tabs>
          <w:tab w:leader="none" w:pos="720" w:val="left"/>
        </w:tabs>
        <w:rPr>
          <w:sz w:val="20"/>
          <w:szCs w:val="20"/>
          <w:color w:val="auto"/>
        </w:rPr>
      </w:pPr>
      <w:r>
        <w:rPr>
          <w:rFonts w:ascii="Arial" w:cs="Arial" w:eastAsia="Arial" w:hAnsi="Arial"/>
          <w:sz w:val="17"/>
          <w:szCs w:val="17"/>
          <w:color w:val="auto"/>
        </w:rPr>
        <w:t>(k)(4)</w:t>
      </w:r>
      <w:r>
        <w:rPr>
          <w:sz w:val="20"/>
          <w:szCs w:val="20"/>
          <w:color w:val="auto"/>
        </w:rPr>
        <w:tab/>
      </w:r>
      <w:r>
        <w:rPr>
          <w:rFonts w:ascii="Arial" w:cs="Arial" w:eastAsia="Arial" w:hAnsi="Arial"/>
          <w:sz w:val="17"/>
          <w:szCs w:val="17"/>
          <w:color w:val="auto"/>
        </w:rPr>
        <w:t>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10.20 to the Company’s Annual Report on Form 10-K filed on March 4, 2014)</w:t>
      </w:r>
    </w:p>
    <w:p>
      <w:pPr>
        <w:spacing w:after="0" w:line="57" w:lineRule="exact"/>
        <w:rPr>
          <w:sz w:val="20"/>
          <w:szCs w:val="20"/>
          <w:color w:val="auto"/>
        </w:rPr>
      </w:pPr>
    </w:p>
    <w:p>
      <w:pPr>
        <w:ind w:left="740" w:right="120" w:hanging="759"/>
        <w:spacing w:after="0" w:line="312" w:lineRule="auto"/>
        <w:tabs>
          <w:tab w:leader="none" w:pos="720" w:val="left"/>
        </w:tabs>
        <w:rPr>
          <w:sz w:val="20"/>
          <w:szCs w:val="20"/>
          <w:color w:val="auto"/>
        </w:rPr>
      </w:pPr>
      <w:r>
        <w:rPr>
          <w:rFonts w:ascii="Arial" w:cs="Arial" w:eastAsia="Arial" w:hAnsi="Arial"/>
          <w:sz w:val="16"/>
          <w:szCs w:val="16"/>
          <w:color w:val="auto"/>
        </w:rPr>
        <w:t>(k)(5)</w:t>
      </w:r>
      <w:r>
        <w:rPr>
          <w:sz w:val="20"/>
          <w:szCs w:val="20"/>
          <w:color w:val="auto"/>
        </w:rPr>
        <w:tab/>
      </w:r>
      <w:r>
        <w:rPr>
          <w:rFonts w:ascii="Arial" w:cs="Arial" w:eastAsia="Arial" w:hAnsi="Arial"/>
          <w:sz w:val="16"/>
          <w:szCs w:val="16"/>
          <w:color w:val="auto"/>
        </w:rPr>
        <w:t>Form of Increase Letter pursuant to the 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10.3 to the Company’s Quarterly Report on Form 10-Q filed on August 4, 2014)</w:t>
      </w:r>
    </w:p>
    <w:p>
      <w:pPr>
        <w:spacing w:after="0" w:line="39" w:lineRule="exact"/>
        <w:rPr>
          <w:sz w:val="20"/>
          <w:szCs w:val="20"/>
          <w:color w:val="auto"/>
        </w:rPr>
      </w:pPr>
    </w:p>
    <w:p>
      <w:pPr>
        <w:ind w:left="740" w:right="60" w:hanging="759"/>
        <w:spacing w:after="0" w:line="264" w:lineRule="auto"/>
        <w:tabs>
          <w:tab w:leader="none" w:pos="720" w:val="left"/>
        </w:tabs>
        <w:rPr>
          <w:sz w:val="20"/>
          <w:szCs w:val="20"/>
          <w:color w:val="auto"/>
        </w:rPr>
      </w:pPr>
      <w:r>
        <w:rPr>
          <w:rFonts w:ascii="Arial" w:cs="Arial" w:eastAsia="Arial" w:hAnsi="Arial"/>
          <w:sz w:val="18"/>
          <w:szCs w:val="18"/>
          <w:color w:val="auto"/>
        </w:rPr>
        <w:t>(k)(6)</w:t>
      </w:r>
      <w:r>
        <w:rPr>
          <w:sz w:val="20"/>
          <w:szCs w:val="20"/>
          <w:color w:val="auto"/>
        </w:rPr>
        <w:tab/>
      </w:r>
      <w:r>
        <w:rPr>
          <w:rFonts w:ascii="Arial" w:cs="Arial" w:eastAsia="Arial" w:hAnsi="Arial"/>
          <w:sz w:val="18"/>
          <w:szCs w:val="18"/>
          <w:color w:val="auto"/>
        </w:rPr>
        <w:t>First Amendment to the Second Amended and Restated Senior Secured Revolving Credit Agreement, dated June 3, 2014, among TPG Specialty Lending, Inc., as Borrower, the Lenders party thereto and SunTrust Bank, as Administrative Agent and Collateral Agent (incorporated by reference to Exhibit 10.4 to the Company’s Quarterly Report on Form 10-Q filed on August 4, 2014)</w:t>
      </w:r>
    </w:p>
    <w:p>
      <w:pPr>
        <w:spacing w:after="0" w:line="73" w:lineRule="exact"/>
        <w:rPr>
          <w:sz w:val="20"/>
          <w:szCs w:val="20"/>
          <w:color w:val="auto"/>
        </w:rPr>
      </w:pPr>
    </w:p>
    <w:p>
      <w:pPr>
        <w:ind w:left="740" w:right="440" w:hanging="759"/>
        <w:spacing w:after="0" w:line="286" w:lineRule="auto"/>
        <w:tabs>
          <w:tab w:leader="none" w:pos="720" w:val="left"/>
        </w:tabs>
        <w:rPr>
          <w:sz w:val="20"/>
          <w:szCs w:val="20"/>
          <w:color w:val="auto"/>
        </w:rPr>
      </w:pPr>
      <w:r>
        <w:rPr>
          <w:rFonts w:ascii="Arial" w:cs="Arial" w:eastAsia="Arial" w:hAnsi="Arial"/>
          <w:sz w:val="17"/>
          <w:szCs w:val="17"/>
          <w:color w:val="auto"/>
        </w:rPr>
        <w:t>(k)(7)</w:t>
      </w:r>
      <w:r>
        <w:rPr>
          <w:sz w:val="20"/>
          <w:szCs w:val="20"/>
          <w:color w:val="auto"/>
        </w:rPr>
        <w:tab/>
      </w:r>
      <w:r>
        <w:rPr>
          <w:rFonts w:ascii="Arial" w:cs="Arial" w:eastAsia="Arial" w:hAnsi="Arial"/>
          <w:sz w:val="17"/>
          <w:szCs w:val="17"/>
          <w:color w:val="auto"/>
        </w:rPr>
        <w:t>Second Amendment to the Second Amended and Restated Senior Secured Revolving Credit Agreement, dated June 27, 2014, among TPG Specialty Lending, Inc., as Borrower, Morgan Stanley Bank, N.A., as a Lender, and SunTrust Bank, as Administrative Agent (incorporated by reference to Exhibit 10.5 to the Company’s Quarterly Report on Form 10-Q filed on August 4, 2014)</w:t>
      </w:r>
    </w:p>
    <w:p>
      <w:pPr>
        <w:spacing w:after="0" w:line="57" w:lineRule="exact"/>
        <w:rPr>
          <w:sz w:val="20"/>
          <w:szCs w:val="20"/>
          <w:color w:val="auto"/>
        </w:rPr>
      </w:pPr>
    </w:p>
    <w:p>
      <w:pPr>
        <w:ind w:left="740" w:right="140" w:hanging="759"/>
        <w:spacing w:after="0" w:line="264" w:lineRule="auto"/>
        <w:tabs>
          <w:tab w:leader="none" w:pos="720" w:val="left"/>
        </w:tabs>
        <w:rPr>
          <w:sz w:val="20"/>
          <w:szCs w:val="20"/>
          <w:color w:val="auto"/>
        </w:rPr>
      </w:pPr>
      <w:r>
        <w:rPr>
          <w:rFonts w:ascii="Arial" w:cs="Arial" w:eastAsia="Arial" w:hAnsi="Arial"/>
          <w:sz w:val="18"/>
          <w:szCs w:val="18"/>
          <w:color w:val="auto"/>
        </w:rPr>
        <w:t>(k)(8)</w:t>
      </w:r>
      <w:r>
        <w:rPr>
          <w:sz w:val="20"/>
          <w:szCs w:val="20"/>
          <w:color w:val="auto"/>
        </w:rPr>
        <w:tab/>
      </w:r>
      <w:r>
        <w:rPr>
          <w:rFonts w:ascii="Arial" w:cs="Arial" w:eastAsia="Arial" w:hAnsi="Arial"/>
          <w:sz w:val="18"/>
          <w:szCs w:val="18"/>
          <w:color w:val="auto"/>
        </w:rPr>
        <w:t>Third Amendment to the Second Amended and Restated Senior Secured Revolving Credit Agreement, dated October 17, 2014, among TPG Specialty Lending, Inc., as Borrower, the Lenders party thereto and SunTrust Bank, as Administrative Agent (incorporated by reference to Exhibit 10.1 to the Company’s Quarterly Report on Form 10-Q filed on November 3, 2014)</w:t>
      </w:r>
    </w:p>
    <w:p>
      <w:pPr>
        <w:spacing w:after="0" w:line="73" w:lineRule="exact"/>
        <w:rPr>
          <w:sz w:val="20"/>
          <w:szCs w:val="20"/>
          <w:color w:val="auto"/>
        </w:rPr>
      </w:pPr>
    </w:p>
    <w:p>
      <w:pPr>
        <w:jc w:val="both"/>
        <w:ind w:left="740" w:right="100" w:hanging="759"/>
        <w:spacing w:after="0" w:line="264" w:lineRule="auto"/>
        <w:tabs>
          <w:tab w:leader="none" w:pos="720" w:val="left"/>
        </w:tabs>
        <w:rPr>
          <w:sz w:val="20"/>
          <w:szCs w:val="20"/>
          <w:color w:val="auto"/>
        </w:rPr>
      </w:pPr>
      <w:r>
        <w:rPr>
          <w:rFonts w:ascii="Arial" w:cs="Arial" w:eastAsia="Arial" w:hAnsi="Arial"/>
          <w:sz w:val="18"/>
          <w:szCs w:val="18"/>
          <w:color w:val="auto"/>
        </w:rPr>
        <w:t>(k)(9)</w:t>
      </w:r>
      <w:r>
        <w:rPr>
          <w:sz w:val="20"/>
          <w:szCs w:val="20"/>
          <w:color w:val="auto"/>
        </w:rPr>
        <w:tab/>
      </w:r>
      <w:r>
        <w:rPr>
          <w:rFonts w:ascii="Arial" w:cs="Arial" w:eastAsia="Arial" w:hAnsi="Arial"/>
          <w:sz w:val="18"/>
          <w:szCs w:val="18"/>
          <w:color w:val="auto"/>
        </w:rPr>
        <w:t>Fourth Amendment to Second Amended and Restated Senior Secured Revolving Credit Agreement, dated October 2, 2015, among TPG Specialty Lending, Inc., as Borrower, the Lenders party thereto and Suntrust Bank, as Administrative Agent (incorporated by reference to Exhibit 10.1 to the Company’s Quarterly Report on Form 10-Q filed on November 3, 2015)</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60" w:top="382" w:right="239" w:bottom="1440" w:gutter="0" w:footer="0" w:header="0"/>
        </w:sectPr>
      </w:pPr>
    </w:p>
    <w:bookmarkStart w:id="5" w:name="page6"/>
    <w:bookmarkEnd w:id="5"/>
    <w:p>
      <w:pPr>
        <w:jc w:val="both"/>
        <w:ind w:left="940" w:right="460" w:hanging="939"/>
        <w:spacing w:after="0" w:line="264" w:lineRule="auto"/>
        <w:tabs>
          <w:tab w:leader="none" w:pos="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(k)(10)</w:t>
      </w:r>
      <w:r>
        <w:rPr>
          <w:sz w:val="20"/>
          <w:szCs w:val="20"/>
          <w:color w:val="auto"/>
        </w:rPr>
        <w:tab/>
      </w:r>
      <w:r>
        <w:rPr>
          <w:rFonts w:ascii="Arial" w:cs="Arial" w:eastAsia="Arial" w:hAnsi="Arial"/>
          <w:sz w:val="18"/>
          <w:szCs w:val="18"/>
          <w:color w:val="auto"/>
        </w:rPr>
        <w:t>Fifth Amendment to Second Amended and Restated Senior Secured Revolving Credit Agreement, dated December 22, 2016, among TPG Specialty Lending, Inc., as Borrower, the Lenders party thereto and SunTrust Bank, as Administrative Agent (incorporated by reference to Exhibit 10.15 to the Company’s Annual Report on Form 10-K filed on February 22, 2017)</w:t>
      </w:r>
    </w:p>
    <w:p>
      <w:pPr>
        <w:spacing w:after="0" w:line="73" w:lineRule="exact"/>
        <w:rPr>
          <w:sz w:val="20"/>
          <w:szCs w:val="20"/>
          <w:color w:val="auto"/>
        </w:rPr>
      </w:pPr>
    </w:p>
    <w:p>
      <w:pPr>
        <w:ind w:left="940" w:right="380" w:hanging="939"/>
        <w:spacing w:after="0" w:line="277" w:lineRule="auto"/>
        <w:tabs>
          <w:tab w:leader="none" w:pos="920" w:val="left"/>
        </w:tabs>
        <w:rPr>
          <w:sz w:val="20"/>
          <w:szCs w:val="20"/>
          <w:color w:val="auto"/>
        </w:rPr>
      </w:pPr>
      <w:r>
        <w:rPr>
          <w:rFonts w:ascii="Arial" w:cs="Arial" w:eastAsia="Arial" w:hAnsi="Arial"/>
          <w:sz w:val="18"/>
          <w:szCs w:val="18"/>
          <w:color w:val="auto"/>
        </w:rPr>
        <w:t>(k)(11)</w:t>
      </w:r>
      <w:r>
        <w:rPr>
          <w:sz w:val="20"/>
          <w:szCs w:val="20"/>
          <w:color w:val="auto"/>
        </w:rPr>
        <w:tab/>
      </w:r>
      <w:r>
        <w:rPr>
          <w:rFonts w:ascii="Arial" w:cs="Arial" w:eastAsia="Arial" w:hAnsi="Arial"/>
          <w:sz w:val="18"/>
          <w:szCs w:val="18"/>
          <w:color w:val="auto"/>
        </w:rPr>
        <w:t>Amended and Restated Administration Agreement, dated as of February 22, 2017, between the Company and the Adviser (incorporated by reference to Exhibit 10.16 to the Company’s Annual Report on Form 10-K filed on February 22, 2017)</w:t>
      </w:r>
    </w:p>
    <w:p>
      <w:pPr>
        <w:spacing w:after="0" w:line="62" w:lineRule="exact"/>
        <w:rPr>
          <w:sz w:val="20"/>
          <w:szCs w:val="20"/>
          <w:color w:val="auto"/>
        </w:rPr>
      </w:pPr>
    </w:p>
    <w:p>
      <w:pPr>
        <w:jc w:val="both"/>
        <w:ind w:left="940" w:right="460" w:hanging="939"/>
        <w:spacing w:after="0" w:line="264" w:lineRule="auto"/>
        <w:tabs>
          <w:tab w:leader="none" w:pos="920" w:val="left"/>
        </w:tabs>
        <w:rPr>
          <w:sz w:val="20"/>
          <w:szCs w:val="20"/>
          <w:color w:val="auto"/>
        </w:rPr>
      </w:pPr>
      <w:r>
        <w:rPr>
          <w:rFonts w:ascii="Arial" w:cs="Arial" w:eastAsia="Arial" w:hAnsi="Arial"/>
          <w:sz w:val="18"/>
          <w:szCs w:val="18"/>
          <w:color w:val="auto"/>
        </w:rPr>
        <w:t>(k)(12)</w:t>
      </w:r>
      <w:r>
        <w:rPr>
          <w:sz w:val="20"/>
          <w:szCs w:val="20"/>
          <w:color w:val="auto"/>
        </w:rPr>
        <w:tab/>
      </w:r>
      <w:r>
        <w:rPr>
          <w:rFonts w:ascii="Arial" w:cs="Arial" w:eastAsia="Arial" w:hAnsi="Arial"/>
          <w:sz w:val="18"/>
          <w:szCs w:val="18"/>
          <w:color w:val="auto"/>
        </w:rPr>
        <w:t>Sixth Amendment to Second Amended and Restated Senior Secured Revolving Credit Agreement, dated February 20, 2018, among TPG Specialty Lending, Inc., as Borrower, the Lenders party thereto and SunTrust Bank, as Administrative Agent (incorporated by reference to Exhibit 10.16 to the Company’s Annual Report on Form 10-K filed on February 21, 2018)</w:t>
      </w:r>
    </w:p>
    <w:p>
      <w:pPr>
        <w:spacing w:after="0" w:line="7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(l)(1)</w:t>
      </w:r>
      <w:r>
        <w:rPr>
          <w:sz w:val="20"/>
          <w:szCs w:val="20"/>
          <w:color w:val="auto"/>
        </w:rPr>
        <w:tab/>
      </w:r>
      <w:r>
        <w:rPr>
          <w:rFonts w:ascii="Arial" w:cs="Arial" w:eastAsia="Arial" w:hAnsi="Arial"/>
          <w:sz w:val="18"/>
          <w:szCs w:val="18"/>
          <w:color w:val="auto"/>
        </w:rPr>
        <w:t>Opinion and Consent of Cleary Gottlieb Steen &amp; Hamilton LLP, dated April 7, 2017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Opinion and Consent of Cleary Gottlieb Steen &amp; Hamilton LLP, dated January 22, 2018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(l)(3)</w:t>
      </w:r>
      <w:r>
        <w:rPr>
          <w:sz w:val="20"/>
          <w:szCs w:val="20"/>
          <w:color w:val="auto"/>
        </w:rPr>
        <w:tab/>
      </w:r>
      <w:r>
        <w:rPr>
          <w:rFonts w:ascii="Arial" w:cs="Arial" w:eastAsia="Arial" w:hAnsi="Arial"/>
          <w:sz w:val="18"/>
          <w:szCs w:val="18"/>
          <w:color w:val="auto"/>
        </w:rPr>
        <w:t>Opinion and Consent of Cleary Gottlieb Steen &amp; Hamilton LLP, dated March 23, 2018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(l)(4)</w:t>
      </w:r>
      <w:r>
        <w:rPr>
          <w:sz w:val="20"/>
          <w:szCs w:val="20"/>
          <w:color w:val="auto"/>
        </w:rPr>
        <w:tab/>
      </w:r>
      <w:r>
        <w:rPr>
          <w:rFonts w:ascii="Arial" w:cs="Arial" w:eastAsia="Arial" w:hAnsi="Arial"/>
          <w:sz w:val="18"/>
          <w:szCs w:val="18"/>
          <w:color w:val="auto"/>
        </w:rPr>
        <w:t>Opinion and Consent of Cleary Gottlieb Steen &amp; Hamilton LLP, dated April 24, 2018</w:t>
      </w:r>
    </w:p>
    <w:p>
      <w:pPr>
        <w:spacing w:after="0" w:line="117" w:lineRule="exact"/>
        <w:rPr>
          <w:sz w:val="20"/>
          <w:szCs w:val="20"/>
          <w:color w:val="auto"/>
        </w:rPr>
      </w:pPr>
    </w:p>
    <w:p>
      <w:pPr>
        <w:ind w:left="940" w:hanging="932"/>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(n)(1)</w:t>
      </w:r>
      <w:r>
        <w:rPr>
          <w:sz w:val="20"/>
          <w:szCs w:val="20"/>
          <w:color w:val="auto"/>
        </w:rPr>
        <w:tab/>
      </w:r>
      <w:r>
        <w:rPr>
          <w:rFonts w:ascii="Arial" w:cs="Arial" w:eastAsia="Arial" w:hAnsi="Arial"/>
          <w:sz w:val="18"/>
          <w:szCs w:val="18"/>
          <w:color w:val="auto"/>
        </w:rPr>
        <w:t>Consent of Cleary Gottlieb Steen &amp; Hamilton LLP, dated April 7, 2017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(n)(2)</w:t>
      </w:r>
      <w:r>
        <w:rPr>
          <w:sz w:val="20"/>
          <w:szCs w:val="20"/>
          <w:color w:val="auto"/>
        </w:rPr>
        <w:tab/>
      </w:r>
      <w:r>
        <w:rPr>
          <w:rFonts w:ascii="Arial" w:cs="Arial" w:eastAsia="Arial" w:hAnsi="Arial"/>
          <w:sz w:val="18"/>
          <w:szCs w:val="18"/>
          <w:color w:val="auto"/>
        </w:rPr>
        <w:t>Consent of KPMG LLP, dated May 19, 2017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(n)(3)</w:t>
      </w:r>
      <w:r>
        <w:rPr>
          <w:sz w:val="20"/>
          <w:szCs w:val="20"/>
          <w:color w:val="auto"/>
        </w:rPr>
        <w:tab/>
      </w:r>
      <w:r>
        <w:rPr>
          <w:rFonts w:ascii="Arial" w:cs="Arial" w:eastAsia="Arial" w:hAnsi="Arial"/>
          <w:sz w:val="18"/>
          <w:szCs w:val="18"/>
          <w:color w:val="auto"/>
        </w:rPr>
        <w:t>Report of KPMG LLP, dated April 7, 2017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(n)(4)</w:t>
      </w:r>
      <w:r>
        <w:rPr>
          <w:sz w:val="20"/>
          <w:szCs w:val="20"/>
          <w:color w:val="auto"/>
        </w:rPr>
        <w:tab/>
      </w:r>
      <w:r>
        <w:rPr>
          <w:rFonts w:ascii="Arial" w:cs="Arial" w:eastAsia="Arial" w:hAnsi="Arial"/>
          <w:sz w:val="18"/>
          <w:szCs w:val="18"/>
          <w:color w:val="auto"/>
        </w:rPr>
        <w:t>Consent of Cleary Gottlieb Steen &amp; Hamilton LLP, dated January 22, 2018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(n)(5)</w:t>
      </w:r>
      <w:r>
        <w:rPr>
          <w:sz w:val="20"/>
          <w:szCs w:val="20"/>
          <w:color w:val="auto"/>
        </w:rPr>
        <w:tab/>
      </w:r>
      <w:r>
        <w:rPr>
          <w:rFonts w:ascii="Arial" w:cs="Arial" w:eastAsia="Arial" w:hAnsi="Arial"/>
          <w:sz w:val="18"/>
          <w:szCs w:val="18"/>
          <w:color w:val="auto"/>
        </w:rPr>
        <w:t>Consent of KPMG LLP, dated March 20, 2018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(n)(6)</w:t>
      </w:r>
      <w:r>
        <w:rPr>
          <w:sz w:val="20"/>
          <w:szCs w:val="20"/>
          <w:color w:val="auto"/>
        </w:rPr>
        <w:tab/>
      </w:r>
      <w:r>
        <w:rPr>
          <w:rFonts w:ascii="Arial" w:cs="Arial" w:eastAsia="Arial" w:hAnsi="Arial"/>
          <w:sz w:val="18"/>
          <w:szCs w:val="18"/>
          <w:color w:val="auto"/>
        </w:rPr>
        <w:t>Report of KPMG LLP, dated March 20, 2018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(n)(7)</w:t>
      </w:r>
      <w:r>
        <w:rPr>
          <w:sz w:val="20"/>
          <w:szCs w:val="20"/>
          <w:color w:val="auto"/>
        </w:rPr>
        <w:tab/>
      </w:r>
      <w:r>
        <w:rPr>
          <w:rFonts w:ascii="Arial" w:cs="Arial" w:eastAsia="Arial" w:hAnsi="Arial"/>
          <w:sz w:val="18"/>
          <w:szCs w:val="18"/>
          <w:color w:val="auto"/>
        </w:rPr>
        <w:t>Consent of Cleary Gottlieb Steen &amp; Hamilton LLP, dated March 23, 2018 (included in Exhibit (l)(3))</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(n)(8)</w:t>
      </w:r>
      <w:r>
        <w:rPr>
          <w:sz w:val="20"/>
          <w:szCs w:val="20"/>
          <w:color w:val="auto"/>
        </w:rPr>
        <w:tab/>
      </w:r>
      <w:r>
        <w:rPr>
          <w:rFonts w:ascii="Arial" w:cs="Arial" w:eastAsia="Arial" w:hAnsi="Arial"/>
          <w:sz w:val="18"/>
          <w:szCs w:val="18"/>
          <w:color w:val="auto"/>
        </w:rPr>
        <w:t>Consent of Cleary Gottlieb Steen &amp; Hamilton LLP, dated April 24, 2018 (included in Exhibit (l)(4))</w:t>
      </w:r>
    </w:p>
    <w:p>
      <w:pPr>
        <w:spacing w:after="0" w:line="117" w:lineRule="exact"/>
        <w:rPr>
          <w:sz w:val="20"/>
          <w:szCs w:val="20"/>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(r)(1)</w:t>
            </w:r>
          </w:p>
        </w:tc>
        <w:tc>
          <w:tcPr>
            <w:tcW w:w="10680" w:type="dxa"/>
            <w:vAlign w:val="bottom"/>
          </w:tcPr>
          <w:p>
            <w:pPr>
              <w:ind w:left="280"/>
              <w:spacing w:after="0"/>
              <w:rPr>
                <w:sz w:val="20"/>
                <w:szCs w:val="20"/>
                <w:color w:val="auto"/>
              </w:rPr>
            </w:pPr>
            <w:r>
              <w:rPr>
                <w:rFonts w:ascii="Arial" w:cs="Arial" w:eastAsia="Arial" w:hAnsi="Arial"/>
                <w:sz w:val="18"/>
                <w:szCs w:val="18"/>
                <w:color w:val="auto"/>
                <w:w w:val="91"/>
              </w:rPr>
              <w:t>Code of Ethics of TPG Specialty Lending, Inc. (incorporated by reference to Exhibit (r)(1) to Pre-Effective Amendment No. 4 to the Company’s</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Registration Statement on Form N-2 filed on March 17,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(r)(2)</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Code of Ethics of TSL Advisers, LLC (incorporated by reference to Exhibit (r)(2) to Pre-Effective Amendment No. 4 to the Company’s</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Registration Statement on Form N-2 filed on March 17,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Form of Preliminary Prospectus Supplement For Common Stock Offerings (incorporated by reference to Exhibit 99.1 to Pre-Effective</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99.2</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Form of Preliminary Prospectus Supplement For Preferred Stock Offerings (incorporated by reference to Exhibit 99.2 to Pre-Effective</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99.3</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Form of Preliminary Prospectus Supplement For Debt Securities Offerings (incorporated by reference to Exhibit 99.3 to Pre-Effective</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99.4</w:t>
            </w:r>
          </w:p>
        </w:tc>
        <w:tc>
          <w:tcPr>
            <w:tcW w:w="10680" w:type="dxa"/>
            <w:vAlign w:val="bottom"/>
          </w:tcPr>
          <w:p>
            <w:pPr>
              <w:ind w:left="280"/>
              <w:spacing w:after="0"/>
              <w:rPr>
                <w:sz w:val="20"/>
                <w:szCs w:val="20"/>
                <w:color w:val="auto"/>
              </w:rPr>
            </w:pPr>
            <w:r>
              <w:rPr>
                <w:rFonts w:ascii="Arial" w:cs="Arial" w:eastAsia="Arial" w:hAnsi="Arial"/>
                <w:sz w:val="18"/>
                <w:szCs w:val="18"/>
                <w:color w:val="auto"/>
                <w:w w:val="91"/>
              </w:rPr>
              <w:t>Form of Preliminary Prospectus Supplement For Rights Offerings (incorporated by reference to Exhibit 99.4 to Pre-Effective Amendment No. 1</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to the Company’s Registration Statement on Form N-2 filed on July 25, 2014)</w:t>
            </w:r>
          </w:p>
        </w:tc>
      </w:tr>
      <w:tr>
        <w:trPr>
          <w:trHeight w:val="365"/>
        </w:trPr>
        <w:tc>
          <w:tcPr>
            <w:tcW w:w="660" w:type="dxa"/>
            <w:vAlign w:val="bottom"/>
          </w:tcPr>
          <w:p>
            <w:pPr>
              <w:spacing w:after="0"/>
              <w:rPr>
                <w:sz w:val="24"/>
                <w:szCs w:val="24"/>
                <w:color w:val="auto"/>
              </w:rPr>
            </w:pPr>
          </w:p>
        </w:tc>
        <w:tc>
          <w:tcPr>
            <w:tcW w:w="10680" w:type="dxa"/>
            <w:vAlign w:val="bottom"/>
          </w:tcPr>
          <w:p>
            <w:pPr>
              <w:ind w:left="4920"/>
              <w:spacing w:after="0"/>
              <w:rPr>
                <w:sz w:val="20"/>
                <w:szCs w:val="20"/>
                <w:color w:val="auto"/>
              </w:rPr>
            </w:pPr>
            <w:r>
              <w:rPr>
                <w:rFonts w:ascii="Arial" w:cs="Arial" w:eastAsia="Arial" w:hAnsi="Arial"/>
                <w:sz w:val="18"/>
                <w:szCs w:val="18"/>
                <w:color w:val="auto"/>
              </w:rPr>
              <w:t>C-4</w:t>
            </w:r>
          </w:p>
        </w:tc>
      </w:tr>
    </w:tbl>
    <w:p>
      <w:pPr>
        <w:sectPr>
          <w:pgSz w:w="11900" w:h="16838" w:orient="portrait"/>
          <w:cols w:equalWidth="0" w:num="1">
            <w:col w:w="11340"/>
          </w:cols>
          <w:pgMar w:left="240" w:top="382" w:right="319" w:bottom="1440" w:gutter="0" w:footer="0" w:header="0"/>
        </w:sectPr>
      </w:pPr>
    </w:p>
    <w:bookmarkStart w:id="6" w:name="page7"/>
    <w:bookmarkEnd w:id="6"/>
    <w:p>
      <w:pPr>
        <w:ind w:left="700" w:hanging="688"/>
        <w:spacing w:after="0" w:line="277" w:lineRule="auto"/>
        <w:tabs>
          <w:tab w:leader="none" w:pos="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99.5</w:t>
      </w:r>
      <w:r>
        <w:rPr>
          <w:sz w:val="20"/>
          <w:szCs w:val="20"/>
          <w:color w:val="auto"/>
        </w:rPr>
        <w:tab/>
      </w:r>
      <w:r>
        <w:rPr>
          <w:rFonts w:ascii="Arial" w:cs="Arial" w:eastAsia="Arial" w:hAnsi="Arial"/>
          <w:sz w:val="18"/>
          <w:szCs w:val="18"/>
          <w:color w:val="auto"/>
        </w:rPr>
        <w:t>Form of Preliminary Prospectus Supplement For Warrant Offerings (incorporated by reference to Exhibit 99.5 to Pre-Effective Amendment No. 1 to the Company’s Registration Statement on Form N-2 filed on July 25, 2014)</w:t>
      </w:r>
    </w:p>
    <w:p>
      <w:pPr>
        <w:spacing w:after="0" w:line="6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99.6</w:t>
      </w:r>
      <w:r>
        <w:rPr>
          <w:sz w:val="20"/>
          <w:szCs w:val="20"/>
          <w:color w:val="auto"/>
        </w:rPr>
        <w:tab/>
      </w:r>
      <w:r>
        <w:rPr>
          <w:rFonts w:ascii="Arial" w:cs="Arial" w:eastAsia="Arial" w:hAnsi="Arial"/>
          <w:sz w:val="16"/>
          <w:szCs w:val="16"/>
          <w:color w:val="auto"/>
        </w:rPr>
        <w:t>Statement of Computation of Ratio of Earnings to Fixed Charges (1)</w:t>
      </w:r>
    </w:p>
    <w:p>
      <w:pPr>
        <w:spacing w:after="0" w:line="25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 as an exhibit to this registration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26. Marketing Arrangements</w:t>
      </w:r>
    </w:p>
    <w:p>
      <w:pPr>
        <w:spacing w:after="0" w:line="121" w:lineRule="exact"/>
        <w:rPr>
          <w:sz w:val="20"/>
          <w:szCs w:val="20"/>
          <w:color w:val="auto"/>
        </w:rPr>
      </w:pPr>
    </w:p>
    <w:p>
      <w:pPr>
        <w:ind w:right="220" w:firstLine="913"/>
        <w:spacing w:after="0" w:line="308" w:lineRule="auto"/>
        <w:rPr>
          <w:sz w:val="20"/>
          <w:szCs w:val="20"/>
          <w:color w:val="auto"/>
        </w:rPr>
      </w:pPr>
      <w:r>
        <w:rPr>
          <w:rFonts w:ascii="Arial" w:cs="Arial" w:eastAsia="Arial" w:hAnsi="Arial"/>
          <w:sz w:val="17"/>
          <w:szCs w:val="17"/>
          <w:color w:val="auto"/>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Item 27. Other Expenses of Issuance and Distribution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86,925*</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113,000**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300,000(1)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10,075(1)</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700,000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amounts are estimates.</w:t>
      </w:r>
    </w:p>
    <w:p>
      <w:pPr>
        <w:spacing w:after="0" w:line="23" w:lineRule="exact"/>
        <w:rPr>
          <w:sz w:val="20"/>
          <w:szCs w:val="20"/>
          <w:color w:val="auto"/>
        </w:rPr>
      </w:pPr>
    </w:p>
    <w:p>
      <w:pPr>
        <w:ind w:right="460" w:firstLine="8"/>
        <w:spacing w:after="0" w:line="323" w:lineRule="auto"/>
        <w:tabs>
          <w:tab w:leader="none" w:pos="446" w:val="left"/>
        </w:tabs>
        <w:numPr>
          <w:ilvl w:val="0"/>
          <w:numId w:val="9"/>
        </w:numPr>
        <w:rPr>
          <w:rFonts w:ascii="Arial" w:cs="Arial" w:eastAsia="Arial" w:hAnsi="Arial"/>
          <w:sz w:val="16"/>
          <w:szCs w:val="16"/>
          <w:color w:val="auto"/>
        </w:rPr>
      </w:pPr>
      <w:r>
        <w:rPr>
          <w:rFonts w:ascii="Arial" w:cs="Arial" w:eastAsia="Arial" w:hAnsi="Arial"/>
          <w:sz w:val="16"/>
          <w:szCs w:val="16"/>
          <w:color w:val="auto"/>
        </w:rPr>
        <w:t>$77,609.98 of this amount has been offset against filing fees associated with unsold securities registered under a previous registration statement. ** $101,185.00 of this amount has been offset against filing fees associated with unsold securities registered under a previous registration statement.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28. Persons Controlled by or Under Common Control</w:t>
      </w:r>
    </w:p>
    <w:p>
      <w:pPr>
        <w:spacing w:after="0" w:line="121"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29. Number of Holders of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approximate number of record holders of our common stock as of May 15, 2017.</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Title of Class</w:t>
            </w:r>
          </w:p>
        </w:tc>
        <w:tc>
          <w:tcPr>
            <w:tcW w:w="4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Number of Record Holders</w:t>
            </w:r>
          </w:p>
        </w:tc>
      </w:tr>
      <w:tr>
        <w:trPr>
          <w:trHeight w:val="210"/>
        </w:trPr>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$0.01 par value</w:t>
            </w:r>
          </w:p>
        </w:tc>
        <w:tc>
          <w:tcPr>
            <w:tcW w:w="29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top w:val="single" w:sz="8" w:color="CCEEFF"/>
            </w:tcBorders>
            <w:shd w:val="clear" w:color="auto" w:fill="CCEEFF"/>
          </w:tcPr>
          <w:p>
            <w:pPr>
              <w:spacing w:after="0"/>
              <w:rPr>
                <w:sz w:val="18"/>
                <w:szCs w:val="18"/>
                <w:color w:val="auto"/>
              </w:rPr>
            </w:pPr>
          </w:p>
        </w:tc>
      </w:tr>
      <w:tr>
        <w:trPr>
          <w:trHeight w:val="365"/>
        </w:trPr>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720" w:type="dxa"/>
            <w:vAlign w:val="bottom"/>
            <w:gridSpan w:val="3"/>
          </w:tcPr>
          <w:p>
            <w:pPr>
              <w:ind w:left="700"/>
              <w:spacing w:after="0"/>
              <w:rPr>
                <w:sz w:val="20"/>
                <w:szCs w:val="20"/>
                <w:color w:val="auto"/>
              </w:rPr>
            </w:pPr>
            <w:r>
              <w:rPr>
                <w:rFonts w:ascii="Arial" w:cs="Arial" w:eastAsia="Arial" w:hAnsi="Arial"/>
                <w:sz w:val="18"/>
                <w:szCs w:val="18"/>
                <w:color w:val="auto"/>
              </w:rPr>
              <w:t>C-5</w:t>
            </w:r>
          </w:p>
        </w:tc>
      </w:tr>
    </w:tbl>
    <w:p>
      <w:pPr>
        <w:sectPr>
          <w:pgSz w:w="11900" w:h="16838" w:orient="portrait"/>
          <w:cols w:equalWidth="0" w:num="1">
            <w:col w:w="11380"/>
          </w:cols>
          <w:pgMar w:left="240" w:top="382"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 Indemnification</w:t>
      </w:r>
    </w:p>
    <w:p>
      <w:pPr>
        <w:spacing w:after="0" w:line="12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Section 145 of the DGCL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66"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93"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In addition, we have entered into indemnification agreements with our directors and officers that provide for a contractual right to indemnification to the fullest extent permitted by the DGCL. A form of indemnification agreement has been filed as an exhibit to this Registration Statement.</w:t>
      </w:r>
    </w:p>
    <w:p>
      <w:pPr>
        <w:spacing w:after="0" w:line="124"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88"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20"/>
          </w:cols>
          <w:pgMar w:left="240" w:top="270" w:right="239" w:bottom="1440" w:gutter="0" w:footer="0" w:header="0"/>
        </w:sectPr>
      </w:pPr>
    </w:p>
    <w:bookmarkStart w:id="8" w:name="page9"/>
    <w:bookmarkEnd w:id="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agreed to indemnify the underwriters against certain liabilities, including liabilities under the Securities Act.</w:t>
      </w:r>
    </w:p>
    <w:p>
      <w:pPr>
        <w:spacing w:after="0" w:line="225"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31. Business and Other Connections of Investment Advisor</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(SEC File No. 801-72185), and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32. Location of Accounts and Records</w:t>
      </w:r>
    </w:p>
    <w:p>
      <w:pPr>
        <w:spacing w:after="0" w:line="12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7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custodian, State Street Bank and Trust Company, 1 Lincoln Street Boston, MA 02111;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33. Management Services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34. Undertakings</w:t>
      </w:r>
    </w:p>
    <w:p>
      <w:pPr>
        <w:spacing w:after="0" w:line="135" w:lineRule="exact"/>
        <w:rPr>
          <w:sz w:val="20"/>
          <w:szCs w:val="20"/>
          <w:color w:val="auto"/>
        </w:rPr>
      </w:pPr>
    </w:p>
    <w:p>
      <w:pPr>
        <w:ind w:left="900" w:right="40" w:hanging="446"/>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00"/>
          </w:cols>
          <w:pgMar w:left="240" w:top="274" w:right="259" w:bottom="1440" w:gutter="0" w:footer="0" w:header="0"/>
        </w:sectPr>
      </w:pPr>
    </w:p>
    <w:bookmarkStart w:id="9" w:name="page10"/>
    <w:bookmarkEnd w:id="9"/>
    <w:p>
      <w:pPr>
        <w:ind w:left="446" w:hanging="446"/>
        <w:spacing w:after="0"/>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applicable.</w:t>
      </w:r>
    </w:p>
    <w:p>
      <w:pPr>
        <w:spacing w:after="0" w:line="130" w:lineRule="exact"/>
        <w:rPr>
          <w:rFonts w:ascii="Arial" w:cs="Arial" w:eastAsia="Arial" w:hAnsi="Arial"/>
          <w:sz w:val="18"/>
          <w:szCs w:val="18"/>
          <w:color w:val="auto"/>
        </w:rPr>
      </w:pPr>
    </w:p>
    <w:p>
      <w:pPr>
        <w:ind w:left="446" w:hanging="446"/>
        <w:spacing w:after="0" w:line="273" w:lineRule="auto"/>
        <w:tabs>
          <w:tab w:leader="none" w:pos="446"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undertake, in the event that the securities being registered are to be offered to existing stockholders pursuant to warrants or rights and any securities not taken by shareholders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underwriters, and the terms of any subsequent underwriting thereof. We further undertake that if any public offering by the underwriters of the securities being registered is to be made on terms differing from those set forth on the cover page of the prospectus, we shall file a post-effective amendment to set forth the terms of such offering.</w:t>
      </w:r>
    </w:p>
    <w:p>
      <w:pPr>
        <w:spacing w:after="0" w:line="83" w:lineRule="exact"/>
        <w:rPr>
          <w:rFonts w:ascii="Arial" w:cs="Arial" w:eastAsia="Arial" w:hAnsi="Arial"/>
          <w:sz w:val="17"/>
          <w:szCs w:val="17"/>
          <w:color w:val="auto"/>
        </w:rPr>
      </w:pPr>
    </w:p>
    <w:p>
      <w:pPr>
        <w:ind w:left="446" w:hanging="446"/>
        <w:spacing w:after="0"/>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hereby undertake:</w:t>
      </w:r>
    </w:p>
    <w:p>
      <w:pPr>
        <w:spacing w:after="0" w:line="130" w:lineRule="exact"/>
        <w:rPr>
          <w:rFonts w:ascii="Arial" w:cs="Arial" w:eastAsia="Arial" w:hAnsi="Arial"/>
          <w:sz w:val="18"/>
          <w:szCs w:val="18"/>
          <w:color w:val="auto"/>
        </w:rPr>
      </w:pPr>
    </w:p>
    <w:p>
      <w:pPr>
        <w:ind w:left="1026" w:hanging="567"/>
        <w:spacing w:after="0"/>
        <w:tabs>
          <w:tab w:leader="none" w:pos="102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66" w:hanging="440"/>
        <w:spacing w:after="0" w:line="264" w:lineRule="auto"/>
        <w:tabs>
          <w:tab w:leader="none" w:pos="1466"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86" w:lineRule="exact"/>
        <w:rPr>
          <w:rFonts w:ascii="Arial" w:cs="Arial" w:eastAsia="Arial" w:hAnsi="Arial"/>
          <w:sz w:val="18"/>
          <w:szCs w:val="18"/>
          <w:color w:val="auto"/>
        </w:rPr>
      </w:pPr>
    </w:p>
    <w:p>
      <w:pPr>
        <w:ind w:left="1466" w:right="80" w:hanging="440"/>
        <w:spacing w:after="0" w:line="277" w:lineRule="auto"/>
        <w:tabs>
          <w:tab w:leader="none" w:pos="1466"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1026" w:right="140" w:hanging="567"/>
        <w:spacing w:after="0" w:line="264" w:lineRule="auto"/>
        <w:tabs>
          <w:tab w:leader="none" w:pos="102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86" w:lineRule="exact"/>
        <w:rPr>
          <w:rFonts w:ascii="Arial" w:cs="Arial" w:eastAsia="Arial" w:hAnsi="Arial"/>
          <w:sz w:val="18"/>
          <w:szCs w:val="18"/>
          <w:color w:val="auto"/>
        </w:rPr>
      </w:pPr>
    </w:p>
    <w:p>
      <w:pPr>
        <w:ind w:left="1026" w:right="260" w:hanging="567"/>
        <w:spacing w:after="0" w:line="277" w:lineRule="auto"/>
        <w:tabs>
          <w:tab w:leader="none" w:pos="102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75" w:lineRule="exact"/>
        <w:rPr>
          <w:rFonts w:ascii="Arial" w:cs="Arial" w:eastAsia="Arial" w:hAnsi="Arial"/>
          <w:sz w:val="18"/>
          <w:szCs w:val="18"/>
          <w:color w:val="auto"/>
        </w:rPr>
      </w:pPr>
    </w:p>
    <w:p>
      <w:pPr>
        <w:ind w:left="1026" w:right="80" w:hanging="567"/>
        <w:spacing w:after="0" w:line="290" w:lineRule="auto"/>
        <w:tabs>
          <w:tab w:leader="none" w:pos="1026"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 if we are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9"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0926"/>
          </w:cols>
          <w:pgMar w:left="694" w:top="274" w:right="279" w:bottom="1440" w:gutter="0" w:footer="0" w:header="0"/>
        </w:sectPr>
      </w:pPr>
    </w:p>
    <w:bookmarkStart w:id="10" w:name="page11"/>
    <w:bookmarkEnd w:id="10"/>
    <w:p>
      <w:pPr>
        <w:ind w:left="1026" w:hanging="567"/>
        <w:spacing w:after="0" w:line="279" w:lineRule="auto"/>
        <w:tabs>
          <w:tab w:leader="none" w:pos="1026" w:val="left"/>
        </w:tabs>
        <w:numPr>
          <w:ilvl w:val="1"/>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for the purpose of determining our liability under the Securities Act to any purchaser in the initial distribution of securities, we undertake that in a primary offering of our securities pursuant 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76" w:lineRule="exact"/>
        <w:rPr>
          <w:rFonts w:ascii="Arial" w:cs="Arial" w:eastAsia="Arial" w:hAnsi="Arial"/>
          <w:sz w:val="17"/>
          <w:szCs w:val="17"/>
          <w:color w:val="auto"/>
        </w:rPr>
      </w:pPr>
    </w:p>
    <w:p>
      <w:pPr>
        <w:ind w:left="1466" w:right="600" w:hanging="440"/>
        <w:spacing w:after="0" w:line="277" w:lineRule="auto"/>
        <w:tabs>
          <w:tab w:leader="none" w:pos="1466"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preliminary prospectus or prospectus of ours relating to the offering required to be filed pursuant to Rule 497 under the Securities Act;</w:t>
      </w:r>
    </w:p>
    <w:p>
      <w:pPr>
        <w:spacing w:after="0" w:line="75" w:lineRule="exact"/>
        <w:rPr>
          <w:rFonts w:ascii="Arial" w:cs="Arial" w:eastAsia="Arial" w:hAnsi="Arial"/>
          <w:sz w:val="18"/>
          <w:szCs w:val="18"/>
          <w:color w:val="auto"/>
        </w:rPr>
      </w:pPr>
    </w:p>
    <w:p>
      <w:pPr>
        <w:ind w:left="1466" w:right="700" w:hanging="440"/>
        <w:spacing w:after="0" w:line="277" w:lineRule="auto"/>
        <w:tabs>
          <w:tab w:leader="none" w:pos="1466"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us or our securities provided by or on behalf of us; and</w:t>
      </w:r>
    </w:p>
    <w:p>
      <w:pPr>
        <w:spacing w:after="0" w:line="75" w:lineRule="exact"/>
        <w:rPr>
          <w:rFonts w:ascii="Arial" w:cs="Arial" w:eastAsia="Arial" w:hAnsi="Arial"/>
          <w:sz w:val="18"/>
          <w:szCs w:val="18"/>
          <w:color w:val="auto"/>
        </w:rPr>
      </w:pPr>
    </w:p>
    <w:p>
      <w:pPr>
        <w:ind w:left="1466" w:hanging="440"/>
        <w:spacing w:after="0"/>
        <w:tabs>
          <w:tab w:leader="none" w:pos="1466"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us to the purchaser.</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undertake that:</w:t>
      </w:r>
    </w:p>
    <w:p>
      <w:pPr>
        <w:spacing w:after="0" w:line="130" w:lineRule="exact"/>
        <w:rPr>
          <w:rFonts w:ascii="Arial" w:cs="Arial" w:eastAsia="Arial" w:hAnsi="Arial"/>
          <w:sz w:val="18"/>
          <w:szCs w:val="18"/>
          <w:color w:val="auto"/>
        </w:rPr>
      </w:pPr>
    </w:p>
    <w:p>
      <w:pPr>
        <w:ind w:left="1026" w:right="80" w:hanging="567"/>
        <w:spacing w:after="0" w:line="312" w:lineRule="auto"/>
        <w:tabs>
          <w:tab w:leader="none" w:pos="1026" w:val="left"/>
        </w:tabs>
        <w:numPr>
          <w:ilvl w:val="1"/>
          <w:numId w:val="14"/>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 and</w:t>
      </w:r>
    </w:p>
    <w:p>
      <w:pPr>
        <w:spacing w:after="0" w:line="52" w:lineRule="exact"/>
        <w:rPr>
          <w:rFonts w:ascii="Arial" w:cs="Arial" w:eastAsia="Arial" w:hAnsi="Arial"/>
          <w:sz w:val="16"/>
          <w:szCs w:val="16"/>
          <w:color w:val="auto"/>
        </w:rPr>
      </w:pPr>
    </w:p>
    <w:p>
      <w:pPr>
        <w:ind w:left="1026" w:right="20" w:hanging="567"/>
        <w:spacing w:after="0" w:line="264" w:lineRule="auto"/>
        <w:tabs>
          <w:tab w:leader="none" w:pos="1026"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446" w:right="420" w:hanging="446"/>
        <w:spacing w:after="0" w:line="277" w:lineRule="auto"/>
        <w:tabs>
          <w:tab w:leader="none" w:pos="4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undertake to send by first class mail or other means designed to ensure equally prompt delivery, within two business days of receipt of a written or oral request, any Statement of Additional Information.</w:t>
      </w:r>
    </w:p>
    <w:p>
      <w:pPr>
        <w:spacing w:after="0" w:line="75" w:lineRule="exact"/>
        <w:rPr>
          <w:rFonts w:ascii="Arial" w:cs="Arial" w:eastAsia="Arial" w:hAnsi="Arial"/>
          <w:sz w:val="18"/>
          <w:szCs w:val="18"/>
          <w:color w:val="auto"/>
        </w:rPr>
      </w:pPr>
    </w:p>
    <w:p>
      <w:pPr>
        <w:jc w:val="both"/>
        <w:ind w:left="446" w:right="280" w:hanging="446"/>
        <w:spacing w:after="0" w:line="264" w:lineRule="auto"/>
        <w:tabs>
          <w:tab w:leader="none" w:pos="4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undertake to file a post-effective amendment to the registration statement pursuant to Section 8(c) of the Securities Act in connection with any rights offering off of the registration statement that will result in greater than 15% dilution to the net asset value per share of our common stock.</w:t>
      </w:r>
    </w:p>
    <w:p>
      <w:pPr>
        <w:spacing w:after="0" w:line="86" w:lineRule="exact"/>
        <w:rPr>
          <w:rFonts w:ascii="Arial" w:cs="Arial" w:eastAsia="Arial" w:hAnsi="Arial"/>
          <w:sz w:val="18"/>
          <w:szCs w:val="18"/>
          <w:color w:val="auto"/>
        </w:rPr>
      </w:pPr>
    </w:p>
    <w:p>
      <w:pPr>
        <w:ind w:left="446" w:hanging="446"/>
        <w:spacing w:after="0"/>
        <w:tabs>
          <w:tab w:leader="none" w:pos="44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undertake to file a post-effective amendment or a new registration statement for any offering of debt securities referred to as “senior.”</w:t>
      </w:r>
    </w:p>
    <w:p>
      <w:pPr>
        <w:spacing w:after="0" w:line="16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0946"/>
          </w:cols>
          <w:pgMar w:left="694" w:top="274"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5 to the Registration Statement on Form N-2 to be signed on its behalf by the undersigned, thereunto duly authorized, in the City of New York, and the State of New York on the 24</w:t>
      </w:r>
      <w:r>
        <w:rPr>
          <w:rFonts w:ascii="Arial" w:cs="Arial" w:eastAsia="Arial" w:hAnsi="Arial"/>
          <w:sz w:val="15"/>
          <w:szCs w:val="15"/>
          <w:color w:val="auto"/>
        </w:rPr>
        <w:t>th</w:t>
      </w:r>
      <w:r>
        <w:rPr>
          <w:rFonts w:ascii="Arial" w:cs="Arial" w:eastAsia="Arial" w:hAnsi="Arial"/>
          <w:sz w:val="18"/>
          <w:szCs w:val="18"/>
          <w:color w:val="auto"/>
        </w:rPr>
        <w:t xml:space="preserve"> day of April, 2018.</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Ian T. Simmonds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tabs>
          <w:tab w:leader="none" w:pos="780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5 to the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Chief Executive Officer, Director and Chairman of the Board of</w:t>
            </w: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April 24,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87"/>
              </w:rPr>
              <w:t>Joshua Easterly</w:t>
            </w:r>
          </w:p>
        </w:tc>
        <w:tc>
          <w:tcPr>
            <w:tcW w:w="10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Directors (Principal Executive Officer)</w:t>
            </w:r>
          </w:p>
        </w:tc>
        <w:tc>
          <w:tcPr>
            <w:tcW w:w="174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center"/>
              <w:ind w:right="332"/>
              <w:spacing w:after="0"/>
              <w:rPr>
                <w:sz w:val="20"/>
                <w:szCs w:val="20"/>
                <w:color w:val="auto"/>
              </w:rPr>
            </w:pPr>
            <w:r>
              <w:rPr>
                <w:rFonts w:ascii="Arial" w:cs="Arial" w:eastAsia="Arial" w:hAnsi="Arial"/>
                <w:sz w:val="18"/>
                <w:szCs w:val="18"/>
                <w:color w:val="auto"/>
                <w:w w:val="89"/>
              </w:rPr>
              <w:t>/s/ Ian T. Simmonds</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Chief Financial Officer (Principal Financial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April 24,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91"/>
              </w:rPr>
              <w:t>Ian T. Simmonds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Vice President and Principal Accounting Officer (Principal</w:t>
            </w: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April 24,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94"/>
              </w:rPr>
              <w:t>Michael Graf</w:t>
            </w:r>
          </w:p>
        </w:tc>
        <w:tc>
          <w:tcPr>
            <w:tcW w:w="10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Accounting Officer)</w:t>
            </w: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 and Chairman of the Audit Committee</w:t>
            </w: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April 24,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89"/>
              </w:rPr>
              <w:t>John A. Ross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April 24,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93"/>
              </w:rPr>
              <w:t>Richard A. Higginbotham</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April 24,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12"/>
              <w:spacing w:after="0"/>
              <w:rPr>
                <w:sz w:val="20"/>
                <w:szCs w:val="20"/>
                <w:color w:val="auto"/>
              </w:rPr>
            </w:pPr>
            <w:r>
              <w:rPr>
                <w:rFonts w:ascii="Arial" w:cs="Arial" w:eastAsia="Arial" w:hAnsi="Arial"/>
                <w:sz w:val="18"/>
                <w:szCs w:val="18"/>
                <w:color w:val="auto"/>
                <w:w w:val="90"/>
              </w:rPr>
              <w:t>Ronald K. Tanemura</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April 24,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91"/>
              </w:rPr>
              <w:t>Michael Fishman</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58"/>
        </w:trPr>
        <w:tc>
          <w:tcPr>
            <w:tcW w:w="4280" w:type="dxa"/>
            <w:vAlign w:val="bottom"/>
            <w:gridSpan w:val="2"/>
          </w:tcPr>
          <w:p>
            <w:pPr>
              <w:spacing w:after="0"/>
              <w:rPr>
                <w:sz w:val="20"/>
                <w:szCs w:val="20"/>
                <w:color w:val="auto"/>
              </w:rPr>
            </w:pPr>
            <w:r>
              <w:rPr>
                <w:rFonts w:ascii="Arial" w:cs="Arial" w:eastAsia="Arial" w:hAnsi="Arial"/>
                <w:sz w:val="18"/>
                <w:szCs w:val="18"/>
                <w:color w:val="auto"/>
              </w:rPr>
              <w:t>*By:  /s/ Ian T. Simmonds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24"/>
        </w:trPr>
        <w:tc>
          <w:tcPr>
            <w:tcW w:w="420" w:type="dxa"/>
            <w:vAlign w:val="bottom"/>
          </w:tcPr>
          <w:p>
            <w:pPr>
              <w:spacing w:after="0"/>
              <w:rPr>
                <w:sz w:val="19"/>
                <w:szCs w:val="19"/>
                <w:color w:val="auto"/>
              </w:rPr>
            </w:pPr>
          </w:p>
        </w:tc>
        <w:tc>
          <w:tcPr>
            <w:tcW w:w="38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Attorney-in-fact</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(l)(4)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172085</wp:posOffset>
            </wp:positionV>
            <wp:extent cx="6251575" cy="25215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51575"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April 24,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1484"/>
        <w:spacing w:after="0" w:line="297" w:lineRule="auto"/>
        <w:rPr>
          <w:sz w:val="20"/>
          <w:szCs w:val="20"/>
          <w:color w:val="auto"/>
        </w:rPr>
      </w:pPr>
      <w:r>
        <w:rPr>
          <w:rFonts w:ascii="Arial" w:cs="Arial" w:eastAsia="Arial" w:hAnsi="Arial"/>
          <w:sz w:val="16"/>
          <w:szCs w:val="16"/>
          <w:color w:val="auto"/>
        </w:rPr>
        <w:t>We have acted as counsel to TPG Specialty Lending,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Company’s offering pursuant to a registration statement on Form N-2 (No. 333-217207), as amended as of March 20, 2018 for purposes of Rule 430C(a)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(as so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the prospectus, dated May 30, 2017 (the “</w:t>
      </w:r>
      <w:r>
        <w:rPr>
          <w:rFonts w:ascii="Arial" w:cs="Arial" w:eastAsia="Arial" w:hAnsi="Arial"/>
          <w:sz w:val="16"/>
          <w:szCs w:val="16"/>
          <w:u w:val="single" w:color="auto"/>
          <w:color w:val="auto"/>
        </w:rPr>
        <w:t>Base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Prospectus</w:t>
      </w:r>
      <w:r>
        <w:rPr>
          <w:rFonts w:ascii="Arial" w:cs="Arial" w:eastAsia="Arial" w:hAnsi="Arial"/>
          <w:sz w:val="16"/>
          <w:szCs w:val="16"/>
          <w:color w:val="auto"/>
        </w:rPr>
        <w:t>”), as supplemented by the prospectus supplement thereto, dated March 20, 2018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and, together with the Base Prospectus, the “</w:t>
      </w:r>
      <w:r>
        <w:rPr>
          <w:rFonts w:ascii="Arial" w:cs="Arial" w:eastAsia="Arial" w:hAnsi="Arial"/>
          <w:sz w:val="16"/>
          <w:szCs w:val="16"/>
          <w:u w:val="single" w:color="auto"/>
          <w:color w:val="auto"/>
        </w:rPr>
        <w:t>Prospectus</w:t>
      </w:r>
      <w:r>
        <w:rPr>
          <w:rFonts w:ascii="Arial" w:cs="Arial" w:eastAsia="Arial" w:hAnsi="Arial"/>
          <w:sz w:val="16"/>
          <w:szCs w:val="16"/>
          <w:color w:val="auto"/>
        </w:rPr>
        <w:t>”), of 522,224 shares of the Company’s common stock, par value $0.01 per share (the “</w:t>
      </w:r>
      <w:r>
        <w:rPr>
          <w:rFonts w:ascii="Arial" w:cs="Arial" w:eastAsia="Arial" w:hAnsi="Arial"/>
          <w:sz w:val="16"/>
          <w:szCs w:val="16"/>
          <w:u w:val="single" w:color="auto"/>
          <w:color w:val="auto"/>
        </w:rPr>
        <w:t>Securities</w:t>
      </w:r>
      <w:r>
        <w:rPr>
          <w:rFonts w:ascii="Arial" w:cs="Arial" w:eastAsia="Arial" w:hAnsi="Arial"/>
          <w:sz w:val="16"/>
          <w:szCs w:val="16"/>
          <w:color w:val="auto"/>
        </w:rPr>
        <w:t>”).</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 arriving at the opinion expressed below, we have reviewed the following documents:</w:t>
      </w:r>
    </w:p>
    <w:p>
      <w:pPr>
        <w:spacing w:after="0" w:line="131" w:lineRule="exact"/>
        <w:rPr>
          <w:sz w:val="20"/>
          <w:szCs w:val="20"/>
          <w:color w:val="auto"/>
        </w:rPr>
      </w:pPr>
    </w:p>
    <w:p>
      <w:pPr>
        <w:ind w:left="1920" w:hanging="440"/>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130" w:lineRule="exact"/>
        <w:rPr>
          <w:rFonts w:ascii="Arial" w:cs="Arial" w:eastAsia="Arial" w:hAnsi="Arial"/>
          <w:sz w:val="18"/>
          <w:szCs w:val="18"/>
          <w:color w:val="auto"/>
        </w:rPr>
      </w:pPr>
    </w:p>
    <w:p>
      <w:pPr>
        <w:ind w:left="1920" w:right="20" w:hanging="440"/>
        <w:spacing w:after="0" w:line="277" w:lineRule="auto"/>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executed copy of the Underwriting Agreement, dated March 20, 2018, among the Company, TSL Advisers, LLC and the several underwriters named in Schedule 1 thereto;</w:t>
      </w:r>
    </w:p>
    <w:p>
      <w:pPr>
        <w:spacing w:after="0" w:line="75" w:lineRule="exact"/>
        <w:rPr>
          <w:rFonts w:ascii="Arial" w:cs="Arial" w:eastAsia="Arial" w:hAnsi="Arial"/>
          <w:sz w:val="18"/>
          <w:szCs w:val="18"/>
          <w:color w:val="auto"/>
        </w:rPr>
      </w:pPr>
    </w:p>
    <w:p>
      <w:pPr>
        <w:ind w:left="1920" w:right="160" w:hanging="440"/>
        <w:spacing w:after="0" w:line="277" w:lineRule="auto"/>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certificate of State Street Bank and Trust Company, as registrar and transfer agent for the Securities, certifying due issuance and registration of the Securities; and</w:t>
      </w:r>
    </w:p>
    <w:p>
      <w:pPr>
        <w:spacing w:after="0" w:line="75" w:lineRule="exact"/>
        <w:rPr>
          <w:rFonts w:ascii="Arial" w:cs="Arial" w:eastAsia="Arial" w:hAnsi="Arial"/>
          <w:sz w:val="18"/>
          <w:szCs w:val="18"/>
          <w:color w:val="auto"/>
        </w:rPr>
      </w:pPr>
    </w:p>
    <w:p>
      <w:pPr>
        <w:ind w:left="1920" w:right="60" w:hanging="440"/>
        <w:spacing w:after="0" w:line="264" w:lineRule="auto"/>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copies of the Company’s Amended and Restated Certificate of Incorporation and Certificate of Amendment to the Amended and Restated Certificate of Incorporation, each certified by the Secretary of State of the State of Delaware, and the Company’s Bylaws, certified by the Secretary of the Company.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Cleary Gottlieb Steen &amp; Hamilton LLP or an affiliated entity has an office in each of the cities listed above.</w:t>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 p. 2</w:t>
      </w:r>
    </w:p>
    <w:p>
      <w:pPr>
        <w:spacing w:after="0" w:line="15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 expressed below.</w:t>
      </w:r>
    </w:p>
    <w:p>
      <w:pPr>
        <w:spacing w:after="0" w:line="124" w:lineRule="exact"/>
        <w:rPr>
          <w:sz w:val="20"/>
          <w:szCs w:val="20"/>
          <w:color w:val="auto"/>
        </w:rPr>
      </w:pPr>
    </w:p>
    <w:p>
      <w:pPr>
        <w:ind w:right="120" w:firstLine="1484"/>
        <w:spacing w:after="0" w:line="264" w:lineRule="auto"/>
        <w:rPr>
          <w:sz w:val="20"/>
          <w:szCs w:val="20"/>
          <w:color w:val="auto"/>
        </w:rPr>
      </w:pPr>
      <w:r>
        <w:rPr>
          <w:rFonts w:ascii="Arial" w:cs="Arial" w:eastAsia="Arial" w:hAnsi="Arial"/>
          <w:sz w:val="18"/>
          <w:szCs w:val="18"/>
          <w:color w:val="auto"/>
        </w:rPr>
        <w:t>In rendering the opinion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81" w:lineRule="exact"/>
        <w:rPr>
          <w:sz w:val="20"/>
          <w:szCs w:val="20"/>
          <w:color w:val="auto"/>
        </w:rPr>
      </w:pPr>
    </w:p>
    <w:p>
      <w:pPr>
        <w:ind w:firstLine="1484"/>
        <w:spacing w:after="0" w:line="277" w:lineRule="auto"/>
        <w:rPr>
          <w:sz w:val="20"/>
          <w:szCs w:val="20"/>
          <w:color w:val="auto"/>
        </w:rPr>
      </w:pPr>
      <w:r>
        <w:rPr>
          <w:rFonts w:ascii="Arial" w:cs="Arial" w:eastAsia="Arial" w:hAnsi="Arial"/>
          <w:sz w:val="18"/>
          <w:szCs w:val="18"/>
          <w:color w:val="auto"/>
        </w:rPr>
        <w:t>Based on the foregoing, and subject to the further assumptions and qualifications set forth below, it is our opinion that the Securities have been validly issued by the Company and are fully paid and nonassessable.</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foregoing opinion is limited to the General Corporation Law of the State of Delaware.</w:t>
      </w:r>
    </w:p>
    <w:p>
      <w:pPr>
        <w:spacing w:after="0" w:line="225" w:lineRule="exact"/>
        <w:rPr>
          <w:sz w:val="20"/>
          <w:szCs w:val="20"/>
          <w:color w:val="auto"/>
        </w:rPr>
      </w:pPr>
    </w:p>
    <w:p>
      <w:pPr>
        <w:ind w:right="60" w:firstLine="1484"/>
        <w:spacing w:after="0" w:line="259" w:lineRule="auto"/>
        <w:rPr>
          <w:sz w:val="20"/>
          <w:szCs w:val="20"/>
          <w:color w:val="auto"/>
        </w:rPr>
      </w:pPr>
      <w:r>
        <w:rPr>
          <w:rFonts w:ascii="Arial" w:cs="Arial" w:eastAsia="Arial" w:hAnsi="Arial"/>
          <w:sz w:val="18"/>
          <w:szCs w:val="18"/>
          <w:color w:val="auto"/>
        </w:rPr>
        <w:t>We hereby consent to the use of our name in the Prospectus under the headings “Legal Matters” as counsel for the Company that has passed on the validity of the Securities, and to the use of this opinion as a part (Exhibit (l)(4)) of the Registration Statement. In giving this consent, we do not thereby admit that we are within the category of persons whose consent is required under Section 7 of the Securities Act or the rules and regulations of the Securities and Exchange Commission thereunder.</w:t>
      </w:r>
    </w:p>
    <w:p>
      <w:pPr>
        <w:spacing w:after="0" w:line="187" w:lineRule="exact"/>
        <w:rPr>
          <w:sz w:val="20"/>
          <w:szCs w:val="20"/>
          <w:color w:val="auto"/>
        </w:rPr>
      </w:pPr>
    </w:p>
    <w:p>
      <w:pPr>
        <w:ind w:right="20" w:firstLine="1484"/>
        <w:spacing w:after="0" w:line="264" w:lineRule="auto"/>
        <w:rPr>
          <w:sz w:val="20"/>
          <w:szCs w:val="20"/>
          <w:color w:val="auto"/>
        </w:rPr>
      </w:pPr>
      <w:r>
        <w:rPr>
          <w:rFonts w:ascii="Arial" w:cs="Arial" w:eastAsia="Arial" w:hAnsi="Arial"/>
          <w:sz w:val="18"/>
          <w:szCs w:val="18"/>
          <w:color w:val="auto"/>
        </w:rPr>
        <w:t>The opinion expressed herein is rendered on and as of the date hereof, and we assume no obligation to advise you or any other person, or to make any investigations, as to any legal developments or factual matters arising subsequent to the date hereof that might affect the opinion expressed herein.</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CLEARY GOTTLIEB STEEN &amp; HAMILTON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Adam E. Fleisher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Adam E. Fleisher, a Partner</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lowerLetter"/>
      <w:start w:val="2"/>
    </w:lvl>
  </w:abstractNum>
  <w:abstractNum w:abstractNumId="1">
    <w:nsid w:val="515F007C"/>
    <w:multiLevelType w:val="hybridMultilevel"/>
    <w:lvl w:ilvl="0">
      <w:lvlJc w:val="left"/>
      <w:lvlText w:val="(%1)"/>
      <w:numFmt w:val="lowerLetter"/>
      <w:start w:val="3"/>
    </w:lvl>
  </w:abstractNum>
  <w:abstractNum w:abstractNumId="2">
    <w:nsid w:val="5BD062C2"/>
    <w:multiLevelType w:val="hybridMultilevel"/>
    <w:lvl w:ilvl="0">
      <w:lvlJc w:val="left"/>
      <w:lvlText w:val="(%1)"/>
      <w:numFmt w:val="lowerLetter"/>
      <w:start w:val="5"/>
    </w:lvl>
  </w:abstractNum>
  <w:abstractNum w:abstractNumId="3">
    <w:nsid w:val="12200854"/>
    <w:multiLevelType w:val="hybridMultilevel"/>
    <w:lvl w:ilvl="0">
      <w:lvlJc w:val="left"/>
      <w:lvlText w:val="(%1)"/>
      <w:numFmt w:val="lowerLetter"/>
      <w:start w:val="9"/>
    </w:lvl>
  </w:abstractNum>
  <w:abstractNum w:abstractNumId="4">
    <w:nsid w:val="4DB127F8"/>
    <w:multiLevelType w:val="hybridMultilevel"/>
    <w:lvl w:ilvl="0">
      <w:lvlJc w:val="left"/>
      <w:lvlText w:val="(%1)"/>
      <w:numFmt w:val="lowerLetter"/>
      <w:start w:val="13"/>
    </w:lvl>
  </w:abstractNum>
  <w:abstractNum w:abstractNumId="5">
    <w:nsid w:val="216231B"/>
    <w:multiLevelType w:val="hybridMultilevel"/>
    <w:lvl w:ilvl="0">
      <w:lvlJc w:val="left"/>
      <w:lvlText w:val="(%1)"/>
      <w:numFmt w:val="lowerLetter"/>
      <w:start w:val="15"/>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
    <w:nsid w:val="DED7263"/>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3">
    <w:nsid w:val="7FDCC23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2019-12-07T20:43:31Z</dcterms:created>
  <dcterms:modified xsi:type="dcterms:W3CDTF">2019-12-07T20:43:31Z</dcterms:modified>
</cp:coreProperties>
</file>