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 w:hAnsi="Times New Roman"/>
          <w:b/>
          <w:sz w:val="20"/>
          <w:shd w:fill="FFFFFF" w:val="clear"/>
        </w:rPr>
      </w:pPr>
      <w:bookmarkStart w:id="0" w:name="d570824d424b2.htm"/>
      <w:bookmarkStart w:id="1" w:name="ksd570824d424b2"/>
      <w:bookmarkEnd w:id="0"/>
      <w:bookmarkEnd w:id="1"/>
      <w:r>
        <w:rPr>
          <w:rFonts w:ascii="Times New Roman" w:hAnsi="Times New Roman"/>
          <w:b/>
          <w:sz w:val="20"/>
          <w:shd w:fill="FFFFFF" w:val="clear"/>
        </w:rPr>
        <w:t xml:space="preserve">Filed Pursuant to </w:t>
      </w:r>
    </w:p>
    <w:p>
      <w:pPr>
        <w:pStyle w:val="TextBody"/>
        <w:bidi w:val="0"/>
        <w:spacing w:before="0" w:after="0"/>
        <w:jc w:val="right"/>
        <w:rPr>
          <w:rFonts w:ascii="Times New Roman" w:hAnsi="Times New Roman"/>
          <w:b/>
          <w:sz w:val="20"/>
          <w:shd w:fill="FFFFFF" w:val="clear"/>
        </w:rPr>
      </w:pPr>
      <w:r>
        <w:rPr>
          <w:rFonts w:ascii="Times New Roman" w:hAnsi="Times New Roman"/>
          <w:b/>
          <w:sz w:val="20"/>
          <w:shd w:fill="FFFFFF" w:val="clear"/>
        </w:rPr>
        <w:t>424(b)(2)</w:t>
      </w:r>
    </w:p>
    <w:p>
      <w:pPr>
        <w:pStyle w:val="TextBody"/>
        <w:bidi w:val="0"/>
        <w:spacing w:before="0" w:after="0"/>
        <w:jc w:val="right"/>
        <w:rPr>
          <w:rFonts w:ascii="Times New Roman" w:hAnsi="Times New Roman"/>
          <w:sz w:val="20"/>
        </w:rPr>
      </w:pPr>
      <w:r>
        <w:rPr>
          <w:rFonts w:ascii="Times New Roman" w:hAnsi="Times New Roman"/>
          <w:sz w:val="20"/>
        </w:rPr>
      </w:r>
    </w:p>
    <w:p>
      <w:pPr>
        <w:pStyle w:val="TextBody"/>
        <w:bidi w:val="0"/>
        <w:spacing w:before="0" w:after="0"/>
        <w:ind w:left="0" w:right="0" w:hanging="0"/>
        <w:jc w:val="right"/>
        <w:rPr>
          <w:rFonts w:ascii="Times New Roman" w:hAnsi="Times New Roman"/>
          <w:b/>
          <w:spacing w:val="0"/>
          <w:sz w:val="20"/>
          <w:shd w:fill="FFFFFF" w:val="clear"/>
        </w:rPr>
      </w:pPr>
      <w:r>
        <w:rPr>
          <w:rFonts w:ascii="Times New Roman" w:hAnsi="Times New Roman"/>
          <w:b/>
          <w:spacing w:val="0"/>
          <w:sz w:val="20"/>
          <w:shd w:fill="FFFFFF" w:val="clear"/>
        </w:rPr>
        <w:t>Registration No. 333-276252</w:t>
      </w:r>
    </w:p>
    <w:p>
      <w:pPr>
        <w:pStyle w:val="TextBody"/>
        <w:bidi w:val="0"/>
        <w:spacing w:before="0" w:after="0"/>
        <w:jc w:val="right"/>
        <w:rPr>
          <w:rFonts w:ascii="Times New Roman" w:hAnsi="Times New Roman"/>
          <w:spacing w:val="0"/>
          <w:sz w:val="20"/>
        </w:rPr>
      </w:pPr>
      <w:r>
        <w:rPr>
          <w:rFonts w:ascii="Times New Roman" w:hAnsi="Times New Roman"/>
          <w:spacing w:val="0"/>
          <w:sz w:val="20"/>
        </w:rPr>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left"/>
        <w:rPr>
          <w:rFonts w:ascii="Times New Roman" w:hAnsi="Times New Roman"/>
          <w:b/>
          <w:spacing w:val="0"/>
          <w:sz w:val="17"/>
          <w:shd w:fill="FFFFFF" w:val="clear"/>
        </w:rPr>
      </w:pPr>
      <w:r>
        <w:rPr>
          <w:rFonts w:ascii="Times New Roman" w:hAnsi="Times New Roman"/>
          <w:b/>
          <w:spacing w:val="0"/>
          <w:sz w:val="17"/>
          <w:shd w:fill="FFFFFF" w:val="clear"/>
        </w:rPr>
        <w:t xml:space="preserve">PROSPECTUS SUPPLEMENT </w:t>
      </w:r>
    </w:p>
    <w:p>
      <w:pPr>
        <w:pStyle w:val="TextBody"/>
        <w:bidi w:val="0"/>
        <w:spacing w:before="0" w:after="0"/>
        <w:ind w:left="0" w:right="0" w:hanging="0"/>
        <w:jc w:val="left"/>
        <w:rPr>
          <w:rFonts w:ascii="Times New Roman" w:hAnsi="Times New Roman"/>
          <w:b/>
          <w:sz w:val="17"/>
          <w:shd w:fill="FFFFFF" w:val="clear"/>
        </w:rPr>
      </w:pPr>
      <w:r>
        <w:rPr>
          <w:rFonts w:ascii="Times New Roman" w:hAnsi="Times New Roman"/>
          <w:b/>
          <w:sz w:val="17"/>
          <w:shd w:fill="FFFFFF" w:val="clear"/>
        </w:rPr>
        <w:t xml:space="preserve">(To Prospectus dated December 22, 2023) </w:t>
      </w:r>
    </w:p>
    <w:p>
      <w:pPr>
        <w:pStyle w:val="TextBody"/>
        <w:bidi w:val="0"/>
        <w:spacing w:before="60" w:after="0"/>
        <w:ind w:left="0" w:right="0" w:hanging="0"/>
        <w:jc w:val="center"/>
        <w:rPr>
          <w:rFonts w:ascii="Times New Roman" w:hAnsi="Times New Roman"/>
          <w:b/>
          <w:sz w:val="28"/>
          <w:shd w:fill="FFFFFF" w:val="clear"/>
        </w:rPr>
      </w:pPr>
      <w:r>
        <w:rPr>
          <w:rFonts w:ascii="Times New Roman" w:hAnsi="Times New Roman"/>
          <w:b/>
          <w:sz w:val="28"/>
          <w:shd w:fill="FFFFFF" w:val="clear"/>
        </w:rPr>
        <w:t xml:space="preserve">4,000,000 Shares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shd w:fill="FFFFFF" w:val="clear"/>
        </w:rPr>
      </w:pPr>
      <w:r>
        <w:rPr>
          <w:shd w:fill="FFFFFF" w:val="clear"/>
        </w:rPr>
        <w:drawing>
          <wp:inline distT="0" distB="0" distL="0" distR="0">
            <wp:extent cx="195580" cy="609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580" cy="60960"/>
                    </a:xfrm>
                    <a:prstGeom prst="rect">
                      <a:avLst/>
                    </a:prstGeom>
                  </pic:spPr>
                </pic:pic>
              </a:graphicData>
            </a:graphic>
          </wp:inline>
        </w:drawing>
      </w:r>
      <w:r>
        <w:rPr>
          <w:shd w:fill="FFFFFF" w:val="clear"/>
        </w:rPr>
        <w:t xml:space="preserve"> </w:t>
      </w:r>
    </w:p>
    <w:p>
      <w:pPr>
        <w:pStyle w:val="TextBody"/>
        <w:bidi w:val="0"/>
        <w:spacing w:before="60" w:after="0"/>
        <w:ind w:left="0" w:right="0" w:hanging="0"/>
        <w:jc w:val="center"/>
        <w:rPr>
          <w:rFonts w:ascii="Times New Roman" w:hAnsi="Times New Roman"/>
          <w:b/>
          <w:sz w:val="28"/>
          <w:shd w:fill="FFFFFF" w:val="clear"/>
        </w:rPr>
      </w:pPr>
      <w:r>
        <w:rPr>
          <w:rFonts w:ascii="Times New Roman" w:hAnsi="Times New Roman"/>
          <w:b/>
          <w:sz w:val="28"/>
          <w:shd w:fill="FFFFFF" w:val="clear"/>
        </w:rPr>
        <w:t xml:space="preserve">Common Stock </w:t>
      </w:r>
    </w:p>
    <w:p>
      <w:pPr>
        <w:pStyle w:val="TextBody"/>
        <w:bidi w:val="0"/>
        <w:spacing w:before="0" w:after="0"/>
        <w:ind w:left="0" w:right="0" w:hanging="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60" w:after="0"/>
        <w:jc w:val="left"/>
        <w:rPr>
          <w:rFonts w:ascii="Times New Roman" w:hAnsi="Times New Roman"/>
          <w:sz w:val="16"/>
          <w:shd w:fill="FFFFFF" w:val="clear"/>
        </w:rPr>
      </w:pPr>
      <w:r>
        <w:rPr>
          <w:rFonts w:ascii="Times New Roman" w:hAnsi="Times New Roman"/>
          <w:sz w:val="16"/>
          <w:shd w:fill="FFFFFF" w:val="clear"/>
        </w:rPr>
        <w:t xml:space="preserve">We are offering for sale 4,000,000 shares of our common stock. We have also granted the underwriters a </w:t>
      </w:r>
    </w:p>
    <w:p>
      <w:pPr>
        <w:pStyle w:val="TextBody"/>
        <w:bidi w:val="0"/>
        <w:spacing w:before="60" w:after="0"/>
        <w:jc w:val="left"/>
        <w:rPr>
          <w:rFonts w:ascii="Times New Roman" w:hAnsi="Times New Roman"/>
          <w:spacing w:val="0"/>
          <w:sz w:val="16"/>
          <w:shd w:fill="FFFFFF" w:val="clear"/>
        </w:rPr>
      </w:pPr>
      <w:r>
        <w:rPr>
          <w:rFonts w:ascii="Times New Roman" w:hAnsi="Times New Roman"/>
          <w:spacing w:val="0"/>
          <w:sz w:val="16"/>
          <w:shd w:fill="FFFFFF" w:val="clear"/>
        </w:rPr>
        <w:t>30-day</w:t>
      </w:r>
    </w:p>
    <w:p>
      <w:pPr>
        <w:pStyle w:val="TextBody"/>
        <w:bidi w:val="0"/>
        <w:spacing w:before="60" w:after="0"/>
        <w:jc w:val="left"/>
        <w:rPr>
          <w:rFonts w:ascii="Times New Roman" w:hAnsi="Times New Roman"/>
          <w:sz w:val="16"/>
          <w:shd w:fill="FFFFFF" w:val="clear"/>
        </w:rPr>
      </w:pPr>
      <w:r>
        <w:rPr>
          <w:rFonts w:ascii="Times New Roman" w:hAnsi="Times New Roman"/>
          <w:sz w:val="16"/>
          <w:shd w:fill="FFFFFF" w:val="clear"/>
        </w:rPr>
        <w:t xml:space="preserve">option to purchase up to 600,000 additional shares of our common stock. </w:t>
      </w:r>
    </w:p>
    <w:p>
      <w:pPr>
        <w:pStyle w:val="TextBody"/>
        <w:bidi w:val="0"/>
        <w:spacing w:before="60" w:after="0"/>
        <w:jc w:val="left"/>
        <w:rPr>
          <w:rFonts w:ascii="Times New Roman" w:hAnsi="Times New Roman"/>
          <w:sz w:val="16"/>
          <w:shd w:fill="FFFFFF" w:val="clear"/>
        </w:rPr>
      </w:pPr>
      <w:r>
        <w:rPr>
          <w:rFonts w:ascii="Times New Roman" w:hAnsi="Times New Roman"/>
          <w:sz w:val="16"/>
          <w:shd w:fill="FFFFFF" w:val="clear"/>
        </w:rPr>
        <w:t xml:space="preserve">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 </w:t>
      </w:r>
    </w:p>
    <w:p>
      <w:pPr>
        <w:pStyle w:val="TextBody"/>
        <w:bidi w:val="0"/>
        <w:spacing w:before="60" w:after="0"/>
        <w:jc w:val="left"/>
        <w:rPr>
          <w:rFonts w:ascii="Times New Roman" w:hAnsi="Times New Roman"/>
          <w:sz w:val="16"/>
          <w:shd w:fill="FFFFFF" w:val="clear"/>
        </w:rPr>
      </w:pPr>
      <w:r>
        <w:rPr>
          <w:rFonts w:ascii="Times New Roman" w:hAnsi="Times New Roman"/>
          <w:sz w:val="16"/>
          <w:shd w:fill="FFFFFF" w:val="clear"/>
        </w:rPr>
        <w:t xml:space="preserve">As of December 31, 2023, our investment portfolio consisted of investments in 136 portfolio companies (including 42 structured credit investments, which include each series of collateralized loan obligation as a separate portfolio company investment) with an aggregate fair value of $3,283.1 million. We intend to continue to pursue an investment strategy focused primarily on direct origination of loans to middle-market companies domiciled in the United States. </w:t>
      </w:r>
    </w:p>
    <w:p>
      <w:pPr>
        <w:pStyle w:val="TextBody"/>
        <w:bidi w:val="0"/>
        <w:spacing w:before="60" w:after="0"/>
        <w:jc w:val="left"/>
        <w:rPr>
          <w:rFonts w:ascii="Times New Roman" w:hAnsi="Times New Roman"/>
          <w:sz w:val="16"/>
          <w:shd w:fill="FFFFFF" w:val="clear"/>
        </w:rPr>
      </w:pPr>
      <w:r>
        <w:rPr>
          <w:rFonts w:ascii="Times New Roman" w:hAnsi="Times New Roman"/>
          <w:sz w:val="16"/>
          <w:shd w:fill="FFFFFF" w:val="clear"/>
        </w:rPr>
        <w:t xml:space="preserve">We are an externally managed, </w:t>
      </w:r>
    </w:p>
    <w:p>
      <w:pPr>
        <w:pStyle w:val="TextBody"/>
        <w:bidi w:val="0"/>
        <w:spacing w:before="60" w:after="0"/>
        <w:jc w:val="left"/>
        <w:rPr>
          <w:rFonts w:ascii="Times New Roman" w:hAnsi="Times New Roman"/>
          <w:spacing w:val="0"/>
          <w:sz w:val="16"/>
          <w:shd w:fill="FFFFFF" w:val="clear"/>
        </w:rPr>
      </w:pPr>
      <w:r>
        <w:rPr>
          <w:rFonts w:ascii="Times New Roman" w:hAnsi="Times New Roman"/>
          <w:spacing w:val="0"/>
          <w:sz w:val="16"/>
          <w:shd w:fill="FFFFFF" w:val="clear"/>
        </w:rPr>
        <w:t>closed-end,</w:t>
      </w:r>
    </w:p>
    <w:p>
      <w:pPr>
        <w:pStyle w:val="TextBody"/>
        <w:bidi w:val="0"/>
        <w:spacing w:before="60" w:after="0"/>
        <w:jc w:val="left"/>
        <w:rPr>
          <w:rFonts w:ascii="Times New Roman" w:hAnsi="Times New Roman"/>
          <w:spacing w:val="0"/>
          <w:sz w:val="16"/>
          <w:shd w:fill="FFFFFF" w:val="clear"/>
        </w:rPr>
      </w:pPr>
      <w:r>
        <w:rPr>
          <w:rFonts w:ascii="Times New Roman" w:hAnsi="Times New Roman"/>
          <w:spacing w:val="0"/>
          <w:sz w:val="16"/>
          <w:shd w:fill="FFFFFF" w:val="clear"/>
        </w:rPr>
        <w:t>non-diversified</w:t>
      </w:r>
    </w:p>
    <w:p>
      <w:pPr>
        <w:pStyle w:val="TextBody"/>
        <w:bidi w:val="0"/>
        <w:spacing w:before="60" w:after="0"/>
        <w:jc w:val="left"/>
        <w:rPr>
          <w:rFonts w:ascii="Times New Roman" w:hAnsi="Times New Roman"/>
          <w:sz w:val="16"/>
          <w:shd w:fill="FFFFFF" w:val="clear"/>
        </w:rPr>
      </w:pPr>
      <w:r>
        <w:rPr>
          <w:rFonts w:ascii="Times New Roman" w:hAnsi="Times New Roman"/>
          <w:sz w:val="16"/>
          <w:shd w:fill="FFFFFF" w:val="clear"/>
        </w:rPr>
        <w:t xml:space="preserve">management investment company. Sixth Street Specialty Lending Advisers, LLC, or the Adviser, acts as our investment adviser and administrator. We and the Adviser are part of Sixth Street Partners, LLC, a global investment firm with over $75 billion in assets under management as of December 31, 2023. </w:t>
      </w:r>
    </w:p>
    <w:p>
      <w:pPr>
        <w:pStyle w:val="TextBody"/>
        <w:bidi w:val="0"/>
        <w:spacing w:before="60" w:after="0"/>
        <w:jc w:val="left"/>
        <w:rPr>
          <w:rFonts w:ascii="Times New Roman" w:hAnsi="Times New Roman"/>
          <w:sz w:val="16"/>
          <w:shd w:fill="FFFFFF" w:val="clear"/>
        </w:rPr>
      </w:pPr>
      <w:r>
        <w:rPr>
          <w:rFonts w:ascii="Times New Roman" w:hAnsi="Times New Roman"/>
          <w:sz w:val="16"/>
          <w:shd w:fill="FFFFFF" w:val="clear"/>
        </w:rPr>
        <w:t xml:space="preserve">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w:t>
      </w:r>
    </w:p>
    <w:p>
      <w:pPr>
        <w:pStyle w:val="TextBody"/>
        <w:bidi w:val="0"/>
        <w:spacing w:before="60" w:after="0"/>
        <w:jc w:val="left"/>
        <w:rPr>
          <w:rFonts w:ascii="Times New Roman" w:hAnsi="Times New Roman"/>
          <w:spacing w:val="0"/>
          <w:sz w:val="16"/>
          <w:shd w:fill="FFFFFF" w:val="clear"/>
        </w:rPr>
      </w:pPr>
      <w:r>
        <w:rPr>
          <w:rFonts w:ascii="Times New Roman" w:hAnsi="Times New Roman"/>
          <w:spacing w:val="0"/>
          <w:sz w:val="16"/>
          <w:shd w:fill="FFFFFF" w:val="clear"/>
        </w:rPr>
        <w:t>BBB-</w:t>
      </w:r>
    </w:p>
    <w:p>
      <w:pPr>
        <w:pStyle w:val="TextBody"/>
        <w:bidi w:val="0"/>
        <w:spacing w:before="60" w:after="0"/>
        <w:jc w:val="left"/>
        <w:rPr>
          <w:rFonts w:ascii="Times New Roman" w:hAnsi="Times New Roman"/>
          <w:sz w:val="16"/>
          <w:shd w:fill="FFFFFF" w:val="clear"/>
        </w:rPr>
      </w:pPr>
      <w:r>
        <w:rPr>
          <w:rFonts w:ascii="Times New Roman" w:hAnsi="Times New Roman"/>
          <w:sz w:val="16"/>
          <w:shd w:fill="FFFFFF" w:val="clear"/>
        </w:rPr>
        <w:t xml:space="preserve">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 </w:t>
      </w:r>
    </w:p>
    <w:p>
      <w:pPr>
        <w:pStyle w:val="TextBody"/>
        <w:bidi w:val="0"/>
        <w:spacing w:before="60" w:after="0"/>
        <w:jc w:val="left"/>
        <w:rPr>
          <w:rFonts w:ascii="Times New Roman" w:hAnsi="Times New Roman"/>
          <w:sz w:val="16"/>
          <w:shd w:fill="FFFFFF" w:val="clear"/>
        </w:rPr>
      </w:pPr>
      <w:r>
        <w:rPr>
          <w:rFonts w:ascii="Times New Roman" w:hAnsi="Times New Roman"/>
          <w:sz w:val="16"/>
          <w:shd w:fill="FFFFFF" w:val="clear"/>
        </w:rPr>
        <w:t xml:space="preserve">Substantially all of our debt investments have variable interest rates that reset periodically based on interest rate benchmarks such as the Euro Interbank Offered Rate, the Canadian Dollar Offered Rate, the Secured Overnight Financing Rate, Sterling Overnight Interbank Average Rate or the Prime Rate. As a result, significant increases in such interest rate benchmarks (or any replacement benchmarks) in the future would make it more difficult for these borrowers to service their obligations under the debt investments that we hold. </w:t>
      </w:r>
    </w:p>
    <w:p>
      <w:pPr>
        <w:pStyle w:val="TextBody"/>
        <w:bidi w:val="0"/>
        <w:spacing w:before="60" w:after="0"/>
        <w:jc w:val="left"/>
        <w:rPr>
          <w:rFonts w:ascii="Times New Roman" w:hAnsi="Times New Roman"/>
          <w:sz w:val="16"/>
          <w:shd w:fill="FFFFFF" w:val="clear"/>
        </w:rPr>
      </w:pPr>
      <w:r>
        <w:rPr>
          <w:rFonts w:ascii="Times New Roman" w:hAnsi="Times New Roman"/>
          <w:sz w:val="16"/>
          <w:shd w:fill="FFFFFF" w:val="clear"/>
        </w:rPr>
        <w:t xml:space="preserve">Our common stock is traded on the New York Stock Exchange, or NYSE, under the symbol “TSLX.” On February 28, 2024, the last reported sales price of our common stock on the NYSE was $21.75 per share. The net asset value per share of our common stock at December 31, 2023 (the last date prior to the date of this prospectus supplement for which we reported net asset value) was $17.04. </w:t>
      </w:r>
    </w:p>
    <w:p>
      <w:pPr>
        <w:pStyle w:val="TextBody"/>
        <w:bidi w:val="0"/>
        <w:spacing w:before="0" w:after="0"/>
        <w:ind w:left="0" w:right="0" w:hanging="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60" w:after="0"/>
        <w:jc w:val="left"/>
        <w:rPr/>
      </w:pPr>
      <w:r>
        <w:rPr>
          <w:rFonts w:ascii="Times New Roman" w:hAnsi="Times New Roman"/>
          <w:b/>
          <w:sz w:val="18"/>
          <w:shd w:fill="FFFFFF" w:val="clear"/>
        </w:rPr>
        <w:t>Investing in our common stock involves risks, including the risk of leverage, that are described in the “</w:t>
      </w:r>
      <w:hyperlink w:anchor="supptoc570824_4">
        <w:r>
          <w:rPr>
            <w:rStyle w:val="InternetLink"/>
            <w:rFonts w:ascii="Times New Roman" w:hAnsi="Times New Roman"/>
            <w:b/>
            <w:sz w:val="18"/>
            <w:shd w:fill="FFFFFF" w:val="clear"/>
          </w:rPr>
          <w:t>Risk Factors</w:t>
        </w:r>
      </w:hyperlink>
      <w:r>
        <w:rPr>
          <w:rFonts w:ascii="Times New Roman" w:hAnsi="Times New Roman"/>
          <w:b/>
          <w:sz w:val="18"/>
          <w:shd w:fill="FFFFFF" w:val="clear"/>
        </w:rPr>
        <w:t xml:space="preserve">” section beginning on page </w:t>
      </w:r>
    </w:p>
    <w:p>
      <w:pPr>
        <w:pStyle w:val="TextBody"/>
        <w:bidi w:val="0"/>
        <w:spacing w:before="60" w:after="0"/>
        <w:jc w:val="left"/>
        <w:rPr>
          <w:rFonts w:ascii="Times New Roman" w:hAnsi="Times New Roman"/>
          <w:b/>
          <w:spacing w:val="0"/>
          <w:sz w:val="18"/>
          <w:shd w:fill="FFFFFF" w:val="clear"/>
        </w:rPr>
      </w:pPr>
      <w:r>
        <w:rPr>
          <w:rFonts w:ascii="Times New Roman" w:hAnsi="Times New Roman"/>
          <w:b/>
          <w:spacing w:val="0"/>
          <w:sz w:val="18"/>
          <w:shd w:fill="FFFFFF" w:val="clear"/>
        </w:rPr>
        <w:t>S-8</w:t>
      </w:r>
    </w:p>
    <w:p>
      <w:pPr>
        <w:pStyle w:val="TextBody"/>
        <w:bidi w:val="0"/>
        <w:spacing w:before="60" w:after="0"/>
        <w:jc w:val="left"/>
        <w:rPr>
          <w:rFonts w:ascii="Times New Roman" w:hAnsi="Times New Roman"/>
          <w:b/>
          <w:sz w:val="18"/>
          <w:shd w:fill="FFFFFF" w:val="clear"/>
        </w:rPr>
      </w:pPr>
      <w:r>
        <w:rPr>
          <w:rFonts w:ascii="Times New Roman" w:hAnsi="Times New Roman"/>
          <w:b/>
          <w:sz w:val="18"/>
          <w:shd w:fill="FFFFFF" w:val="clear"/>
        </w:rPr>
        <w:t xml:space="preserve">of this prospectus supplement and page 24 of the accompanying prospectus and the matters discussed in the documents incorporated or deemed to be incorporated by reference in this prospectus supplement and the accompanying prospectus. </w:t>
      </w:r>
    </w:p>
    <w:p>
      <w:pPr>
        <w:pStyle w:val="TextBody"/>
        <w:bidi w:val="0"/>
        <w:spacing w:before="60" w:after="0"/>
        <w:jc w:val="left"/>
        <w:rPr>
          <w:rFonts w:ascii="Times New Roman" w:hAnsi="Times New Roman"/>
          <w:sz w:val="16"/>
          <w:shd w:fill="FFFFFF" w:val="clear"/>
        </w:rPr>
      </w:pPr>
      <w:r>
        <w:rPr>
          <w:rFonts w:ascii="Times New Roman" w:hAnsi="Times New Roman"/>
          <w:sz w:val="16"/>
          <w:shd w:fill="FFFFFF" w:val="clear"/>
        </w:rPr>
        <w:t xml:space="preserve">Please read this prospectus supplement and the accompanying prospectus, including any information incorporated by reference herein or therein, before investing and keep such documents for future reference. This prospectus supplement and the accompanying prospectus,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supplement and the accompanying prospectus or incorporated by reference herein or therein. We also file periodic and current reports, proxy statements and other information about us with the Securities and Exchange Commission (the “SEC”). This information is available free of charge by contacting us at 888 7th Avenue, 41st Floor, New York, NY 10106, Attention: TSLX Investor Relations, by emailing us at IRTSLX@sixthstreet.com or visiting our website at http://www.sixthstreetspecialtylending.com. Information on our website is not incorporated into or a part of this prospectus supplement or the accompanying prospectus. The SEC also maintains a website at http://www.sec.gov that contains this information. </w:t>
      </w:r>
    </w:p>
    <w:p>
      <w:pPr>
        <w:pStyle w:val="TextBody"/>
        <w:bidi w:val="0"/>
        <w:spacing w:before="60" w:after="0"/>
        <w:jc w:val="left"/>
        <w:rPr>
          <w:rFonts w:ascii="Times New Roman" w:hAnsi="Times New Roman"/>
          <w:sz w:val="16"/>
          <w:shd w:fill="FFFFFF" w:val="clear"/>
        </w:rPr>
      </w:pPr>
      <w:r>
        <w:rPr>
          <w:rFonts w:ascii="Times New Roman" w:hAnsi="Times New Roman"/>
          <w:sz w:val="16"/>
          <w:shd w:fill="FFFFFF" w:val="clear"/>
        </w:rPr>
        <w:t xml:space="preserve">The underwriters have agreed to purchase our common stock from us at a price of $20.52 per share, which will result in approximately $81.6 million of net proceeds to us after deducting offering expenses. The underwriters propose to offer the shares of common stock from time to time for sale in negotiated transactions or otherwise, at market prices prevailing at the time of sale, at prices related to such prevailing market prices or at negotiated prices. See “Underwriting.” </w:t>
      </w:r>
    </w:p>
    <w:p>
      <w:pPr>
        <w:pStyle w:val="TextBody"/>
        <w:bidi w:val="0"/>
        <w:spacing w:before="60" w:after="0"/>
        <w:jc w:val="left"/>
        <w:rPr>
          <w:rFonts w:ascii="Times New Roman" w:hAnsi="Times New Roman"/>
          <w:sz w:val="16"/>
          <w:shd w:fill="FFFFFF" w:val="clear"/>
        </w:rPr>
      </w:pPr>
      <w:r>
        <w:rPr>
          <w:rFonts w:ascii="Times New Roman" w:hAnsi="Times New Roman"/>
          <w:sz w:val="16"/>
          <w:shd w:fill="FFFFFF" w:val="clear"/>
        </w:rPr>
        <w:t xml:space="preserve">We have also granted the underwriters an option to purchase up to an additional 600,000 shares from us at the public offering price, less the underwriting discount, within 30 days of the date of this prospectus supplement. If the underwriters exercise this option in full, the total public offering price will be $95.9 million, the total underwriting discount (sales load) paid by us will be $1.5 million, and total proceeds, before expenses, will be approximately $94.4 million. </w:t>
      </w:r>
    </w:p>
    <w:p>
      <w:pPr>
        <w:pStyle w:val="TextBody"/>
        <w:bidi w:val="0"/>
        <w:spacing w:before="60" w:after="0"/>
        <w:ind w:left="0" w:right="0" w:hanging="0"/>
        <w:jc w:val="left"/>
        <w:rPr>
          <w:rFonts w:ascii="Times New Roman" w:hAnsi="Times New Roman"/>
          <w:b/>
          <w:spacing w:val="0"/>
          <w:sz w:val="16"/>
          <w:shd w:fill="FFFFFF" w:val="clear"/>
        </w:rPr>
      </w:pPr>
      <w:r>
        <w:rPr>
          <w:rFonts w:ascii="Times New Roman" w:hAnsi="Times New Roman"/>
          <w:b/>
          <w:spacing w:val="0"/>
          <w:sz w:val="16"/>
          <w:shd w:fill="FFFFFF" w:val="clear"/>
        </w:rPr>
        <w:t xml:space="preserve">Neither the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60" w:after="0"/>
        <w:jc w:val="left"/>
        <w:rPr>
          <w:rFonts w:ascii="Times New Roman" w:hAnsi="Times New Roman"/>
          <w:spacing w:val="0"/>
          <w:sz w:val="16"/>
          <w:shd w:fill="FFFFFF" w:val="clear"/>
        </w:rPr>
      </w:pPr>
      <w:r>
        <w:rPr>
          <w:rFonts w:ascii="Times New Roman" w:hAnsi="Times New Roman"/>
          <w:spacing w:val="0"/>
          <w:sz w:val="16"/>
          <w:shd w:fill="FFFFFF" w:val="clear"/>
        </w:rPr>
        <w:t xml:space="preserve">The shares will be ready for delivery on or about March 5, 2024.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lineRule="atLeast" w:line="142" w:before="0" w:after="40"/>
        <w:ind w:left="0" w:right="0" w:hanging="0"/>
        <w:jc w:val="center"/>
        <w:rPr>
          <w:spacing w:val="0"/>
          <w:shd w:fill="FFFFFF" w:val="clear"/>
        </w:rPr>
      </w:pPr>
      <w:r>
        <w:rPr>
          <w:spacing w:val="0"/>
          <w:shd w:fill="FFFFFF" w:val="clear"/>
        </w:rPr>
        <w:t> </w:t>
      </w:r>
    </w:p>
    <w:p>
      <w:pPr>
        <w:pStyle w:val="TextBody"/>
        <w:bidi w:val="0"/>
        <w:spacing w:before="60" w:after="0"/>
        <w:ind w:left="0" w:right="0" w:hanging="0"/>
        <w:jc w:val="center"/>
        <w:rPr>
          <w:rFonts w:ascii="Times New Roman" w:hAnsi="Times New Roman"/>
          <w:b/>
          <w:i/>
          <w:caps w:val="false"/>
          <w:smallCaps w:val="false"/>
          <w:spacing w:val="0"/>
          <w:sz w:val="16"/>
          <w:shd w:fill="FFFFFF" w:val="clear"/>
        </w:rPr>
      </w:pPr>
      <w:r>
        <w:rPr>
          <w:rFonts w:ascii="Times New Roman" w:hAnsi="Times New Roman"/>
          <w:b/>
          <w:i/>
          <w:caps w:val="false"/>
          <w:smallCaps w:val="false"/>
          <w:spacing w:val="0"/>
          <w:sz w:val="16"/>
          <w:shd w:fill="FFFFFF" w:val="clear"/>
        </w:rPr>
        <w:t>Joint Book-Running Managers</w:t>
      </w:r>
    </w:p>
    <w:p>
      <w:pPr>
        <w:pStyle w:val="TextBody"/>
        <w:bidi w:val="0"/>
        <w:spacing w:before="0" w:after="0"/>
        <w:ind w:left="0" w:right="0" w:hanging="0"/>
        <w:jc w:val="left"/>
        <w:rPr>
          <w:spacing w:val="0"/>
          <w:shd w:fill="FFFFFF" w:val="clear"/>
        </w:rPr>
      </w:pPr>
      <w:r>
        <w:rPr>
          <w:spacing w:val="0"/>
          <w:shd w:fill="FFFFFF" w:val="clear"/>
        </w:rPr>
        <w:t> </w:t>
      </w:r>
    </w:p>
    <w:tbl>
      <w:tblPr>
        <w:tblW w:w="8255" w:type="dxa"/>
        <w:jc w:val="left"/>
        <w:tblInd w:w="0" w:type="dxa"/>
        <w:tblLayout w:type="fixed"/>
        <w:tblCellMar>
          <w:top w:w="0" w:type="dxa"/>
          <w:left w:w="0" w:type="dxa"/>
          <w:bottom w:w="0" w:type="dxa"/>
          <w:right w:w="0" w:type="dxa"/>
        </w:tblCellMar>
      </w:tblPr>
      <w:tblGrid>
        <w:gridCol w:w="1670"/>
        <w:gridCol w:w="60"/>
        <w:gridCol w:w="2285"/>
        <w:gridCol w:w="60"/>
        <w:gridCol w:w="60"/>
        <w:gridCol w:w="1595"/>
        <w:gridCol w:w="60"/>
        <w:gridCol w:w="60"/>
        <w:gridCol w:w="60"/>
        <w:gridCol w:w="2270"/>
        <w:gridCol w:w="75"/>
      </w:tblGrid>
      <w:tr>
        <w:trPr/>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b/>
                <w:spacing w:val="0"/>
              </w:rPr>
            </w:pPr>
            <w:r>
              <w:rPr>
                <w:b/>
                <w:spacing w:val="0"/>
              </w:rPr>
              <w:t>Morgan Stanley</w:t>
            </w:r>
          </w:p>
        </w:tc>
        <w:tc>
          <w:tcPr>
            <w:tcW w:w="60" w:type="dxa"/>
            <w:tcBorders/>
            <w:vAlign w:val="center"/>
          </w:tcPr>
          <w:p>
            <w:pPr>
              <w:pStyle w:val="TableContents"/>
              <w:bidi w:val="0"/>
              <w:spacing w:before="0" w:after="0"/>
              <w:jc w:val="left"/>
              <w:rPr/>
            </w:pPr>
            <w:r>
              <w:rPr/>
              <w:t> </w:t>
            </w:r>
          </w:p>
        </w:tc>
        <w:tc>
          <w:tcPr>
            <w:tcW w:w="2285" w:type="dxa"/>
            <w:tcBorders/>
            <w:vAlign w:val="center"/>
          </w:tcPr>
          <w:p>
            <w:pPr>
              <w:pStyle w:val="TableContents"/>
              <w:bidi w:val="0"/>
              <w:spacing w:before="0" w:after="0"/>
              <w:jc w:val="center"/>
              <w:rPr>
                <w:b/>
                <w:spacing w:val="0"/>
              </w:rPr>
            </w:pPr>
            <w:r>
              <w:rPr>
                <w:b/>
                <w:spacing w:val="0"/>
              </w:rPr>
              <w:t>Wells Fargo Securities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595" w:type="dxa"/>
            <w:tcBorders/>
            <w:vAlign w:val="center"/>
          </w:tcPr>
          <w:p>
            <w:pPr>
              <w:pStyle w:val="TableContents"/>
              <w:bidi w:val="0"/>
              <w:spacing w:before="0" w:after="0"/>
              <w:jc w:val="right"/>
              <w:rPr>
                <w:b/>
                <w:spacing w:val="0"/>
              </w:rPr>
            </w:pPr>
            <w:r>
              <w:rPr>
                <w:b/>
                <w:spacing w:val="0"/>
              </w:rPr>
              <w:t>BofA Securities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2270" w:type="dxa"/>
            <w:tcBorders/>
            <w:vAlign w:val="center"/>
          </w:tcPr>
          <w:p>
            <w:pPr>
              <w:pStyle w:val="TableContents"/>
              <w:bidi w:val="0"/>
              <w:spacing w:before="0" w:after="0"/>
              <w:jc w:val="right"/>
              <w:rPr>
                <w:b/>
                <w:spacing w:val="0"/>
              </w:rPr>
            </w:pPr>
            <w:r>
              <w:rPr>
                <w:b/>
                <w:spacing w:val="0"/>
              </w:rPr>
              <w:t>RBC Capital Markets</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ind w:left="0" w:right="0" w:hanging="0"/>
        <w:jc w:val="left"/>
        <w:rPr>
          <w:spacing w:val="0"/>
          <w:shd w:fill="FFFFFF" w:val="clear"/>
        </w:rPr>
      </w:pPr>
      <w:r>
        <w:rPr>
          <w:spacing w:val="0"/>
          <w:shd w:fill="FFFFFF" w:val="clear"/>
        </w:rPr>
        <w:t> </w:t>
      </w:r>
    </w:p>
    <w:tbl>
      <w:tblPr>
        <w:tblW w:w="4090" w:type="dxa"/>
        <w:jc w:val="left"/>
        <w:tblInd w:w="0" w:type="dxa"/>
        <w:tblLayout w:type="fixed"/>
        <w:tblCellMar>
          <w:top w:w="0" w:type="dxa"/>
          <w:left w:w="0" w:type="dxa"/>
          <w:bottom w:w="0" w:type="dxa"/>
          <w:right w:w="0" w:type="dxa"/>
        </w:tblCellMar>
      </w:tblPr>
      <w:tblGrid>
        <w:gridCol w:w="2300"/>
        <w:gridCol w:w="60"/>
        <w:gridCol w:w="1730"/>
      </w:tblGrid>
      <w:tr>
        <w:trPr/>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center"/>
              <w:rPr>
                <w:rFonts w:ascii="Times New Roman" w:hAnsi="Times New Roman"/>
                <w:b/>
                <w:spacing w:val="0"/>
                <w:sz w:val="18"/>
              </w:rPr>
            </w:pPr>
            <w:r>
              <w:rPr>
                <w:rFonts w:ascii="Times New Roman" w:hAnsi="Times New Roman"/>
                <w:b/>
                <w:spacing w:val="0"/>
                <w:sz w:val="18"/>
              </w:rPr>
              <w:t>Keefe, Bruyette &amp; Woods,  </w:t>
            </w:r>
          </w:p>
          <w:p>
            <w:pPr>
              <w:pStyle w:val="TableContents"/>
              <w:bidi w:val="0"/>
              <w:spacing w:before="0" w:after="20"/>
              <w:jc w:val="center"/>
              <w:rPr>
                <w:caps w:val="false"/>
                <w:smallCaps w:val="false"/>
                <w:spacing w:val="0"/>
              </w:rPr>
            </w:pPr>
            <w:r>
              <w:rPr>
                <w:caps w:val="false"/>
                <w:smallCaps w:val="false"/>
                <w:spacing w:val="0"/>
              </w:rPr>
              <w:t>     </w:t>
            </w:r>
            <w:r>
              <w:rPr>
                <w:rFonts w:ascii="Times New Roman" w:hAnsi="Times New Roman"/>
                <w:b/>
                <w:i/>
                <w:caps w:val="false"/>
                <w:smallCaps w:val="false"/>
                <w:spacing w:val="0"/>
                <w:sz w:val="18"/>
              </w:rPr>
              <w:t>A Stifel Company</w:t>
            </w:r>
          </w:p>
          <w:p>
            <w:pPr>
              <w:pStyle w:val="TableContents"/>
              <w:bidi w:val="0"/>
              <w:spacing w:before="0" w:after="20"/>
              <w:jc w:val="center"/>
              <w:rPr>
                <w:spacing w:val="0"/>
              </w:rPr>
            </w:pPr>
            <w:r>
              <w:rPr>
                <w:spacing w:val="0"/>
              </w:rPr>
              <w:t>  </w:t>
            </w:r>
          </w:p>
        </w:tc>
        <w:tc>
          <w:tcPr>
            <w:tcW w:w="6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0"/>
              <w:jc w:val="center"/>
              <w:rPr>
                <w:b/>
                <w:spacing w:val="0"/>
              </w:rPr>
            </w:pPr>
            <w:r>
              <w:rPr>
                <w:b/>
                <w:spacing w:val="0"/>
              </w:rPr>
              <w:t>Raymond James</w:t>
            </w:r>
          </w:p>
        </w:tc>
      </w:tr>
    </w:tbl>
    <w:p>
      <w:pPr>
        <w:pStyle w:val="TextBody"/>
        <w:bidi w:val="0"/>
        <w:spacing w:before="0" w:after="0"/>
        <w:ind w:left="0" w:right="0" w:hanging="0"/>
        <w:jc w:val="left"/>
        <w:rPr>
          <w:spacing w:val="0"/>
          <w:shd w:fill="FFFFFF" w:val="clear"/>
        </w:rPr>
      </w:pPr>
      <w:r>
        <w:rPr>
          <w:spacing w:val="0"/>
          <w:shd w:fill="FFFFFF" w:val="clear"/>
        </w:rPr>
        <w:t> </w:t>
      </w:r>
    </w:p>
    <w:tbl>
      <w:tblPr>
        <w:tblW w:w="5310" w:type="dxa"/>
        <w:jc w:val="left"/>
        <w:tblInd w:w="0" w:type="dxa"/>
        <w:tblLayout w:type="fixed"/>
        <w:tblCellMar>
          <w:top w:w="0" w:type="dxa"/>
          <w:left w:w="0" w:type="dxa"/>
          <w:bottom w:w="0" w:type="dxa"/>
          <w:right w:w="0" w:type="dxa"/>
        </w:tblCellMar>
      </w:tblPr>
      <w:tblGrid>
        <w:gridCol w:w="1025"/>
        <w:gridCol w:w="60"/>
        <w:gridCol w:w="2855"/>
        <w:gridCol w:w="60"/>
        <w:gridCol w:w="1310"/>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center"/>
              <w:rPr>
                <w:b/>
                <w:spacing w:val="0"/>
              </w:rPr>
            </w:pPr>
            <w:r>
              <w:rPr>
                <w:b/>
                <w:spacing w:val="0"/>
              </w:rPr>
              <w:t>Citigroup</w:t>
            </w:r>
          </w:p>
        </w:tc>
        <w:tc>
          <w:tcPr>
            <w:tcW w:w="60" w:type="dxa"/>
            <w:tcBorders/>
            <w:vAlign w:val="center"/>
          </w:tcPr>
          <w:p>
            <w:pPr>
              <w:pStyle w:val="TableContents"/>
              <w:bidi w:val="0"/>
              <w:spacing w:before="0" w:after="0"/>
              <w:jc w:val="left"/>
              <w:rPr/>
            </w:pPr>
            <w:r>
              <w:rPr/>
              <w:t> </w:t>
            </w:r>
          </w:p>
        </w:tc>
        <w:tc>
          <w:tcPr>
            <w:tcW w:w="2855" w:type="dxa"/>
            <w:tcBorders/>
            <w:vAlign w:val="center"/>
          </w:tcPr>
          <w:p>
            <w:pPr>
              <w:pStyle w:val="TableContents"/>
              <w:bidi w:val="0"/>
              <w:spacing w:before="0" w:after="0"/>
              <w:jc w:val="center"/>
              <w:rPr>
                <w:b/>
                <w:spacing w:val="0"/>
              </w:rPr>
            </w:pPr>
            <w:r>
              <w:rPr>
                <w:b/>
                <w:spacing w:val="0"/>
              </w:rPr>
              <w:t>Goldman Sachs &amp; Co. LLC</w:t>
            </w:r>
          </w:p>
        </w:tc>
        <w:tc>
          <w:tcPr>
            <w:tcW w:w="6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center"/>
              <w:rPr>
                <w:b/>
                <w:spacing w:val="0"/>
              </w:rPr>
            </w:pPr>
            <w:r>
              <w:rPr>
                <w:b/>
                <w:spacing w:val="0"/>
              </w:rPr>
              <w:t>J.P. Morgan</w:t>
            </w:r>
          </w:p>
        </w:tc>
      </w:tr>
    </w:tbl>
    <w:p>
      <w:pPr>
        <w:pStyle w:val="TextBody"/>
        <w:bidi w:val="0"/>
        <w:spacing w:before="240" w:after="0"/>
        <w:ind w:left="0" w:right="0" w:hanging="0"/>
        <w:jc w:val="center"/>
        <w:rPr>
          <w:rFonts w:ascii="Times New Roman" w:hAnsi="Times New Roman"/>
          <w:b/>
          <w:spacing w:val="0"/>
          <w:sz w:val="16"/>
          <w:shd w:fill="FFFFFF" w:val="clear"/>
        </w:rPr>
      </w:pPr>
      <w:r>
        <w:rPr>
          <w:rFonts w:ascii="Times New Roman" w:hAnsi="Times New Roman"/>
          <w:b/>
          <w:spacing w:val="0"/>
          <w:sz w:val="16"/>
          <w:shd w:fill="FFFFFF" w:val="clear"/>
        </w:rPr>
        <w:t xml:space="preserve">The date of this prospectus supplement is February 29, 2024.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20"/>
          <w:shd w:fill="FFFFFF" w:val="clear"/>
        </w:rPr>
      </w:pPr>
      <w:r>
        <w:rPr>
          <w:rFonts w:ascii="Times New Roman" w:hAnsi="Times New Roman"/>
          <w:b/>
          <w:sz w:val="20"/>
          <w:shd w:fill="FFFFFF" w:val="clear"/>
        </w:rPr>
        <w:t xml:space="preserve">Prospectus Supplement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TABLE OF CONTENTS </w:t>
      </w:r>
    </w:p>
    <w:p>
      <w:pPr>
        <w:pStyle w:val="TextBody"/>
        <w:bidi w:val="0"/>
        <w:spacing w:before="0" w:after="0"/>
        <w:jc w:val="left"/>
        <w:rPr>
          <w:shd w:fill="FFFFFF" w:val="clear"/>
        </w:rPr>
      </w:pPr>
      <w:r>
        <w:rPr>
          <w:shd w:fill="FFFFFF" w:val="clear"/>
        </w:rPr>
        <w:t> </w:t>
      </w:r>
    </w:p>
    <w:tbl>
      <w:tblPr>
        <w:tblW w:w="6490" w:type="dxa"/>
        <w:jc w:val="left"/>
        <w:tblInd w:w="0" w:type="dxa"/>
        <w:tblLayout w:type="fixed"/>
        <w:tblCellMar>
          <w:top w:w="0" w:type="dxa"/>
          <w:left w:w="0" w:type="dxa"/>
          <w:bottom w:w="0" w:type="dxa"/>
          <w:right w:w="0" w:type="dxa"/>
        </w:tblCellMar>
      </w:tblPr>
      <w:tblGrid>
        <w:gridCol w:w="5765"/>
        <w:gridCol w:w="120"/>
        <w:gridCol w:w="60"/>
        <w:gridCol w:w="470"/>
        <w:gridCol w:w="75"/>
      </w:tblGrid>
      <w:tr>
        <w:trPr/>
        <w:tc>
          <w:tcPr>
            <w:tcW w:w="5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Page</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pPr>
            <w:hyperlink w:anchor="supptoc570824_1">
              <w:r>
                <w:rPr>
                  <w:rStyle w:val="InternetLink"/>
                  <w:rFonts w:ascii="Times New Roman" w:hAnsi="Times New Roman"/>
                  <w:sz w:val="20"/>
                </w:rPr>
                <w:t>SPECIAL NOTE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pPr>
            <w:hyperlink w:anchor="supptoc570824_2">
              <w:r>
                <w:rPr>
                  <w:rStyle w:val="InternetLink"/>
                  <w:rFonts w:ascii="Times New Roman" w:hAnsi="Times New Roman"/>
                  <w:sz w:val="20"/>
                </w:rPr>
                <w:t>THE COMPANY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S-2</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pPr>
            <w:hyperlink w:anchor="supptoc570824_3">
              <w:r>
                <w:rPr>
                  <w:rStyle w:val="InternetLink"/>
                  <w:rFonts w:ascii="Times New Roman" w:hAnsi="Times New Roman"/>
                  <w:sz w:val="20"/>
                </w:rPr>
                <w:t>THE OFFERING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S-6</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pPr>
            <w:hyperlink w:anchor="supptoc570824_4">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S-8</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pPr>
            <w:hyperlink w:anchor="supptoc570824_5">
              <w:r>
                <w:rPr>
                  <w:rStyle w:val="InternetLink"/>
                  <w:rFonts w:ascii="Times New Roman" w:hAnsi="Times New Roman"/>
                  <w:sz w:val="20"/>
                </w:rPr>
                <w:t>FEES AND EXPENSES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S-9</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pPr>
            <w:hyperlink w:anchor="supptoc570824_6">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S-13</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pPr>
            <w:hyperlink w:anchor="supptoc570824_7">
              <w:r>
                <w:rPr>
                  <w:rStyle w:val="InternetLink"/>
                  <w:rFonts w:ascii="Times New Roman" w:hAnsi="Times New Roman"/>
                  <w:sz w:val="20"/>
                </w:rPr>
                <w:t>CAPITALIZATION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S-14</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pPr>
            <w:hyperlink w:anchor="supptoc570824_8">
              <w:r>
                <w:rPr>
                  <w:rStyle w:val="InternetLink"/>
                  <w:rFonts w:ascii="Times New Roman" w:hAnsi="Times New Roman"/>
                  <w:sz w:val="20"/>
                </w:rPr>
                <w:t>UNDERWRITING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S-15</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pPr>
            <w:hyperlink w:anchor="supptoc570824_9">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S-21</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pPr>
            <w:hyperlink w:anchor="supptoc570824_10">
              <w:r>
                <w:rPr>
                  <w:rStyle w:val="InternetLink"/>
                  <w:rFonts w:ascii="Times New Roman" w:hAnsi="Times New Roman"/>
                  <w:sz w:val="20"/>
                </w:rPr>
                <w:t>INFORMATION INCORPORATED BY REFERENCE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S-22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7150" w:type="dxa"/>
        <w:jc w:val="left"/>
        <w:tblInd w:w="0" w:type="dxa"/>
        <w:tblLayout w:type="fixed"/>
        <w:tblCellMar>
          <w:top w:w="0" w:type="dxa"/>
          <w:left w:w="0" w:type="dxa"/>
          <w:bottom w:w="0" w:type="dxa"/>
          <w:right w:w="0" w:type="dxa"/>
        </w:tblCellMar>
      </w:tblPr>
      <w:tblGrid>
        <w:gridCol w:w="6635"/>
        <w:gridCol w:w="120"/>
        <w:gridCol w:w="60"/>
        <w:gridCol w:w="260"/>
        <w:gridCol w:w="75"/>
      </w:tblGrid>
      <w:tr>
        <w:trPr/>
        <w:tc>
          <w:tcPr>
            <w:tcW w:w="6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570824_1">
              <w:r>
                <w:rPr>
                  <w:rStyle w:val="InternetLink"/>
                  <w:rFonts w:ascii="Times New Roman" w:hAnsi="Times New Roman"/>
                  <w:sz w:val="20"/>
                </w:rPr>
                <w:t>ABOUT THIS PROSPECTUS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i</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2">
              <w:r>
                <w:rPr>
                  <w:rStyle w:val="InternetLink"/>
                  <w:rFonts w:ascii="Times New Roman" w:hAnsi="Times New Roman"/>
                  <w:sz w:val="20"/>
                </w:rPr>
                <w:t>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3">
              <w:r>
                <w:rPr>
                  <w:rStyle w:val="InternetLink"/>
                  <w:rFonts w:ascii="Times New Roman" w:hAnsi="Times New Roman"/>
                  <w:sz w:val="20"/>
                </w:rPr>
                <w:t>THE OFFERING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4">
              <w:r>
                <w:rPr>
                  <w:rStyle w:val="InternetLink"/>
                  <w:rFonts w:ascii="Times New Roman" w:hAnsi="Times New Roman"/>
                  <w:sz w:val="20"/>
                </w:rPr>
                <w:t>FEES AND EXPENSES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4a">
              <w:r>
                <w:rPr>
                  <w:rStyle w:val="InternetLink"/>
                  <w:rFonts w:ascii="Times New Roman" w:hAnsi="Times New Roman"/>
                  <w:sz w:val="20"/>
                </w:rPr>
                <w:t>FINANCIAL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5">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6">
              <w:r>
                <w:rPr>
                  <w:rStyle w:val="InternetLink"/>
                  <w:rFonts w:ascii="Times New Roman" w:hAnsi="Times New Roman"/>
                  <w:sz w:val="20"/>
                </w:rPr>
                <w:t>SPECIAL NOTE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7">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8">
              <w:r>
                <w:rPr>
                  <w:rStyle w:val="InternetLink"/>
                  <w:rFonts w:ascii="Times New Roman" w:hAnsi="Times New Roman"/>
                  <w:sz w:val="20"/>
                </w:rPr>
                <w:t>PRICE RANGE OF COMMON STOCK AND DISTRIBUTIONS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9">
              <w:r>
                <w:rPr>
                  <w:rStyle w:val="InternetLink"/>
                  <w:rFonts w:ascii="Times New Roman" w:hAnsi="Times New Roman"/>
                  <w:sz w:val="20"/>
                </w:rPr>
                <w:t>SENIOR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10">
              <w:r>
                <w:rPr>
                  <w:rStyle w:val="InternetLink"/>
                  <w:rFonts w:ascii="Times New Roman" w:hAnsi="Times New Roman"/>
                  <w:sz w:val="20"/>
                </w:rPr>
                <w:t>PORTFOLIO COMPANIES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11">
              <w:r>
                <w:rPr>
                  <w:rStyle w:val="InternetLink"/>
                  <w:rFonts w:ascii="Times New Roman" w:hAnsi="Times New Roman"/>
                  <w:sz w:val="20"/>
                </w:rPr>
                <w:t>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12">
              <w:r>
                <w:rPr>
                  <w:rStyle w:val="InternetLink"/>
                  <w:rFonts w:ascii="Times New Roman" w:hAnsi="Times New Roman"/>
                  <w:sz w:val="20"/>
                </w:rPr>
                <w:t>DETERMINATION OF NET ASSET VALUE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13">
              <w:r>
                <w:rPr>
                  <w:rStyle w:val="InternetLink"/>
                  <w:rFonts w:ascii="Times New Roman" w:hAnsi="Times New Roman"/>
                  <w:sz w:val="20"/>
                </w:rPr>
                <w:t>SALES OF COMMON STOCK BELOW NET ASSET VALUE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14">
              <w:r>
                <w:rPr>
                  <w:rStyle w:val="InternetLink"/>
                  <w:rFonts w:ascii="Times New Roman" w:hAnsi="Times New Roman"/>
                  <w:sz w:val="20"/>
                </w:rPr>
                <w:t>DIVIDEND REINVESTMENT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15">
              <w:r>
                <w:rPr>
                  <w:rStyle w:val="InternetLink"/>
                  <w:rFonts w:ascii="Times New Roman" w:hAnsi="Times New Roman"/>
                  <w:sz w:val="20"/>
                </w:rPr>
                <w:t>MATERIAL U.S. FEDERAL INCOME TAX CONSIDERATIONS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16">
              <w:r>
                <w:rPr>
                  <w:rStyle w:val="InternetLink"/>
                  <w:rFonts w:ascii="Times New Roman" w:hAnsi="Times New Roman"/>
                  <w:sz w:val="20"/>
                </w:rPr>
                <w:t>DESCRIPTION OF OUR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17">
              <w:r>
                <w:rPr>
                  <w:rStyle w:val="InternetLink"/>
                  <w:rFonts w:ascii="Times New Roman" w:hAnsi="Times New Roman"/>
                  <w:sz w:val="20"/>
                </w:rPr>
                <w:t>DESCRIPTION OF OUR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18">
              <w:r>
                <w:rPr>
                  <w:rStyle w:val="InternetLink"/>
                  <w:rFonts w:ascii="Times New Roman" w:hAnsi="Times New Roman"/>
                  <w:sz w:val="20"/>
                </w:rPr>
                <w:t>DESCRIPTION OF OUR PREFERRED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19">
              <w:r>
                <w:rPr>
                  <w:rStyle w:val="InternetLink"/>
                  <w:rFonts w:ascii="Times New Roman" w:hAnsi="Times New Roman"/>
                  <w:sz w:val="20"/>
                </w:rPr>
                <w:t>DESCRIPTION OF OUR SUBSCRIPTION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77</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20">
              <w:r>
                <w:rPr>
                  <w:rStyle w:val="InternetLink"/>
                  <w:rFonts w:ascii="Times New Roman" w:hAnsi="Times New Roman"/>
                  <w:sz w:val="20"/>
                </w:rPr>
                <w:t>DESCRIPTION OF OUR WARRANTS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79</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21">
              <w:r>
                <w:rPr>
                  <w:rStyle w:val="InternetLink"/>
                  <w:rFonts w:ascii="Times New Roman" w:hAnsi="Times New Roman"/>
                  <w:sz w:val="20"/>
                </w:rPr>
                <w:t>DESCRIPTION OF OUR DEBT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22">
              <w:r>
                <w:rPr>
                  <w:rStyle w:val="InternetLink"/>
                  <w:rFonts w:ascii="Times New Roman" w:hAnsi="Times New Roman"/>
                  <w:sz w:val="20"/>
                </w:rPr>
                <w:t>CUSTODIAN, TRANSFER AND DIVIDEND PAYING AGENT AND REGISTRAR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93</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23">
              <w:r>
                <w:rPr>
                  <w:rStyle w:val="InternetLink"/>
                  <w:rFonts w:ascii="Times New Roman" w:hAnsi="Times New Roman"/>
                  <w:sz w:val="20"/>
                </w:rPr>
                <w:t>BROKERAGE ALLOCATION AND OTHER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93</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24">
              <w:r>
                <w:rPr>
                  <w:rStyle w:val="InternetLink"/>
                  <w:rFonts w:ascii="Times New Roman" w:hAnsi="Times New Roman"/>
                  <w:sz w:val="20"/>
                </w:rPr>
                <w:t>PLAN OF DISTRIBUTION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25">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95</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26">
              <w:r>
                <w:rPr>
                  <w:rStyle w:val="InternetLink"/>
                  <w:rFonts w:ascii="Times New Roman" w:hAnsi="Times New Roman"/>
                  <w:sz w:val="20"/>
                </w:rPr>
                <w:t>EXPERTS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96</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27">
              <w:r>
                <w:rPr>
                  <w:rStyle w:val="InternetLink"/>
                  <w:rFonts w:ascii="Times New Roman" w:hAnsi="Times New Roman"/>
                  <w:sz w:val="20"/>
                </w:rPr>
                <w:t>AVAILABLE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97</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28">
              <w:r>
                <w:rPr>
                  <w:rStyle w:val="InternetLink"/>
                  <w:rFonts w:ascii="Times New Roman" w:hAnsi="Times New Roman"/>
                  <w:sz w:val="20"/>
                </w:rPr>
                <w:t>INFORMATION INCORPORATED BY REFERENCE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97</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S-i </w:t>
      </w:r>
    </w:p>
    <w:p>
      <w:pPr>
        <w:pStyle w:val="HorizontalLine"/>
        <w:pBdr>
          <w:bottom w:val="double" w:sz="2" w:space="0" w:color="808080"/>
        </w:pBdr>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Special Note Regarding Forward-Looking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economic downturn could impair our portfolio companies’ abilities to continue to operate, which could lead to the loss of some or all of our investments in those portfolio companies;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tc>
      </w:tr>
    </w:tbl>
    <w:p>
      <w:pPr>
        <w:pStyle w:val="TextBody"/>
        <w:bidi w:val="0"/>
        <w:spacing w:before="0" w:after="0"/>
        <w:jc w:val="left"/>
        <w:rPr>
          <w:shd w:fill="FFFFFF" w:val="clear"/>
        </w:rPr>
      </w:pPr>
      <w:r>
        <w:rPr>
          <w:shd w:fill="FFFFFF" w:val="clear"/>
        </w:rPr>
        <w:t> </w:t>
      </w:r>
    </w:p>
    <w:tbl>
      <w:tblPr>
        <w:tblW w:w="7465" w:type="dxa"/>
        <w:jc w:val="left"/>
        <w:tblInd w:w="0" w:type="dxa"/>
        <w:tblLayout w:type="fixed"/>
        <w:tblCellMar>
          <w:top w:w="0" w:type="dxa"/>
          <w:left w:w="0" w:type="dxa"/>
          <w:bottom w:w="0" w:type="dxa"/>
          <w:right w:w="0" w:type="dxa"/>
        </w:tblCellMar>
      </w:tblPr>
      <w:tblGrid>
        <w:gridCol w:w="75"/>
        <w:gridCol w:w="110"/>
        <w:gridCol w:w="60"/>
        <w:gridCol w:w="7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an economic downturn could also impact availability and pricing of our financing; </w:t>
            </w:r>
          </w:p>
        </w:tc>
      </w:tr>
    </w:tbl>
    <w:p>
      <w:pPr>
        <w:pStyle w:val="TextBody"/>
        <w:bidi w:val="0"/>
        <w:spacing w:before="0" w:after="0"/>
        <w:jc w:val="left"/>
        <w:rPr>
          <w:shd w:fill="FFFFFF" w:val="clear"/>
        </w:rPr>
      </w:pPr>
      <w:r>
        <w:rPr>
          <w:shd w:fill="FFFFFF" w:val="clear"/>
        </w:rPr>
        <w:t> </w:t>
      </w:r>
    </w:p>
    <w:tbl>
      <w:tblPr>
        <w:tblW w:w="9280" w:type="dxa"/>
        <w:jc w:val="left"/>
        <w:tblInd w:w="0" w:type="dxa"/>
        <w:tblLayout w:type="fixed"/>
        <w:tblCellMar>
          <w:top w:w="0" w:type="dxa"/>
          <w:left w:w="0" w:type="dxa"/>
          <w:bottom w:w="0" w:type="dxa"/>
          <w:right w:w="0" w:type="dxa"/>
        </w:tblCellMar>
      </w:tblPr>
      <w:tblGrid>
        <w:gridCol w:w="75"/>
        <w:gridCol w:w="110"/>
        <w:gridCol w:w="60"/>
        <w:gridCol w:w="9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access the capital markets could impair our ability to raise capital and our investment activities;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inflation could negatively impact our business, including our ability to access the debt markets on favorable terms, or could negatively impact our portfolio companies; and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risks, uncertainties and other factors we identify in the section entitled “Risk Factors” in this prospectus supplement, the accompanying prospectus and in Part I, Item 1A of our Annual Report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10-K</w:t>
            </w:r>
          </w:p>
          <w:p>
            <w:pPr>
              <w:pStyle w:val="TableContents"/>
              <w:bidi w:val="0"/>
              <w:spacing w:before="0" w:after="0"/>
              <w:jc w:val="left"/>
              <w:rPr>
                <w:rFonts w:ascii="Times New Roman" w:hAnsi="Times New Roman"/>
                <w:sz w:val="20"/>
              </w:rPr>
            </w:pPr>
            <w:r>
              <w:rPr>
                <w:rFonts w:ascii="Times New Roman" w:hAnsi="Times New Roman"/>
                <w:sz w:val="20"/>
              </w:rPr>
              <w:t xml:space="preserve">for the year ended December 31, 2023 (the “2023 Annual Report”), any subsequent Quarterly Reports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10-Q</w:t>
            </w:r>
          </w:p>
          <w:p>
            <w:pPr>
              <w:pStyle w:val="TableContents"/>
              <w:bidi w:val="0"/>
              <w:spacing w:before="0" w:after="0"/>
              <w:jc w:val="left"/>
              <w:rPr>
                <w:rFonts w:ascii="Times New Roman" w:hAnsi="Times New Roman"/>
                <w:sz w:val="20"/>
              </w:rPr>
            </w:pPr>
            <w:r>
              <w:rPr>
                <w:rFonts w:ascii="Times New Roman" w:hAnsi="Times New Roman"/>
                <w:sz w:val="20"/>
              </w:rPr>
              <w:t xml:space="preserve">or Current Reports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8-K</w:t>
            </w:r>
          </w:p>
          <w:p>
            <w:pPr>
              <w:pStyle w:val="TableContents"/>
              <w:bidi w:val="0"/>
              <w:spacing w:before="0" w:after="0"/>
              <w:jc w:val="left"/>
              <w:rPr>
                <w:rFonts w:ascii="Times New Roman" w:hAnsi="Times New Roman"/>
                <w:sz w:val="20"/>
              </w:rPr>
            </w:pPr>
            <w:r>
              <w:rPr>
                <w:rFonts w:ascii="Times New Roman" w:hAnsi="Times New Roman"/>
                <w:sz w:val="20"/>
              </w:rPr>
              <w:t xml:space="preserve">we file after the date of this prospectus supplement, and those discussed in other documents we file with the SEC.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2023 Annual Report, any subsequent Quarterly Reports on Form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10-Q</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or Current Reports on Form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8-K</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S-1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The Company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i/>
          <w:caps w:val="false"/>
          <w:smallCaps w:val="false"/>
          <w:spacing w:val="0"/>
          <w:sz w:val="20"/>
          <w:bdr w:val="single" w:sz="8" w:space="1" w:color="000000"/>
          <w:shd w:fill="FFFFFF" w:val="clear"/>
        </w:rPr>
      </w:pPr>
      <w:r>
        <w:rPr>
          <w:rFonts w:ascii="Times New Roman" w:hAnsi="Times New Roman"/>
          <w:i/>
          <w:caps w:val="false"/>
          <w:smallCaps w:val="false"/>
          <w:spacing w:val="0"/>
          <w:sz w:val="20"/>
          <w:bdr w:val="single" w:sz="8" w:space="1" w:color="000000"/>
          <w:shd w:fill="FFFFFF" w:val="clear"/>
        </w:rPr>
        <w:t xml:space="preserve">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 </w:t>
      </w:r>
    </w:p>
    <w:p>
      <w:pPr>
        <w:pStyle w:val="TextBody"/>
        <w:bidi w:val="0"/>
        <w:spacing w:before="240" w:after="0"/>
        <w:jc w:val="left"/>
        <w:rPr>
          <w:rFonts w:ascii="Times New Roman" w:hAnsi="Times New Roman"/>
          <w:i/>
          <w:caps w:val="false"/>
          <w:smallCaps w:val="false"/>
          <w:spacing w:val="0"/>
          <w:sz w:val="20"/>
          <w:bdr w:val="single" w:sz="8" w:space="1" w:color="000000"/>
          <w:shd w:fill="FFFFFF" w:val="clear"/>
        </w:rPr>
      </w:pPr>
      <w:r>
        <w:rPr>
          <w:rFonts w:ascii="Times New Roman" w:hAnsi="Times New Roman"/>
          <w:i/>
          <w:caps w:val="false"/>
          <w:smallCaps w:val="false"/>
          <w:spacing w:val="0"/>
          <w:sz w:val="20"/>
          <w:bdr w:val="single" w:sz="8" w:space="1" w:color="000000"/>
          <w:shd w:fill="FFFFFF" w:val="clear"/>
        </w:rPr>
        <w:t xml:space="preserve">As used in the prospectus supplement and the accompanying prospectus, except where the context suggests otherwise, references to: </w:t>
      </w:r>
    </w:p>
    <w:p>
      <w:pPr>
        <w:pStyle w:val="TextBody"/>
        <w:bidi w:val="0"/>
        <w:spacing w:before="0" w:after="0"/>
        <w:jc w:val="left"/>
        <w:rPr>
          <w:bdr w:val="single" w:sz="8" w:space="1" w:color="000000"/>
          <w:shd w:fill="FFFFFF" w:val="clear"/>
        </w:rPr>
      </w:pPr>
      <w:r>
        <w:rPr>
          <w:bdr w:val="single" w:sz="8" w:space="1" w:color="000000"/>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caps w:val="false"/>
                <w:smallCaps w:val="false"/>
                <w:spacing w:val="0"/>
              </w:rPr>
            </w:pPr>
            <w:r>
              <w:rPr>
                <w:caps w:val="false"/>
                <w:smallCaps w:val="false"/>
                <w:spacing w:val="0"/>
              </w:rPr>
              <w:t>“</w:t>
            </w:r>
            <w:r>
              <w:rPr>
                <w:rFonts w:ascii="Times New Roman" w:hAnsi="Times New Roman"/>
                <w:i/>
                <w:caps w:val="false"/>
                <w:smallCaps w:val="false"/>
                <w:spacing w:val="0"/>
                <w:sz w:val="20"/>
              </w:rPr>
              <w:t>TSLX,” “Sixth Street Specialty Lending,” “we,” “us,” “our,” the “Company,” and the “Registrant” refer to Sixth Street Specialty Lending, Inc., a Delaware corporation, and its consolidated subsidiaries;</w:t>
            </w:r>
          </w:p>
        </w:tc>
      </w:tr>
    </w:tbl>
    <w:p>
      <w:pPr>
        <w:pStyle w:val="TextBody"/>
        <w:bidi w:val="0"/>
        <w:spacing w:before="0" w:after="0"/>
        <w:jc w:val="left"/>
        <w:rPr>
          <w:bdr w:val="single" w:sz="8" w:space="1" w:color="000000"/>
          <w:shd w:fill="FFFFFF" w:val="clear"/>
        </w:rPr>
      </w:pPr>
      <w:r>
        <w:rPr>
          <w:bdr w:val="single" w:sz="8" w:space="1" w:color="000000"/>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the consolidated subsidiaries of Sixth Street Specialty Lending, Inc. refers to TC Lending, LLC, Sixth Street SL SPV, LLC, Sixth Street SL Holding, LLC, each a Delaware limited liability company, and Sixth Street Specialty Lending Sub, LLC, a limited liability company incorporated under the laws of the Cayman Islands;</w:t>
            </w:r>
          </w:p>
        </w:tc>
      </w:tr>
    </w:tbl>
    <w:p>
      <w:pPr>
        <w:pStyle w:val="TextBody"/>
        <w:bidi w:val="0"/>
        <w:spacing w:before="0" w:after="0"/>
        <w:jc w:val="left"/>
        <w:rPr>
          <w:bdr w:val="single" w:sz="8" w:space="1" w:color="000000"/>
          <w:shd w:fill="FFFFFF" w:val="clear"/>
        </w:rPr>
      </w:pPr>
      <w:r>
        <w:rPr>
          <w:bdr w:val="single" w:sz="8" w:space="1" w:color="000000"/>
          <w:shd w:fill="FFFFFF" w:val="clear"/>
        </w:rPr>
        <w:t> </w:t>
      </w:r>
    </w:p>
    <w:tbl>
      <w:tblPr>
        <w:tblW w:w="9070" w:type="dxa"/>
        <w:jc w:val="left"/>
        <w:tblInd w:w="0" w:type="dxa"/>
        <w:tblLayout w:type="fixed"/>
        <w:tblCellMar>
          <w:top w:w="0" w:type="dxa"/>
          <w:left w:w="0" w:type="dxa"/>
          <w:bottom w:w="0" w:type="dxa"/>
          <w:right w:w="0" w:type="dxa"/>
        </w:tblCellMar>
      </w:tblPr>
      <w:tblGrid>
        <w:gridCol w:w="75"/>
        <w:gridCol w:w="110"/>
        <w:gridCol w:w="60"/>
        <w:gridCol w:w="8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0"/>
              <w:jc w:val="left"/>
              <w:rPr>
                <w:caps w:val="false"/>
                <w:smallCaps w:val="false"/>
                <w:spacing w:val="0"/>
              </w:rPr>
            </w:pPr>
            <w:r>
              <w:rPr>
                <w:caps w:val="false"/>
                <w:smallCaps w:val="false"/>
                <w:spacing w:val="0"/>
              </w:rPr>
              <w:t>“</w:t>
            </w:r>
            <w:r>
              <w:rPr>
                <w:rFonts w:ascii="Times New Roman" w:hAnsi="Times New Roman"/>
                <w:i/>
                <w:caps w:val="false"/>
                <w:smallCaps w:val="false"/>
                <w:spacing w:val="0"/>
                <w:sz w:val="20"/>
              </w:rPr>
              <w:t>Adviser” refers to Sixth Street Specialty Lending Advisers, LLC, a Delaware limited liability company; and</w:t>
            </w:r>
          </w:p>
        </w:tc>
      </w:tr>
    </w:tbl>
    <w:p>
      <w:pPr>
        <w:pStyle w:val="TextBody"/>
        <w:bidi w:val="0"/>
        <w:spacing w:before="0" w:after="0"/>
        <w:jc w:val="left"/>
        <w:rPr>
          <w:bdr w:val="single" w:sz="8" w:space="1" w:color="000000"/>
          <w:shd w:fill="FFFFFF" w:val="clear"/>
        </w:rPr>
      </w:pPr>
      <w:r>
        <w:rPr>
          <w:bdr w:val="single" w:sz="8" w:space="1" w:color="000000"/>
          <w:shd w:fill="FFFFFF" w:val="clear"/>
        </w:rPr>
        <w:t> </w:t>
      </w:r>
    </w:p>
    <w:tbl>
      <w:tblPr>
        <w:tblW w:w="6535" w:type="dxa"/>
        <w:jc w:val="left"/>
        <w:tblInd w:w="0" w:type="dxa"/>
        <w:tblLayout w:type="fixed"/>
        <w:tblCellMar>
          <w:top w:w="0" w:type="dxa"/>
          <w:left w:w="0" w:type="dxa"/>
          <w:bottom w:w="0" w:type="dxa"/>
          <w:right w:w="0" w:type="dxa"/>
        </w:tblCellMar>
      </w:tblPr>
      <w:tblGrid>
        <w:gridCol w:w="75"/>
        <w:gridCol w:w="110"/>
        <w:gridCol w:w="60"/>
        <w:gridCol w:w="6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0"/>
              <w:jc w:val="left"/>
              <w:rPr>
                <w:caps w:val="false"/>
                <w:smallCaps w:val="false"/>
                <w:spacing w:val="0"/>
              </w:rPr>
            </w:pPr>
            <w:r>
              <w:rPr>
                <w:caps w:val="false"/>
                <w:smallCaps w:val="false"/>
                <w:spacing w:val="0"/>
              </w:rPr>
              <w:t>“</w:t>
            </w:r>
            <w:r>
              <w:rPr>
                <w:rFonts w:ascii="Times New Roman" w:hAnsi="Times New Roman"/>
                <w:i/>
                <w:caps w:val="false"/>
                <w:smallCaps w:val="false"/>
                <w:spacing w:val="0"/>
                <w:sz w:val="20"/>
              </w:rPr>
              <w:t>Sixth Street” refers to Sixth Street Partners, LLC together with its affiliates.</w:t>
            </w:r>
          </w:p>
        </w:tc>
      </w:tr>
    </w:tbl>
    <w:p>
      <w:pPr>
        <w:pStyle w:val="TextBody"/>
        <w:bidi w:val="0"/>
        <w:spacing w:before="240" w:after="0"/>
        <w:jc w:val="left"/>
        <w:rPr>
          <w:rFonts w:ascii="Times New Roman" w:hAnsi="Times New Roman"/>
          <w:i/>
          <w:caps w:val="false"/>
          <w:smallCaps w:val="false"/>
          <w:spacing w:val="0"/>
          <w:sz w:val="20"/>
          <w:bdr w:val="single" w:sz="8" w:space="1" w:color="000000"/>
          <w:shd w:fill="FFFFFF" w:val="clear"/>
        </w:rPr>
      </w:pPr>
      <w:r>
        <w:rPr>
          <w:rFonts w:ascii="Times New Roman" w:hAnsi="Times New Roman"/>
          <w:i/>
          <w:caps w:val="false"/>
          <w:smallCaps w:val="false"/>
          <w:spacing w:val="0"/>
          <w:sz w:val="20"/>
          <w:bdr w:val="single" w:sz="8" w:space="1" w:color="000000"/>
          <w:shd w:fill="FFFFFF" w:val="clear"/>
        </w:rPr>
        <w:t xml:space="preserve">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 </w:t>
      </w:r>
    </w:p>
    <w:p>
      <w:pPr>
        <w:pStyle w:val="TextBody"/>
        <w:bidi w:val="0"/>
        <w:spacing w:before="360" w:after="0"/>
        <w:jc w:val="left"/>
        <w:rPr>
          <w:rFonts w:ascii="Times New Roman" w:hAnsi="Times New Roman"/>
          <w:b/>
          <w:sz w:val="20"/>
          <w:bdr w:val="single" w:sz="8" w:space="1" w:color="000000"/>
          <w:shd w:fill="FFFFFF" w:val="clear"/>
        </w:rPr>
      </w:pPr>
      <w:r>
        <w:rPr>
          <w:rFonts w:ascii="Times New Roman" w:hAnsi="Times New Roman"/>
          <w:b/>
          <w:sz w:val="20"/>
          <w:bdr w:val="single" w:sz="8" w:space="1" w:color="000000"/>
          <w:shd w:fill="FFFFFF" w:val="clear"/>
        </w:rPr>
        <w:t xml:space="preserve">Sixth Street Specialty Lending </w:t>
      </w:r>
    </w:p>
    <w:p>
      <w:pPr>
        <w:pStyle w:val="TextBody"/>
        <w:bidi w:val="0"/>
        <w:spacing w:before="120" w:after="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We are a specialty finance company focused on lending to middle-market companies. Since we began our investment activities in July 2011, through December 31, 2023, we have originated approximately $31.5 billion aggregate principal amount of investments and retained approximately $10.0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w:t>
      </w:r>
    </w:p>
    <w:p>
      <w:pPr>
        <w:pStyle w:val="TextBody"/>
        <w:bidi w:val="0"/>
        <w:spacing w:before="240" w:after="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2023, our core portfolio companies, which excludes certain investments that fall outside of our typical borrower profile and represent 95.3% of our total investments based on fair value, had weighted average annual revenue of $230.3 million and weighted average annual EBITDA of $79.3 million. </w:t>
      </w:r>
    </w:p>
    <w:p>
      <w:pPr>
        <w:pStyle w:val="TextBody"/>
        <w:bidi w:val="0"/>
        <w:spacing w:before="240" w:after="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We generate revenues primarily in the form of interest income from the investments we hold. In addition, we may generate income from dividends on direct equity investments, capital gains on the sale of investments and various loan origination and other fees.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S-2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 </w:t>
      </w:r>
    </w:p>
    <w:p>
      <w:pPr>
        <w:pStyle w:val="TextBody"/>
        <w:bidi w:val="0"/>
        <w:spacing w:before="360" w:after="0"/>
        <w:jc w:val="left"/>
        <w:rPr>
          <w:rFonts w:ascii="Times New Roman" w:hAnsi="Times New Roman"/>
          <w:b/>
          <w:sz w:val="20"/>
          <w:bdr w:val="single" w:sz="8" w:space="1" w:color="000000"/>
          <w:shd w:fill="FFFFFF" w:val="clear"/>
        </w:rPr>
      </w:pPr>
      <w:r>
        <w:rPr>
          <w:rFonts w:ascii="Times New Roman" w:hAnsi="Times New Roman"/>
          <w:b/>
          <w:sz w:val="20"/>
          <w:bdr w:val="single" w:sz="8" w:space="1" w:color="000000"/>
          <w:shd w:fill="FFFFFF" w:val="clear"/>
        </w:rPr>
        <w:t xml:space="preserve">Investment Portfolio </w:t>
      </w:r>
    </w:p>
    <w:p>
      <w:pPr>
        <w:pStyle w:val="TextBody"/>
        <w:bidi w:val="0"/>
        <w:spacing w:before="120" w:after="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The companies in which we invest use our capital to support organic growth, acquisitions, market or product expansion and recapitalizations (including restructurings). </w:t>
      </w:r>
    </w:p>
    <w:p>
      <w:pPr>
        <w:pStyle w:val="TextBody"/>
        <w:bidi w:val="0"/>
        <w:spacing w:before="240" w:after="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w:t>
      </w:r>
    </w:p>
    <w:p>
      <w:pPr>
        <w:pStyle w:val="TextBody"/>
        <w:bidi w:val="0"/>
        <w:spacing w:before="240" w:after="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As of December 31, 2023, our portfolio based on fair value consisted of 91.3% first-lien debt investments, 1.1% second-lien debt investments, 1.2% mezzanine debt investments, 4.7% equity and other investments and 1.7% structured credit investments. As of December 31, 2023, 99.7% of our debt investments based on fair value bore interest at floating rates, with 100.0% of these subject to interest rate floors, which we believe helps act as a portfolio-wide hedge against inflation. </w:t>
      </w:r>
    </w:p>
    <w:p>
      <w:pPr>
        <w:pStyle w:val="TextBody"/>
        <w:bidi w:val="0"/>
        <w:spacing w:before="240" w:after="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As of December 31, 2023, we had investments in 136 portfolio companies (including 42 structured credit investments, which include each series of collateralized loan obligation as a separate portfolio company investment) with an aggregate fair value of $3,283.1 million. For the year ended December 31, 2023, the principal amount of new investments funded was $808.4 million in thirty new portfolio companies and sixteen existing portfolio companies. For this period, we had $469.1 million aggregate principal amount in exits and repayments. </w:t>
      </w:r>
    </w:p>
    <w:p>
      <w:pPr>
        <w:pStyle w:val="TextBody"/>
        <w:bidi w:val="0"/>
        <w:spacing w:before="240" w:after="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As of December 31, 2022, we had investments in 121 portfolio companies (including 43 structured credit investments, which include each series of collateralized loan obligation as a separate portfolio company investment) with an aggregate fair value of $2,787.9 million. For the year ended December 31, 2022, the principal amount of new investments funded was $864.0 million in sixty-five new portfolio companies and twenty existing portfolio companies. For this period, we had $653.8 million aggregate principal amount in exits and repayments. </w:t>
      </w:r>
    </w:p>
    <w:p>
      <w:pPr>
        <w:pStyle w:val="TextBody"/>
        <w:bidi w:val="0"/>
        <w:spacing w:before="240" w:after="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As of December 31, 2023, the largest single investment based on fair value represented 2.6% of our total investment portfolio. As of December 31, 2023, the average investment size in each of our portfolio companies was approximately $24.1 million based on fair value. Portfolio companies includes investments in structured products including each series of collateralized loan obligation as a portfolio company investment. When excluding investments in structured credit investments, the average investment in our remaining portfolio companies was approximately $34.3 million as of December 31, 2023. As of December 31, 2023, the largest industry represented 18.0% of our total portfolio based on fair value. </w:t>
      </w:r>
    </w:p>
    <w:p>
      <w:pPr>
        <w:pStyle w:val="TextBody"/>
        <w:bidi w:val="0"/>
        <w:spacing w:before="240" w:after="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Since we began investing in 2011 through December 31, 2023, weighted by capital invested, our exited investments have generated an average realized gross internal rate of return to us of 17.4% (based on total capital invested of $7.0 billion and total proceeds from these exited investments of $8.9 billion). Ninety percent of these exited investments resulted in a realized gross internal rate of return to us of 10% or greater. For a description of how we calculate gross internal rates of return, see the section entitled “Management’s Discussion and Analysis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S-3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of Financial Condition and Results of Operations-Results of Operations-Realized Gross Internal Rate of Return” in Part I, Item 2 of our 2023 Annual Report, which is incorporated herein by reference. </w:t>
      </w:r>
    </w:p>
    <w:p>
      <w:pPr>
        <w:pStyle w:val="TextBody"/>
        <w:bidi w:val="0"/>
        <w:spacing w:before="360" w:after="0"/>
        <w:jc w:val="left"/>
        <w:rPr>
          <w:rFonts w:ascii="Times New Roman" w:hAnsi="Times New Roman"/>
          <w:b/>
          <w:sz w:val="20"/>
          <w:bdr w:val="single" w:sz="8" w:space="1" w:color="000000"/>
          <w:shd w:fill="FFFFFF" w:val="clear"/>
        </w:rPr>
      </w:pPr>
      <w:r>
        <w:rPr>
          <w:rFonts w:ascii="Times New Roman" w:hAnsi="Times New Roman"/>
          <w:b/>
          <w:sz w:val="20"/>
          <w:bdr w:val="single" w:sz="8" w:space="1" w:color="000000"/>
          <w:shd w:fill="FFFFFF" w:val="clear"/>
        </w:rPr>
        <w:t xml:space="preserve">Corporate Structure </w:t>
      </w:r>
    </w:p>
    <w:p>
      <w:pPr>
        <w:pStyle w:val="TextBody"/>
        <w:bidi w:val="0"/>
        <w:spacing w:before="120" w:after="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Sixth Street Specialty Lending, Inc. is a Delaware corporation formed on July 21, 2010. Sixth Street Specialty Lending Advisers, LLC is our external manager. </w:t>
      </w:r>
    </w:p>
    <w:p>
      <w:pPr>
        <w:pStyle w:val="TextBody"/>
        <w:bidi w:val="0"/>
        <w:spacing w:before="240" w:after="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2023 Annual Report, which is incorporated herein by reference, for more information on these requirements. </w:t>
      </w:r>
    </w:p>
    <w:p>
      <w:pPr>
        <w:pStyle w:val="TextBody"/>
        <w:bidi w:val="0"/>
        <w:spacing w:before="360" w:after="0"/>
        <w:jc w:val="left"/>
        <w:rPr>
          <w:rFonts w:ascii="Times New Roman" w:hAnsi="Times New Roman"/>
          <w:b/>
          <w:sz w:val="20"/>
          <w:bdr w:val="single" w:sz="8" w:space="1" w:color="000000"/>
          <w:shd w:fill="FFFFFF" w:val="clear"/>
        </w:rPr>
      </w:pPr>
      <w:r>
        <w:rPr>
          <w:rFonts w:ascii="Times New Roman" w:hAnsi="Times New Roman"/>
          <w:b/>
          <w:sz w:val="20"/>
          <w:bdr w:val="single" w:sz="8" w:space="1" w:color="000000"/>
          <w:shd w:fill="FFFFFF" w:val="clear"/>
        </w:rPr>
        <w:t xml:space="preserve">About Our Adviser </w:t>
      </w:r>
    </w:p>
    <w:p>
      <w:pPr>
        <w:pStyle w:val="TextBody"/>
        <w:bidi w:val="0"/>
        <w:spacing w:before="120" w:after="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Our Adviser is a Delaware limited liability company. Our Adviser acts as our investment adviser and administrator and is a registered investment adviser with the Securities and Exchange Commission (the “SEC”) under the Investment Advisers Act of 1940, as amended, or the Advisers Act. </w:t>
      </w:r>
    </w:p>
    <w:p>
      <w:pPr>
        <w:pStyle w:val="TextBody"/>
        <w:bidi w:val="0"/>
        <w:spacing w:before="240" w:after="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Our Adviser sources and manages our portfolio through our Investment Team, a dedicated team of investment professionals predominately focused on us. Our Investment Team is led by our Chairman and Chief Executive Officer and our Adviser’s </w:t>
      </w:r>
    </w:p>
    <w:p>
      <w:pPr>
        <w:pStyle w:val="TextBody"/>
        <w:bidi w:val="0"/>
        <w:spacing w:before="240" w:after="0"/>
        <w:jc w:val="left"/>
        <w:rPr>
          <w:rFonts w:ascii="Times New Roman" w:hAnsi="Times New Roman"/>
          <w:spacing w:val="0"/>
          <w:sz w:val="20"/>
          <w:bdr w:val="single" w:sz="8" w:space="1" w:color="000000"/>
          <w:shd w:fill="FFFFFF" w:val="clear"/>
        </w:rPr>
      </w:pPr>
      <w:r>
        <w:rPr>
          <w:rFonts w:ascii="Times New Roman" w:hAnsi="Times New Roman"/>
          <w:spacing w:val="0"/>
          <w:sz w:val="20"/>
          <w:bdr w:val="single" w:sz="8" w:space="1" w:color="000000"/>
          <w:shd w:fill="FFFFFF" w:val="clear"/>
        </w:rPr>
        <w:t>Co-Chief</w:t>
      </w:r>
    </w:p>
    <w:p>
      <w:pPr>
        <w:pStyle w:val="TextBody"/>
        <w:bidi w:val="0"/>
        <w:spacing w:before="240" w:after="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Investment Officer Joshua Easterly and our Adviser’s </w:t>
      </w:r>
    </w:p>
    <w:p>
      <w:pPr>
        <w:pStyle w:val="TextBody"/>
        <w:bidi w:val="0"/>
        <w:spacing w:before="240" w:after="0"/>
        <w:jc w:val="left"/>
        <w:rPr>
          <w:rFonts w:ascii="Times New Roman" w:hAnsi="Times New Roman"/>
          <w:spacing w:val="0"/>
          <w:sz w:val="20"/>
          <w:bdr w:val="single" w:sz="8" w:space="1" w:color="000000"/>
          <w:shd w:fill="FFFFFF" w:val="clear"/>
        </w:rPr>
      </w:pPr>
      <w:r>
        <w:rPr>
          <w:rFonts w:ascii="Times New Roman" w:hAnsi="Times New Roman"/>
          <w:spacing w:val="0"/>
          <w:sz w:val="20"/>
          <w:bdr w:val="single" w:sz="8" w:space="1" w:color="000000"/>
          <w:shd w:fill="FFFFFF" w:val="clear"/>
        </w:rPr>
        <w:t>Co-Chief</w:t>
      </w:r>
    </w:p>
    <w:p>
      <w:pPr>
        <w:pStyle w:val="TextBody"/>
        <w:bidi w:val="0"/>
        <w:spacing w:before="240" w:after="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 </w:t>
      </w:r>
    </w:p>
    <w:p>
      <w:pPr>
        <w:pStyle w:val="TextBody"/>
        <w:bidi w:val="0"/>
        <w:spacing w:before="240" w:after="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Sixth Street is a global investment business with over $75 billion of assets under management as of December 31, 2023. Sixth Street’s direct lending platforms include Sixth Street Specialty Lending, Sixth Street Lending Partners, which is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580 investment and operating professionals. As of December 31, 2023, seventy (70) of these personnel are dedicated to our business, including fifty-five (55) investment professionals. </w:t>
      </w:r>
    </w:p>
    <w:p>
      <w:pPr>
        <w:pStyle w:val="TextBody"/>
        <w:bidi w:val="0"/>
        <w:spacing w:before="240" w:after="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S-4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States to us and conduct those activities through us. The Adviser will determine whether it would be permissible, advisable or otherwise appropriate for us to pursue a particular investment opportunity allocated to us. </w:t>
      </w:r>
    </w:p>
    <w:p>
      <w:pPr>
        <w:pStyle w:val="TextBody"/>
        <w:bidi w:val="0"/>
        <w:spacing w:before="360" w:after="0"/>
        <w:jc w:val="left"/>
        <w:rPr>
          <w:rFonts w:ascii="Times New Roman" w:hAnsi="Times New Roman"/>
          <w:b/>
          <w:sz w:val="20"/>
          <w:bdr w:val="single" w:sz="8" w:space="1" w:color="000000"/>
          <w:shd w:fill="FFFFFF" w:val="clear"/>
        </w:rPr>
      </w:pPr>
      <w:r>
        <w:rPr>
          <w:rFonts w:ascii="Times New Roman" w:hAnsi="Times New Roman"/>
          <w:b/>
          <w:sz w:val="20"/>
          <w:bdr w:val="single" w:sz="8" w:space="1" w:color="000000"/>
          <w:shd w:fill="FFFFFF" w:val="clear"/>
        </w:rPr>
        <w:t xml:space="preserve">Corporate Information </w:t>
      </w:r>
    </w:p>
    <w:p>
      <w:pPr>
        <w:pStyle w:val="TextBody"/>
        <w:bidi w:val="0"/>
        <w:spacing w:before="120" w:after="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Our principal executive offices are located at 2100 McKinney Avenue, Suite 1500, Dallas, Texas 75201 and our telephone number is (469) </w:t>
      </w:r>
    </w:p>
    <w:p>
      <w:pPr>
        <w:pStyle w:val="TextBody"/>
        <w:bidi w:val="0"/>
        <w:spacing w:before="120" w:after="0"/>
        <w:jc w:val="left"/>
        <w:rPr>
          <w:rFonts w:ascii="Times New Roman" w:hAnsi="Times New Roman"/>
          <w:spacing w:val="0"/>
          <w:sz w:val="20"/>
          <w:bdr w:val="single" w:sz="8" w:space="1" w:color="000000"/>
          <w:shd w:fill="FFFFFF" w:val="clear"/>
        </w:rPr>
      </w:pPr>
      <w:r>
        <w:rPr>
          <w:rFonts w:ascii="Times New Roman" w:hAnsi="Times New Roman"/>
          <w:spacing w:val="0"/>
          <w:sz w:val="20"/>
          <w:bdr w:val="single" w:sz="8" w:space="1" w:color="000000"/>
          <w:shd w:fill="FFFFFF" w:val="clear"/>
        </w:rPr>
        <w:t>621-3001.</w:t>
      </w:r>
    </w:p>
    <w:p>
      <w:pPr>
        <w:pStyle w:val="TextBody"/>
        <w:bidi w:val="0"/>
        <w:spacing w:before="120" w:after="0"/>
        <w:jc w:val="left"/>
        <w:rPr>
          <w:rFonts w:ascii="Times New Roman" w:hAnsi="Times New Roman"/>
          <w:sz w:val="20"/>
          <w:bdr w:val="single" w:sz="8" w:space="1" w:color="000000"/>
          <w:shd w:fill="FFFFFF" w:val="clear"/>
        </w:rPr>
      </w:pPr>
      <w:r>
        <w:rPr>
          <w:rFonts w:ascii="Times New Roman" w:hAnsi="Times New Roman"/>
          <w:sz w:val="20"/>
          <w:bdr w:val="single" w:sz="8" w:space="1" w:color="000000"/>
          <w:shd w:fill="FFFFFF" w:val="clear"/>
        </w:rPr>
        <w:t xml:space="preserve">Our corporate website is located at http://www.sixthstreetspecialtylending.com. Information on our website is not incorporated into or a part of this prospectus supplement or the accompanying prospectus.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S-5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The Offering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bdr w:val="single" w:sz="8" w:space="1" w:color="000000"/>
          <w:shd w:fill="FFFFFF" w:val="clear"/>
        </w:rPr>
      </w:pPr>
      <w:r>
        <w:rPr>
          <w:bdr w:val="single" w:sz="8" w:space="1" w:color="000000"/>
          <w:shd w:fill="FFFFFF" w:val="clear"/>
        </w:rPr>
        <w:t> </w:t>
      </w:r>
    </w:p>
    <w:tbl>
      <w:tblPr>
        <w:tblW w:w="10205" w:type="dxa"/>
        <w:jc w:val="left"/>
        <w:tblInd w:w="0" w:type="dxa"/>
        <w:tblLayout w:type="fixed"/>
        <w:tblCellMar>
          <w:top w:w="0" w:type="dxa"/>
          <w:left w:w="0" w:type="dxa"/>
          <w:bottom w:w="0" w:type="dxa"/>
          <w:right w:w="0" w:type="dxa"/>
        </w:tblCellMar>
      </w:tblPr>
      <w:tblGrid>
        <w:gridCol w:w="2082"/>
        <w:gridCol w:w="8123"/>
      </w:tblGrid>
      <w:tr>
        <w:trPr/>
        <w:tc>
          <w:tcPr>
            <w:tcW w:w="2082"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us </w:t>
            </w:r>
          </w:p>
        </w:tc>
        <w:tc>
          <w:tcPr>
            <w:tcW w:w="8123" w:type="dxa"/>
            <w:tcBorders/>
            <w:vAlign w:val="center"/>
          </w:tcPr>
          <w:p>
            <w:pPr>
              <w:pStyle w:val="TableContents"/>
              <w:bidi w:val="0"/>
              <w:spacing w:before="0" w:after="0"/>
              <w:jc w:val="left"/>
              <w:rPr/>
            </w:pPr>
            <w:r>
              <w:rPr/>
              <w:t xml:space="preserve">4,000,000 shares, or 4,600,000 shares if the underwriters exercise their option to purchase additional shares </w:t>
            </w:r>
          </w:p>
          <w:p>
            <w:pPr>
              <w:pStyle w:val="TableContents"/>
              <w:bidi w:val="0"/>
              <w:spacing w:before="0" w:after="0"/>
              <w:jc w:val="left"/>
              <w:rPr/>
            </w:pPr>
            <w:r>
              <w:rPr/>
              <w:t>in</w:t>
            </w:r>
          </w:p>
          <w:p>
            <w:pPr>
              <w:pStyle w:val="TableContents"/>
              <w:bidi w:val="0"/>
              <w:spacing w:before="0" w:after="0"/>
              <w:jc w:val="left"/>
              <w:rPr/>
            </w:pPr>
            <w:r>
              <w:rPr/>
              <w:t xml:space="preserve">full. </w:t>
            </w:r>
          </w:p>
        </w:tc>
      </w:tr>
    </w:tbl>
    <w:p>
      <w:pPr>
        <w:pStyle w:val="TextBody"/>
        <w:bidi w:val="0"/>
        <w:spacing w:before="0" w:after="0"/>
        <w:jc w:val="left"/>
        <w:rPr>
          <w:bdr w:val="single" w:sz="8" w:space="1" w:color="000000"/>
          <w:shd w:fill="FFFFFF" w:val="clear"/>
        </w:rPr>
      </w:pPr>
      <w:r>
        <w:rPr>
          <w:bdr w:val="single" w:sz="8" w:space="1" w:color="000000"/>
          <w:shd w:fill="FFFFFF" w:val="clear"/>
        </w:rPr>
        <w:t> </w:t>
      </w:r>
    </w:p>
    <w:tbl>
      <w:tblPr>
        <w:tblW w:w="6025" w:type="dxa"/>
        <w:jc w:val="left"/>
        <w:tblInd w:w="0" w:type="dxa"/>
        <w:tblLayout w:type="fixed"/>
        <w:tblCellMar>
          <w:top w:w="0" w:type="dxa"/>
          <w:left w:w="0" w:type="dxa"/>
          <w:bottom w:w="0" w:type="dxa"/>
          <w:right w:w="0" w:type="dxa"/>
        </w:tblCellMar>
      </w:tblPr>
      <w:tblGrid>
        <w:gridCol w:w="4145"/>
        <w:gridCol w:w="1880"/>
      </w:tblGrid>
      <w:tr>
        <w:trPr/>
        <w:tc>
          <w:tcPr>
            <w:tcW w:w="414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outstanding prior to this offering </w:t>
            </w:r>
          </w:p>
        </w:tc>
        <w:tc>
          <w:tcPr>
            <w:tcW w:w="1880" w:type="dxa"/>
            <w:tcBorders/>
            <w:vAlign w:val="center"/>
          </w:tcPr>
          <w:p>
            <w:pPr>
              <w:pStyle w:val="TableContents"/>
              <w:bidi w:val="0"/>
              <w:spacing w:before="0" w:after="283"/>
              <w:jc w:val="left"/>
              <w:rPr/>
            </w:pPr>
            <w:r>
              <w:rPr/>
              <w:t xml:space="preserve">87,829,499 shares. </w:t>
            </w:r>
          </w:p>
        </w:tc>
      </w:tr>
    </w:tbl>
    <w:p>
      <w:pPr>
        <w:pStyle w:val="TextBody"/>
        <w:bidi w:val="0"/>
        <w:spacing w:before="0" w:after="0"/>
        <w:jc w:val="left"/>
        <w:rPr>
          <w:bdr w:val="single" w:sz="8" w:space="1" w:color="000000"/>
          <w:shd w:fill="FFFFFF" w:val="clear"/>
        </w:rPr>
      </w:pPr>
      <w:r>
        <w:rPr>
          <w:bdr w:val="single" w:sz="8" w:space="1" w:color="000000"/>
          <w:shd w:fill="FFFFFF" w:val="clear"/>
        </w:rPr>
        <w:t> </w:t>
      </w:r>
    </w:p>
    <w:tbl>
      <w:tblPr>
        <w:tblW w:w="10205" w:type="dxa"/>
        <w:jc w:val="left"/>
        <w:tblInd w:w="0" w:type="dxa"/>
        <w:tblLayout w:type="fixed"/>
        <w:tblCellMar>
          <w:top w:w="0" w:type="dxa"/>
          <w:left w:w="0" w:type="dxa"/>
          <w:bottom w:w="0" w:type="dxa"/>
          <w:right w:w="0" w:type="dxa"/>
        </w:tblCellMar>
      </w:tblPr>
      <w:tblGrid>
        <w:gridCol w:w="2811"/>
        <w:gridCol w:w="7394"/>
      </w:tblGrid>
      <w:tr>
        <w:trPr/>
        <w:tc>
          <w:tcPr>
            <w:tcW w:w="2811"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outstanding after this offering </w:t>
            </w:r>
          </w:p>
        </w:tc>
        <w:tc>
          <w:tcPr>
            <w:tcW w:w="7394" w:type="dxa"/>
            <w:tcBorders/>
            <w:vAlign w:val="center"/>
          </w:tcPr>
          <w:p>
            <w:pPr>
              <w:pStyle w:val="TableContents"/>
              <w:bidi w:val="0"/>
              <w:spacing w:before="0" w:after="283"/>
              <w:jc w:val="left"/>
              <w:rPr/>
            </w:pPr>
            <w:r>
              <w:rPr/>
              <w:t xml:space="preserve">91,829,499 shares, or 92,429,499 shares if the underwriters exercise their option to purchase additional shares in full. </w:t>
            </w:r>
          </w:p>
        </w:tc>
      </w:tr>
    </w:tbl>
    <w:p>
      <w:pPr>
        <w:pStyle w:val="TextBody"/>
        <w:bidi w:val="0"/>
        <w:spacing w:before="0" w:after="0"/>
        <w:jc w:val="left"/>
        <w:rPr>
          <w:bdr w:val="single" w:sz="8" w:space="1" w:color="000000"/>
          <w:shd w:fill="FFFFFF" w:val="clear"/>
        </w:rPr>
      </w:pPr>
      <w:r>
        <w:rPr>
          <w:bdr w:val="single" w:sz="8" w:space="1" w:color="000000"/>
          <w:shd w:fill="FFFFFF" w:val="clear"/>
        </w:rPr>
        <w:t> </w:t>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9271" w:type="dxa"/>
            <w:tcBorders/>
            <w:vAlign w:val="center"/>
          </w:tcPr>
          <w:p>
            <w:pPr>
              <w:pStyle w:val="TableContents"/>
              <w:bidi w:val="0"/>
              <w:spacing w:before="0" w:after="283"/>
              <w:jc w:val="left"/>
              <w:rPr/>
            </w:pPr>
            <w:r>
              <w:rPr/>
              <w:t xml:space="preserve">We estimate that the net proceeds we will receive from the sale of 4,000,000 shares of our common stock in this offering will be approximately $81.6 million (or approximately $93.9 million if the underwriters fully exercise their option to purchase additional shares), in each case after deducting the underwriting discounts and commissions and estimated offering expenses payable by us. </w:t>
            </w:r>
          </w:p>
        </w:tc>
      </w:tr>
    </w:tbl>
    <w:p>
      <w:pPr>
        <w:pStyle w:val="TextBody"/>
        <w:bidi w:val="0"/>
        <w:spacing w:before="0" w:after="0"/>
        <w:jc w:val="left"/>
        <w:rPr>
          <w:bdr w:val="single" w:sz="8" w:space="1" w:color="000000"/>
          <w:shd w:fill="FFFFFF" w:val="clear"/>
        </w:rPr>
      </w:pPr>
      <w:r>
        <w:rPr>
          <w:bdr w:val="single" w:sz="8" w:space="1" w:color="000000"/>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We intend to use 100% of the net proceeds of this offering to pay down a portion of the outstanding indebtedness on the Revolving Credit Facility on or about the date of the closing of this offering. However, through reborrowing under the Revolving Credit Facility, we intend to make new investments in accordance with our investment objective and strategies described in this prospectus supplement and the accompanying prospectus. </w:t>
            </w:r>
          </w:p>
        </w:tc>
      </w:tr>
    </w:tbl>
    <w:p>
      <w:pPr>
        <w:pStyle w:val="TextBody"/>
        <w:bidi w:val="0"/>
        <w:spacing w:before="0" w:after="0"/>
        <w:jc w:val="left"/>
        <w:rPr>
          <w:bdr w:val="single" w:sz="8" w:space="1" w:color="000000"/>
          <w:shd w:fill="FFFFFF" w:val="clear"/>
        </w:rPr>
      </w:pPr>
      <w:r>
        <w:rPr>
          <w:bdr w:val="single" w:sz="8" w:space="1" w:color="000000"/>
          <w:shd w:fill="FFFFFF" w:val="clear"/>
        </w:rPr>
        <w:t> </w:t>
      </w:r>
    </w:p>
    <w:tbl>
      <w:tblPr>
        <w:tblW w:w="2390" w:type="dxa"/>
        <w:jc w:val="left"/>
        <w:tblInd w:w="0" w:type="dxa"/>
        <w:tblLayout w:type="fixed"/>
        <w:tblCellMar>
          <w:top w:w="0" w:type="dxa"/>
          <w:left w:w="0" w:type="dxa"/>
          <w:bottom w:w="0" w:type="dxa"/>
          <w:right w:w="0" w:type="dxa"/>
        </w:tblCellMar>
      </w:tblPr>
      <w:tblGrid>
        <w:gridCol w:w="75"/>
        <w:gridCol w:w="2315"/>
      </w:tblGrid>
      <w:tr>
        <w:trPr/>
        <w:tc>
          <w:tcPr>
            <w:tcW w:w="7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xml:space="preserve">See “Use of Proceeds.” </w:t>
            </w:r>
          </w:p>
        </w:tc>
      </w:tr>
    </w:tbl>
    <w:p>
      <w:pPr>
        <w:pStyle w:val="TextBody"/>
        <w:bidi w:val="0"/>
        <w:spacing w:before="0" w:after="0"/>
        <w:jc w:val="left"/>
        <w:rPr>
          <w:bdr w:val="single" w:sz="8" w:space="1" w:color="000000"/>
          <w:shd w:fill="FFFFFF" w:val="clear"/>
        </w:rPr>
      </w:pPr>
      <w:r>
        <w:rPr>
          <w:bdr w:val="single" w:sz="8" w:space="1" w:color="000000"/>
          <w:shd w:fill="FFFFFF" w:val="clear"/>
        </w:rPr>
        <w:t> </w:t>
      </w:r>
    </w:p>
    <w:tbl>
      <w:tblPr>
        <w:tblW w:w="10205" w:type="dxa"/>
        <w:jc w:val="left"/>
        <w:tblInd w:w="0" w:type="dxa"/>
        <w:tblLayout w:type="fixed"/>
        <w:tblCellMar>
          <w:top w:w="0" w:type="dxa"/>
          <w:left w:w="0" w:type="dxa"/>
          <w:bottom w:w="0" w:type="dxa"/>
          <w:right w:w="0" w:type="dxa"/>
        </w:tblCellMar>
      </w:tblPr>
      <w:tblGrid>
        <w:gridCol w:w="1139"/>
        <w:gridCol w:w="9066"/>
      </w:tblGrid>
      <w:tr>
        <w:trPr/>
        <w:tc>
          <w:tcPr>
            <w:tcW w:w="1139"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Distributions </w:t>
            </w:r>
          </w:p>
        </w:tc>
        <w:tc>
          <w:tcPr>
            <w:tcW w:w="9066" w:type="dxa"/>
            <w:tcBorders/>
            <w:vAlign w:val="center"/>
          </w:tcPr>
          <w:p>
            <w:pPr>
              <w:pStyle w:val="TableContents"/>
              <w:bidi w:val="0"/>
              <w:spacing w:before="0" w:after="283"/>
              <w:jc w:val="left"/>
              <w:rPr/>
            </w:pPr>
            <w:r>
              <w:rPr/>
              <w:t xml:space="preserve">To the extent we have earnings available for distribution, we expect to continue distributing quarterly dividends to our stockholders. The specific tax characteristics of our distributions will be reported to stockholders after the end of the calendar year. Future quarterly dividends, if any, will be determined by our Board. See “Price Range of Common Stock and Distributions” in the accompanying prospectus. </w:t>
            </w:r>
          </w:p>
        </w:tc>
      </w:tr>
    </w:tbl>
    <w:p>
      <w:pPr>
        <w:pStyle w:val="TextBody"/>
        <w:bidi w:val="0"/>
        <w:spacing w:before="0" w:after="0"/>
        <w:jc w:val="left"/>
        <w:rPr>
          <w:bdr w:val="single" w:sz="8" w:space="1" w:color="000000"/>
          <w:shd w:fill="FFFFFF" w:val="clear"/>
        </w:rPr>
      </w:pPr>
      <w:r>
        <w:rPr>
          <w:bdr w:val="single" w:sz="8" w:space="1" w:color="000000"/>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On February 15, 2024, our Board declared a first quarter 2024 base dividend of $0.46 per share for stockholders of record as of March 15, 2024, payable on March 28, 2024. Our Board also declared a fourth quarter supplemental dividend of $0.08 per share for stockholders of record as of February 29, 2024, payable on March 20, 2024. Investors in this offering who remain holders of record as of the record dates for the first quarter base dividend and fourth quarter supplemental dividend, respectively, will receive these dividends. We anticipate that these dividends will be paid from income generated primarily by interest earned on our investment portfolio. </w:t>
            </w:r>
          </w:p>
        </w:tc>
      </w:tr>
    </w:tbl>
    <w:p>
      <w:pPr>
        <w:pStyle w:val="TextBody"/>
        <w:bidi w:val="0"/>
        <w:spacing w:before="0" w:after="0"/>
        <w:jc w:val="left"/>
        <w:rPr>
          <w:bdr w:val="single" w:sz="8" w:space="1" w:color="000000"/>
          <w:shd w:fill="FFFFFF" w:val="clear"/>
        </w:rPr>
      </w:pPr>
      <w:r>
        <w:rPr>
          <w:bdr w:val="single" w:sz="8" w:space="1" w:color="000000"/>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maintain our tax treatment as a RIC and to avoid being subject to corporate-level U.S. federal income tax on our earnings, we must make certain distributions. See “Material U.S. Federal Income Tax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S-6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Considerations—Regulated Investment Company Classification” and “Dividend Reinvestment Plan” in the accompanying prospectus. </w:t>
            </w:r>
          </w:p>
        </w:tc>
      </w:tr>
    </w:tbl>
    <w:p>
      <w:pPr>
        <w:pStyle w:val="TextBody"/>
        <w:bidi w:val="0"/>
        <w:spacing w:before="0" w:after="0"/>
        <w:jc w:val="left"/>
        <w:rPr>
          <w:bdr w:val="single" w:sz="8" w:space="1" w:color="000000"/>
          <w:shd w:fill="FFFFFF" w:val="clear"/>
        </w:rPr>
      </w:pPr>
      <w:r>
        <w:rPr>
          <w:bdr w:val="single" w:sz="8" w:space="1" w:color="000000"/>
          <w:shd w:fill="FFFFFF" w:val="clear"/>
        </w:rPr>
        <w:t> </w:t>
      </w:r>
    </w:p>
    <w:tbl>
      <w:tblPr>
        <w:tblW w:w="10205" w:type="dxa"/>
        <w:jc w:val="left"/>
        <w:tblInd w:w="0" w:type="dxa"/>
        <w:tblLayout w:type="fixed"/>
        <w:tblCellMar>
          <w:top w:w="0" w:type="dxa"/>
          <w:left w:w="0" w:type="dxa"/>
          <w:bottom w:w="0" w:type="dxa"/>
          <w:right w:w="0" w:type="dxa"/>
        </w:tblCellMar>
      </w:tblPr>
      <w:tblGrid>
        <w:gridCol w:w="1859"/>
        <w:gridCol w:w="8346"/>
      </w:tblGrid>
      <w:tr>
        <w:trPr/>
        <w:tc>
          <w:tcPr>
            <w:tcW w:w="1859"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Material U.S. Federal Income Tax Considerations </w:t>
            </w:r>
          </w:p>
        </w:tc>
        <w:tc>
          <w:tcPr>
            <w:tcW w:w="8346" w:type="dxa"/>
            <w:tcBorders/>
            <w:vAlign w:val="center"/>
          </w:tcPr>
          <w:p>
            <w:pPr>
              <w:pStyle w:val="TableContents"/>
              <w:bidi w:val="0"/>
              <w:spacing w:before="0" w:after="283"/>
              <w:jc w:val="left"/>
              <w:rPr/>
            </w:pPr>
            <w:r>
              <w:rPr/>
              <w:t xml:space="preserve">Certain tax considerations applicable to an investment in shares of our common stock are set forth in the section in the accompanying prospectus entitled “Material U.S. Federal Income Tax Considerations” or elsewhere, except that miscellaneous itemized deductions generally are not deductible by individuals, trusts or estates for taxable years beginning after December 31, 2017 and before January 1, 2026. </w:t>
            </w:r>
          </w:p>
        </w:tc>
      </w:tr>
    </w:tbl>
    <w:p>
      <w:pPr>
        <w:pStyle w:val="TextBody"/>
        <w:bidi w:val="0"/>
        <w:spacing w:before="0" w:after="0"/>
        <w:jc w:val="left"/>
        <w:rPr>
          <w:bdr w:val="single" w:sz="8" w:space="1" w:color="000000"/>
          <w:shd w:fill="FFFFFF" w:val="clear"/>
        </w:rPr>
      </w:pPr>
      <w:r>
        <w:rPr>
          <w:bdr w:val="single" w:sz="8" w:space="1" w:color="000000"/>
          <w:shd w:fill="FFFFFF" w:val="clear"/>
        </w:rPr>
        <w:t> </w:t>
      </w:r>
    </w:p>
    <w:tbl>
      <w:tblPr>
        <w:tblW w:w="4270" w:type="dxa"/>
        <w:jc w:val="left"/>
        <w:tblInd w:w="0" w:type="dxa"/>
        <w:tblLayout w:type="fixed"/>
        <w:tblCellMar>
          <w:top w:w="0" w:type="dxa"/>
          <w:left w:w="0" w:type="dxa"/>
          <w:bottom w:w="0" w:type="dxa"/>
          <w:right w:w="0" w:type="dxa"/>
        </w:tblCellMar>
      </w:tblPr>
      <w:tblGrid>
        <w:gridCol w:w="3560"/>
        <w:gridCol w:w="710"/>
      </w:tblGrid>
      <w:tr>
        <w:trPr/>
        <w:tc>
          <w:tcPr>
            <w:tcW w:w="3560"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Symbol on the New York Stock Exchange </w:t>
            </w:r>
          </w:p>
        </w:tc>
        <w:tc>
          <w:tcPr>
            <w:tcW w:w="710" w:type="dxa"/>
            <w:tcBorders/>
            <w:vAlign w:val="center"/>
          </w:tcPr>
          <w:p>
            <w:pPr>
              <w:pStyle w:val="TableContents"/>
              <w:bidi w:val="0"/>
              <w:spacing w:before="0" w:after="283"/>
              <w:jc w:val="left"/>
              <w:rPr/>
            </w:pPr>
            <w:r>
              <w:rPr/>
              <w:t xml:space="preserve">TSLX </w:t>
            </w:r>
          </w:p>
        </w:tc>
      </w:tr>
    </w:tbl>
    <w:p>
      <w:pPr>
        <w:pStyle w:val="TextBody"/>
        <w:bidi w:val="0"/>
        <w:spacing w:before="0" w:after="0"/>
        <w:jc w:val="left"/>
        <w:rPr>
          <w:bdr w:val="single" w:sz="8" w:space="1" w:color="000000"/>
          <w:shd w:fill="FFFFFF" w:val="clear"/>
        </w:rPr>
      </w:pPr>
      <w:r>
        <w:rPr>
          <w:bdr w:val="single" w:sz="8" w:space="1" w:color="000000"/>
          <w:shd w:fill="FFFFFF" w:val="clear"/>
        </w:rPr>
        <w:t> </w:t>
      </w:r>
    </w:p>
    <w:tbl>
      <w:tblPr>
        <w:tblW w:w="10205" w:type="dxa"/>
        <w:jc w:val="left"/>
        <w:tblInd w:w="0" w:type="dxa"/>
        <w:tblLayout w:type="fixed"/>
        <w:tblCellMar>
          <w:top w:w="0" w:type="dxa"/>
          <w:left w:w="0" w:type="dxa"/>
          <w:bottom w:w="0" w:type="dxa"/>
          <w:right w:w="0" w:type="dxa"/>
        </w:tblCellMar>
      </w:tblPr>
      <w:tblGrid>
        <w:gridCol w:w="784"/>
        <w:gridCol w:w="9421"/>
      </w:tblGrid>
      <w:tr>
        <w:trPr/>
        <w:tc>
          <w:tcPr>
            <w:tcW w:w="784"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9421" w:type="dxa"/>
            <w:tcBorders/>
            <w:vAlign w:val="center"/>
          </w:tcPr>
          <w:p>
            <w:pPr>
              <w:pStyle w:val="TableContents"/>
              <w:bidi w:val="0"/>
              <w:spacing w:before="0" w:after="283"/>
              <w:jc w:val="left"/>
              <w:rPr/>
            </w:pPr>
            <w:r>
              <w:rPr/>
              <w:t xml:space="preserve">See “Risk Factors” in this prospectus supplement, the accompanying prospectus and the documents incorporated by reference and other information in this prospectus supplement, the accompanying prospectus and the documents incorporated by reference for a discussion of factors you should carefully consider before you decide whether to make an investment in shares of our common stock.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S-7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Risk Factors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Investing in our securities involves a number of significant risks. You should carefully consider the risks described in Part I, Item 1A, “Risk Factors,” in our 2023 Annual Report and those set out in the accompanying prospectus, and in any subsequent Quarterly Reports on Form </w:t>
      </w:r>
    </w:p>
    <w:p>
      <w:pPr>
        <w:pStyle w:val="TextBody"/>
        <w:bidi w:val="0"/>
        <w:spacing w:before="24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10-Q</w:t>
      </w:r>
    </w:p>
    <w:p>
      <w:pPr>
        <w:pStyle w:val="TextBody"/>
        <w:bidi w:val="0"/>
        <w:spacing w:before="24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or Current Reports on Form </w:t>
      </w:r>
    </w:p>
    <w:p>
      <w:pPr>
        <w:pStyle w:val="TextBody"/>
        <w:bidi w:val="0"/>
        <w:spacing w:before="24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8-K</w:t>
      </w:r>
    </w:p>
    <w:p>
      <w:pPr>
        <w:pStyle w:val="TextBody"/>
        <w:bidi w:val="0"/>
        <w:spacing w:before="24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we file after the date of this prospectus supplement, together with the other information set forth in this prospectus supplement, the accompanying prospectus, the documents incorporated by reference herein and therein, including our consolidated financial statements and the related notes thereto, before making a decision about investing in our securities. The risks and uncertainties described in Part I, Item 1A, “Risk Factors,” in our 2023 Annual Report and discussed in the accompanying prospectus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S-8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Fees and Expenses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is intended to assist you in understanding the costs and expenses that an investor in our common stock will bear directly or indirectly in the twelve months after the date of this prospectus supplement, based on the assumptions set forth below. We caution you that some of the percentages indicated in the table below are estimates and may vary. The following table should not be considered a representation of our future expenses, which may be greater or less than shown. The offering expenses shown assume that we issue 4,000,000 shares of common stock in the offering at the February 28, 2024 closing price of $21.75 and that the underwriters do not exercise their option to purchase any additional shares.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supplement or the accompanying prospectus contains a reference to fees or expenses paid by “us,” the “Company” or “Sixth Street Specialty Lending, Inc.” or says that “we” will pay fees or expenses, stockholders will indirectly bear these fees or expenses as investors in Sixth Street Specialty Lending, Inc. </w:t>
      </w:r>
    </w:p>
    <w:p>
      <w:pPr>
        <w:pStyle w:val="TextBody"/>
        <w:bidi w:val="0"/>
        <w:spacing w:before="0" w:after="0"/>
        <w:jc w:val="left"/>
        <w:rPr>
          <w:shd w:fill="FFFFFF" w:val="clear"/>
        </w:rPr>
      </w:pPr>
      <w:r>
        <w:rPr>
          <w:shd w:fill="FFFFFF" w:val="clear"/>
        </w:rPr>
        <w:t> </w:t>
      </w:r>
    </w:p>
    <w:tbl>
      <w:tblPr>
        <w:tblW w:w="9360" w:type="dxa"/>
        <w:jc w:val="left"/>
        <w:tblInd w:w="0" w:type="dxa"/>
        <w:tblLayout w:type="fixed"/>
        <w:tblCellMar>
          <w:top w:w="0" w:type="dxa"/>
          <w:left w:w="0" w:type="dxa"/>
          <w:bottom w:w="0" w:type="dxa"/>
          <w:right w:w="0" w:type="dxa"/>
        </w:tblCellMar>
      </w:tblPr>
      <w:tblGrid>
        <w:gridCol w:w="8450"/>
        <w:gridCol w:w="120"/>
        <w:gridCol w:w="60"/>
        <w:gridCol w:w="545"/>
        <w:gridCol w:w="185"/>
      </w:tblGrid>
      <w:tr>
        <w:trPr/>
        <w:tc>
          <w:tcPr>
            <w:tcW w:w="8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84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 transaction expenses (as a percentage of the February 28, 2024 closing price of $21.75):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45"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r>
      <w:tr>
        <w:trPr/>
        <w:tc>
          <w:tcPr>
            <w:tcW w:w="8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load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545" w:type="dxa"/>
            <w:tcBorders/>
            <w:vAlign w:val="center"/>
          </w:tcPr>
          <w:p>
            <w:pPr>
              <w:pStyle w:val="TableContents"/>
              <w:bidi w:val="0"/>
              <w:spacing w:before="0" w:after="0"/>
              <w:jc w:val="right"/>
              <w:rPr/>
            </w:pPr>
            <w:r>
              <w:rPr/>
              <w:t>1.52</w:t>
            </w:r>
          </w:p>
          <w:p>
            <w:pPr>
              <w:pStyle w:val="TableContents"/>
              <w:bidi w:val="0"/>
              <w:spacing w:before="0" w:after="0"/>
              <w:jc w:val="right"/>
              <w:rPr/>
            </w:pPr>
            <w:r>
              <w:rPr/>
              <w:t>%</w:t>
            </w:r>
          </w:p>
        </w:tc>
        <w:tc>
          <w:tcPr>
            <w:tcW w:w="185" w:type="dxa"/>
            <w:tcBorders/>
            <w:vAlign w:val="center"/>
          </w:tcPr>
          <w:p>
            <w:pPr>
              <w:pStyle w:val="TableContents"/>
              <w:bidi w:val="0"/>
              <w:spacing w:before="0" w:after="0"/>
              <w:jc w:val="left"/>
              <w:rPr>
                <w:b/>
                <w:spacing w:val="0"/>
                <w:sz w:val="12"/>
              </w:rPr>
            </w:pPr>
            <w:r>
              <w:rPr>
                <w:b/>
                <w:spacing w:val="0"/>
                <w:sz w:val="12"/>
              </w:rPr>
              <w:t>(1)</w:t>
            </w:r>
          </w:p>
          <w:p>
            <w:pPr>
              <w:pStyle w:val="TableContents"/>
              <w:bidi w:val="0"/>
              <w:spacing w:before="0" w:after="0"/>
              <w:jc w:val="left"/>
              <w:rPr>
                <w:spacing w:val="0"/>
              </w:rPr>
            </w:pPr>
            <w:r>
              <w:rPr>
                <w:spacing w:val="0"/>
              </w:rPr>
              <w:t> </w:t>
            </w:r>
          </w:p>
        </w:tc>
      </w:tr>
      <w:tr>
        <w:trPr/>
        <w:tc>
          <w:tcPr>
            <w:tcW w:w="8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Offering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545" w:type="dxa"/>
            <w:tcBorders/>
            <w:shd w:fill="CCEEFF" w:val="clear"/>
            <w:vAlign w:val="center"/>
          </w:tcPr>
          <w:p>
            <w:pPr>
              <w:pStyle w:val="TableContents"/>
              <w:bidi w:val="0"/>
              <w:spacing w:before="0" w:after="0"/>
              <w:jc w:val="right"/>
              <w:rPr/>
            </w:pPr>
            <w:r>
              <w:rPr/>
              <w:t>0.06</w:t>
            </w:r>
          </w:p>
          <w:p>
            <w:pPr>
              <w:pStyle w:val="TableContents"/>
              <w:bidi w:val="0"/>
              <w:spacing w:before="0" w:after="0"/>
              <w:jc w:val="right"/>
              <w:rPr/>
            </w:pPr>
            <w:r>
              <w:rPr/>
              <w:t>%</w:t>
            </w:r>
          </w:p>
        </w:tc>
        <w:tc>
          <w:tcPr>
            <w:tcW w:w="185" w:type="dxa"/>
            <w:tcBorders/>
            <w:shd w:fill="CCEEFF" w:val="clear"/>
            <w:vAlign w:val="center"/>
          </w:tcPr>
          <w:p>
            <w:pPr>
              <w:pStyle w:val="TableContents"/>
              <w:bidi w:val="0"/>
              <w:spacing w:before="0" w:after="0"/>
              <w:jc w:val="left"/>
              <w:rPr>
                <w:b/>
                <w:spacing w:val="0"/>
                <w:sz w:val="12"/>
              </w:rPr>
            </w:pPr>
            <w:r>
              <w:rPr>
                <w:b/>
                <w:spacing w:val="0"/>
                <w:sz w:val="12"/>
              </w:rPr>
              <w:t>(2)</w:t>
            </w:r>
          </w:p>
          <w:p>
            <w:pPr>
              <w:pStyle w:val="TableContents"/>
              <w:bidi w:val="0"/>
              <w:spacing w:before="0" w:after="0"/>
              <w:jc w:val="left"/>
              <w:rPr>
                <w:spacing w:val="0"/>
              </w:rPr>
            </w:pPr>
            <w:r>
              <w:rPr>
                <w:spacing w:val="0"/>
              </w:rPr>
              <w:t> </w:t>
            </w:r>
          </w:p>
        </w:tc>
      </w:tr>
      <w:tr>
        <w:trPr/>
        <w:tc>
          <w:tcPr>
            <w:tcW w:w="8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reinvestment plan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545" w:type="dxa"/>
            <w:tcBorders/>
            <w:vAlign w:val="center"/>
          </w:tcPr>
          <w:p>
            <w:pPr>
              <w:pStyle w:val="TableContents"/>
              <w:bidi w:val="0"/>
              <w:spacing w:before="0" w:after="0"/>
              <w:jc w:val="right"/>
              <w:rPr/>
            </w:pPr>
            <w:r>
              <w:rPr/>
              <w:t>None</w:t>
            </w:r>
          </w:p>
        </w:tc>
        <w:tc>
          <w:tcPr>
            <w:tcW w:w="185" w:type="dxa"/>
            <w:tcBorders/>
            <w:vAlign w:val="center"/>
          </w:tcPr>
          <w:p>
            <w:pPr>
              <w:pStyle w:val="TableContents"/>
              <w:bidi w:val="0"/>
              <w:spacing w:before="0" w:after="0"/>
              <w:jc w:val="left"/>
              <w:rPr>
                <w:b/>
                <w:spacing w:val="0"/>
                <w:sz w:val="12"/>
              </w:rPr>
            </w:pPr>
            <w:r>
              <w:rPr>
                <w:b/>
                <w:spacing w:val="0"/>
                <w:sz w:val="12"/>
              </w:rPr>
              <w:t>(3)</w:t>
            </w:r>
          </w:p>
          <w:p>
            <w:pPr>
              <w:pStyle w:val="TableContents"/>
              <w:bidi w:val="0"/>
              <w:spacing w:before="0" w:after="0"/>
              <w:jc w:val="left"/>
              <w:rPr>
                <w:spacing w:val="0"/>
              </w:rPr>
            </w:pPr>
            <w:r>
              <w:rPr>
                <w:spacing w:val="0"/>
              </w:rPr>
              <w:t> </w:t>
            </w:r>
          </w:p>
        </w:tc>
      </w:tr>
    </w:tbl>
    <w:tbl>
      <w:tblPr>
        <w:tblW w:w="9025" w:type="dxa"/>
        <w:jc w:val="left"/>
        <w:tblInd w:w="0" w:type="dxa"/>
        <w:tblLayout w:type="fixed"/>
        <w:tblCellMar>
          <w:top w:w="28" w:type="dxa"/>
          <w:left w:w="28" w:type="dxa"/>
          <w:bottom w:w="28" w:type="dxa"/>
          <w:right w:w="28" w:type="dxa"/>
        </w:tblCellMar>
      </w:tblPr>
      <w:tblGrid>
        <w:gridCol w:w="7411"/>
        <w:gridCol w:w="206"/>
        <w:gridCol w:w="146"/>
        <w:gridCol w:w="841"/>
        <w:gridCol w:w="421"/>
      </w:tblGrid>
      <w:tr>
        <w:trPr/>
        <w:tc>
          <w:tcPr>
            <w:tcW w:w="7411" w:type="dxa"/>
            <w:tcBorders/>
            <w:shd w:fill="CCEEFF" w:val="clear"/>
            <w:vAlign w:val="center"/>
          </w:tcPr>
          <w:p>
            <w:pPr>
              <w:pStyle w:val="TableContents"/>
              <w:bidi w:val="0"/>
              <w:spacing w:before="0" w:after="0"/>
              <w:jc w:val="left"/>
              <w:rPr>
                <w:b/>
                <w:sz w:val="20"/>
              </w:rPr>
            </w:pPr>
            <w:r>
              <w:rPr>
                <w:b/>
                <w:sz w:val="20"/>
              </w:rPr>
              <w:t>Estimated annual expenses (as a percentage of net assets attributable to common stock)</w:t>
            </w:r>
          </w:p>
          <w:p>
            <w:pPr>
              <w:pStyle w:val="TableContents"/>
              <w:bidi w:val="0"/>
              <w:spacing w:before="0" w:after="0"/>
              <w:jc w:val="left"/>
              <w:rPr>
                <w:b/>
                <w:spacing w:val="0"/>
                <w:sz w:val="20"/>
              </w:rPr>
            </w:pPr>
            <w:r>
              <w:rPr>
                <w:b/>
                <w:spacing w:val="0"/>
                <w:sz w:val="20"/>
              </w:rPr>
              <w:t>(4)</w:t>
            </w:r>
          </w:p>
          <w:p>
            <w:pPr>
              <w:pStyle w:val="TableContents"/>
              <w:bidi w:val="0"/>
              <w:spacing w:before="0" w:after="0"/>
              <w:jc w:val="left"/>
              <w:rPr>
                <w:b/>
                <w:sz w:val="20"/>
              </w:rPr>
            </w:pPr>
            <w:r>
              <w:rPr>
                <w:b/>
                <w:sz w:val="20"/>
              </w:rPr>
              <w:t>:</w:t>
            </w:r>
          </w:p>
        </w:tc>
        <w:tc>
          <w:tcPr>
            <w:tcW w:w="2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c>
          <w:tcPr>
            <w:tcW w:w="421" w:type="dxa"/>
            <w:tcBorders/>
            <w:shd w:fill="CCEEFF" w:val="clear"/>
            <w:vAlign w:val="center"/>
          </w:tcPr>
          <w:p>
            <w:pPr>
              <w:pStyle w:val="TableContents"/>
              <w:bidi w:val="0"/>
              <w:spacing w:before="0" w:after="283"/>
              <w:jc w:val="left"/>
              <w:rPr>
                <w:sz w:val="4"/>
                <w:szCs w:val="4"/>
              </w:rPr>
            </w:pPr>
            <w:r>
              <w:rPr>
                <w:sz w:val="4"/>
                <w:szCs w:val="4"/>
              </w:rPr>
            </w:r>
          </w:p>
        </w:tc>
      </w:tr>
      <w:tr>
        <w:trPr/>
        <w:tc>
          <w:tcPr>
            <w:tcW w:w="7411" w:type="dxa"/>
            <w:tcBorders/>
            <w:vAlign w:val="center"/>
          </w:tcPr>
          <w:p>
            <w:pPr>
              <w:pStyle w:val="TableContents"/>
              <w:bidi w:val="0"/>
              <w:spacing w:before="0" w:after="0"/>
              <w:jc w:val="left"/>
              <w:rPr>
                <w:sz w:val="20"/>
              </w:rPr>
            </w:pPr>
            <w:r>
              <w:rPr>
                <w:sz w:val="20"/>
              </w:rPr>
              <w:t>Management Fee payable under the Investment Advisory Agreement</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spacing w:val="0"/>
              </w:rPr>
            </w:pPr>
            <w:r>
              <w:rPr>
                <w:spacing w:val="0"/>
              </w:rPr>
              <w:t> </w:t>
            </w:r>
          </w:p>
        </w:tc>
        <w:tc>
          <w:tcPr>
            <w:tcW w:w="841" w:type="dxa"/>
            <w:tcBorders/>
            <w:vAlign w:val="center"/>
          </w:tcPr>
          <w:p>
            <w:pPr>
              <w:pStyle w:val="TableContents"/>
              <w:bidi w:val="0"/>
              <w:spacing w:before="0" w:after="0"/>
              <w:jc w:val="right"/>
              <w:rPr/>
            </w:pPr>
            <w:r>
              <w:rPr/>
              <w:t>3.10%</w:t>
            </w:r>
          </w:p>
        </w:tc>
        <w:tc>
          <w:tcPr>
            <w:tcW w:w="421" w:type="dxa"/>
            <w:tcBorders/>
            <w:vAlign w:val="center"/>
          </w:tcPr>
          <w:p>
            <w:pPr>
              <w:pStyle w:val="TableContents"/>
              <w:bidi w:val="0"/>
              <w:spacing w:before="0" w:after="0"/>
              <w:jc w:val="left"/>
              <w:rPr>
                <w:b/>
                <w:spacing w:val="0"/>
              </w:rPr>
            </w:pPr>
            <w:r>
              <w:rPr>
                <w:b/>
                <w:spacing w:val="0"/>
              </w:rPr>
              <w:t>(5)</w:t>
            </w:r>
          </w:p>
          <w:p>
            <w:pPr>
              <w:pStyle w:val="TableContents"/>
              <w:bidi w:val="0"/>
              <w:spacing w:before="0" w:after="0"/>
              <w:jc w:val="left"/>
              <w:rPr>
                <w:spacing w:val="0"/>
              </w:rPr>
            </w:pPr>
            <w:r>
              <w:rPr>
                <w:spacing w:val="0"/>
              </w:rPr>
              <w:t> </w:t>
            </w:r>
          </w:p>
        </w:tc>
      </w:tr>
      <w:tr>
        <w:trPr/>
        <w:tc>
          <w:tcPr>
            <w:tcW w:w="7411" w:type="dxa"/>
            <w:tcBorders/>
            <w:shd w:fill="CCEEFF" w:val="clear"/>
            <w:vAlign w:val="center"/>
          </w:tcPr>
          <w:p>
            <w:pPr>
              <w:pStyle w:val="TableContents"/>
              <w:bidi w:val="0"/>
              <w:spacing w:before="0" w:after="0"/>
              <w:jc w:val="left"/>
              <w:rPr>
                <w:sz w:val="20"/>
              </w:rPr>
            </w:pPr>
            <w:r>
              <w:rPr>
                <w:sz w:val="20"/>
              </w:rPr>
              <w:t>Incentive Fee payable under the Investment Advisory Agreement</w:t>
            </w:r>
          </w:p>
        </w:tc>
        <w:tc>
          <w:tcPr>
            <w:tcW w:w="2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spacing w:val="0"/>
              </w:rPr>
            </w:pPr>
            <w:r>
              <w:rPr>
                <w:spacing w:val="0"/>
              </w:rPr>
              <w:t> </w:t>
            </w:r>
          </w:p>
        </w:tc>
        <w:tc>
          <w:tcPr>
            <w:tcW w:w="841" w:type="dxa"/>
            <w:tcBorders/>
            <w:shd w:fill="CCEEFF" w:val="clear"/>
            <w:vAlign w:val="center"/>
          </w:tcPr>
          <w:p>
            <w:pPr>
              <w:pStyle w:val="TableContents"/>
              <w:bidi w:val="0"/>
              <w:spacing w:before="0" w:after="0"/>
              <w:jc w:val="right"/>
              <w:rPr/>
            </w:pPr>
            <w:r>
              <w:rPr/>
              <w:t>2.85%</w:t>
            </w:r>
          </w:p>
        </w:tc>
        <w:tc>
          <w:tcPr>
            <w:tcW w:w="421" w:type="dxa"/>
            <w:tcBorders/>
            <w:shd w:fill="CCEEFF" w:val="clear"/>
            <w:vAlign w:val="center"/>
          </w:tcPr>
          <w:p>
            <w:pPr>
              <w:pStyle w:val="TableContents"/>
              <w:bidi w:val="0"/>
              <w:spacing w:before="0" w:after="0"/>
              <w:jc w:val="left"/>
              <w:rPr>
                <w:b/>
                <w:spacing w:val="0"/>
              </w:rPr>
            </w:pPr>
            <w:r>
              <w:rPr>
                <w:b/>
                <w:spacing w:val="0"/>
              </w:rPr>
              <w:t>(6)</w:t>
            </w:r>
          </w:p>
          <w:p>
            <w:pPr>
              <w:pStyle w:val="TableContents"/>
              <w:bidi w:val="0"/>
              <w:spacing w:before="0" w:after="0"/>
              <w:jc w:val="left"/>
              <w:rPr>
                <w:spacing w:val="0"/>
              </w:rPr>
            </w:pPr>
            <w:r>
              <w:rPr>
                <w:spacing w:val="0"/>
              </w:rPr>
              <w:t> </w:t>
            </w:r>
          </w:p>
        </w:tc>
      </w:tr>
      <w:tr>
        <w:trPr/>
        <w:tc>
          <w:tcPr>
            <w:tcW w:w="7411" w:type="dxa"/>
            <w:tcBorders/>
            <w:vAlign w:val="center"/>
          </w:tcPr>
          <w:p>
            <w:pPr>
              <w:pStyle w:val="TableContents"/>
              <w:bidi w:val="0"/>
              <w:spacing w:before="0" w:after="0"/>
              <w:jc w:val="left"/>
              <w:rPr>
                <w:sz w:val="20"/>
              </w:rPr>
            </w:pPr>
            <w:r>
              <w:rPr>
                <w:sz w:val="20"/>
              </w:rPr>
              <w:t>Interest payments on borrowed funds</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spacing w:val="0"/>
              </w:rPr>
            </w:pPr>
            <w:r>
              <w:rPr>
                <w:spacing w:val="0"/>
              </w:rPr>
              <w:t> </w:t>
            </w:r>
          </w:p>
        </w:tc>
        <w:tc>
          <w:tcPr>
            <w:tcW w:w="841" w:type="dxa"/>
            <w:tcBorders/>
            <w:vAlign w:val="center"/>
          </w:tcPr>
          <w:p>
            <w:pPr>
              <w:pStyle w:val="TableContents"/>
              <w:bidi w:val="0"/>
              <w:spacing w:before="0" w:after="0"/>
              <w:jc w:val="right"/>
              <w:rPr/>
            </w:pPr>
            <w:r>
              <w:rPr/>
              <w:t>8.54%</w:t>
            </w:r>
          </w:p>
        </w:tc>
        <w:tc>
          <w:tcPr>
            <w:tcW w:w="421" w:type="dxa"/>
            <w:tcBorders/>
            <w:vAlign w:val="center"/>
          </w:tcPr>
          <w:p>
            <w:pPr>
              <w:pStyle w:val="TableContents"/>
              <w:bidi w:val="0"/>
              <w:spacing w:before="0" w:after="0"/>
              <w:jc w:val="left"/>
              <w:rPr>
                <w:b/>
                <w:spacing w:val="0"/>
              </w:rPr>
            </w:pPr>
            <w:r>
              <w:rPr>
                <w:b/>
                <w:spacing w:val="0"/>
              </w:rPr>
              <w:t>(7)</w:t>
            </w:r>
          </w:p>
          <w:p>
            <w:pPr>
              <w:pStyle w:val="TableContents"/>
              <w:bidi w:val="0"/>
              <w:spacing w:before="0" w:after="0"/>
              <w:jc w:val="left"/>
              <w:rPr>
                <w:spacing w:val="0"/>
              </w:rPr>
            </w:pPr>
            <w:r>
              <w:rPr>
                <w:spacing w:val="0"/>
              </w:rPr>
              <w:t> </w:t>
            </w:r>
          </w:p>
        </w:tc>
      </w:tr>
      <w:tr>
        <w:trPr/>
        <w:tc>
          <w:tcPr>
            <w:tcW w:w="7411" w:type="dxa"/>
            <w:tcBorders/>
            <w:shd w:fill="CCEEFF" w:val="clear"/>
            <w:vAlign w:val="center"/>
          </w:tcPr>
          <w:p>
            <w:pPr>
              <w:pStyle w:val="TableContents"/>
              <w:bidi w:val="0"/>
              <w:spacing w:before="0" w:after="0"/>
              <w:jc w:val="left"/>
              <w:rPr>
                <w:sz w:val="20"/>
              </w:rPr>
            </w:pPr>
            <w:r>
              <w:rPr>
                <w:sz w:val="20"/>
              </w:rPr>
              <w:t>Other expenses</w:t>
            </w:r>
          </w:p>
        </w:tc>
        <w:tc>
          <w:tcPr>
            <w:tcW w:w="2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spacing w:val="0"/>
              </w:rPr>
            </w:pPr>
            <w:r>
              <w:rPr>
                <w:spacing w:val="0"/>
              </w:rPr>
              <w:t> </w:t>
            </w:r>
          </w:p>
        </w:tc>
        <w:tc>
          <w:tcPr>
            <w:tcW w:w="841" w:type="dxa"/>
            <w:tcBorders/>
            <w:shd w:fill="CCEEFF" w:val="clear"/>
            <w:vAlign w:val="center"/>
          </w:tcPr>
          <w:p>
            <w:pPr>
              <w:pStyle w:val="TableContents"/>
              <w:bidi w:val="0"/>
              <w:spacing w:before="0" w:after="0"/>
              <w:jc w:val="right"/>
              <w:rPr/>
            </w:pPr>
            <w:r>
              <w:rPr/>
              <w:t>1.05%</w:t>
            </w:r>
          </w:p>
        </w:tc>
        <w:tc>
          <w:tcPr>
            <w:tcW w:w="421" w:type="dxa"/>
            <w:tcBorders/>
            <w:shd w:fill="CCEEFF" w:val="clear"/>
            <w:vAlign w:val="center"/>
          </w:tcPr>
          <w:p>
            <w:pPr>
              <w:pStyle w:val="TableContents"/>
              <w:bidi w:val="0"/>
              <w:spacing w:before="0" w:after="0"/>
              <w:jc w:val="left"/>
              <w:rPr>
                <w:b/>
                <w:spacing w:val="0"/>
              </w:rPr>
            </w:pPr>
            <w:r>
              <w:rPr>
                <w:b/>
                <w:spacing w:val="0"/>
              </w:rPr>
              <w:t>(8)</w:t>
            </w:r>
          </w:p>
          <w:p>
            <w:pPr>
              <w:pStyle w:val="TableContents"/>
              <w:bidi w:val="0"/>
              <w:spacing w:before="0" w:after="0"/>
              <w:jc w:val="left"/>
              <w:rPr>
                <w:spacing w:val="0"/>
              </w:rPr>
            </w:pPr>
            <w:r>
              <w:rPr>
                <w:spacing w:val="0"/>
              </w:rPr>
              <w:t> </w:t>
            </w:r>
          </w:p>
        </w:tc>
      </w:tr>
      <w:tr>
        <w:trPr/>
        <w:tc>
          <w:tcPr>
            <w:tcW w:w="7411" w:type="dxa"/>
            <w:tcBorders/>
            <w:vAlign w:val="center"/>
          </w:tcPr>
          <w:p>
            <w:pPr>
              <w:pStyle w:val="TableContents"/>
              <w:bidi w:val="0"/>
              <w:spacing w:before="0" w:after="0"/>
              <w:jc w:val="left"/>
              <w:rPr>
                <w:sz w:val="20"/>
              </w:rPr>
            </w:pPr>
            <w:r>
              <w:rPr>
                <w:sz w:val="20"/>
              </w:rPr>
              <w:t>Total annual expenses</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15.53%</w:t>
            </w:r>
          </w:p>
        </w:tc>
        <w:tc>
          <w:tcPr>
            <w:tcW w:w="421" w:type="dxa"/>
            <w:tcBorders/>
            <w:vAlign w:val="center"/>
          </w:tcPr>
          <w:p>
            <w:pPr>
              <w:pStyle w:val="TableContents"/>
              <w:bidi w:val="0"/>
              <w:spacing w:before="0" w:after="283"/>
              <w:jc w:val="left"/>
              <w:rPr/>
            </w:pPr>
            <w:r>
              <w:rPr/>
              <w:t> </w:t>
            </w:r>
          </w:p>
        </w:tc>
      </w:tr>
      <w:tr>
        <w:trPr/>
        <w:tc>
          <w:tcPr>
            <w:tcW w:w="74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shd w:fill="FFFFFF" w:val="clear"/>
        </w:rPr>
      </w:pPr>
      <w:r>
        <w:rPr>
          <w:bdr w:val="single" w:sz="2" w:space="1" w:color="000000"/>
          <w:shd w:fill="FFFFFF" w:val="clear"/>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(1)</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sales load (underwriting discount or commission) with respect to the shares of common stock sold in this offering, which is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fee paid to the underwriters, is the only sales load paid in connection with this offering. </w:t>
            </w:r>
          </w:p>
        </w:tc>
      </w:tr>
    </w:tbl>
    <w:tbl>
      <w:tblPr>
        <w:tblW w:w="6505" w:type="dxa"/>
        <w:jc w:val="left"/>
        <w:tblInd w:w="0" w:type="dxa"/>
        <w:tblLayout w:type="fixed"/>
        <w:tblCellMar>
          <w:top w:w="0" w:type="dxa"/>
          <w:left w:w="0" w:type="dxa"/>
          <w:bottom w:w="0" w:type="dxa"/>
          <w:right w:w="0" w:type="dxa"/>
        </w:tblCellMar>
      </w:tblPr>
      <w:tblGrid>
        <w:gridCol w:w="305"/>
        <w:gridCol w:w="6200"/>
      </w:tblGrid>
      <w:tr>
        <w:trPr/>
        <w:tc>
          <w:tcPr>
            <w:tcW w:w="305" w:type="dxa"/>
            <w:tcBorders/>
            <w:vAlign w:val="center"/>
          </w:tcPr>
          <w:p>
            <w:pPr>
              <w:pStyle w:val="TableContents"/>
              <w:bidi w:val="0"/>
              <w:spacing w:before="0" w:after="283"/>
              <w:jc w:val="left"/>
              <w:rPr/>
            </w:pPr>
            <w:r>
              <w:rPr/>
              <w:t>(2)</w:t>
            </w:r>
          </w:p>
        </w:tc>
        <w:tc>
          <w:tcPr>
            <w:tcW w:w="6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reflects estimated offering expenses of approximately $0.5 million.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 in the accompanying prospectus.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(4)</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net assets attributable to common stock used to calculate the percentages in this table reflect our net assets of $1,496.4 million as of December 31, 2023.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(5)</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(as defined in the accompanying prospectus). Under the 1940 Act, any material change to our Investment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S-9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Advisory Agreement must be submitted to stockholders for approval. See “Management Agreements” in Part I, Item 1 of our 2023 Annual Report and in Note 3 to our consolidated financial statements in our 2023 Annual Report.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Management Fee reflected in the table is calculated by determining the ratio that the Management Fee for the year ended December 31, 2023 bears to our net assets attributable to common stock (rather than our gross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From time to time, our Adviser voluntarily has waived certain Management Fees. See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Management’s Discussion and Analysis of Financial Condition and Results of Operations—Results of Operations—Management Fees</w:t>
      </w:r>
    </w:p>
    <w:p>
      <w:pPr>
        <w:pStyle w:val="TextBody"/>
        <w:bidi w:val="0"/>
        <w:spacing w:before="120" w:after="0"/>
        <w:jc w:val="left"/>
        <w:rPr>
          <w:shd w:fill="FFFFFF" w:val="clear"/>
        </w:rPr>
      </w:pPr>
      <w:r>
        <w:rPr>
          <w:shd w:fill="FFFFFF" w:val="clear"/>
        </w:rPr>
        <w:t xml:space="preserve">” </w:t>
      </w:r>
      <w:r>
        <w:rPr>
          <w:rFonts w:ascii="Times New Roman" w:hAnsi="Times New Roman"/>
          <w:sz w:val="20"/>
          <w:shd w:fill="FFFFFF" w:val="clear"/>
        </w:rPr>
        <w:t xml:space="preserve">in Part II, Item 2 of our 2023 Annual Report. The above estimates are based on our actual Management Fees for the year ended December 31, 2023. For the year ended December 31, 2023, Management Fees of $1.2 million were waived consisting solely of Management Fees pursuant to the Leverage Waiver.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The Adviser waived Management Fees of $1.2 million for the year ended December 31, 2023 pursuant to the Leverage Waiver. The Adviser waived Management Fees of $0.4 million for the year ended December 31, 2022 pursuant to the Leverage Waiver.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(6)</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have capital gains and interest income that could result in the payment of an Incentive Fee to the Adviser in the twelve months after the date of this prospectus supplement. The Incentive Fee payable in the example above is based upon our actual results for the year ended December 31, 2023 and assumes that the Incentive Fee is 17.5% for all relevant periods. However, the Incentive Fee payable to the Adviser is based on our performance and will not be paid unless we achieve certain goals.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Incentive Fee consists of two parts, as follows: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(i)</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first component, payable at the end of each quarter in arrears, equals 100% of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pre-Incentive</w:t>
            </w:r>
          </w:p>
          <w:p>
            <w:pPr>
              <w:pStyle w:val="TableContents"/>
              <w:bidi w:val="0"/>
              <w:spacing w:before="0" w:after="0"/>
              <w:jc w:val="left"/>
              <w:rPr>
                <w:rFonts w:ascii="Times New Roman" w:hAnsi="Times New Roman"/>
                <w:sz w:val="20"/>
              </w:rPr>
            </w:pPr>
            <w:r>
              <w:rPr>
                <w:rFonts w:ascii="Times New Roman" w:hAnsi="Times New Roman"/>
                <w:sz w:val="20"/>
              </w:rPr>
              <w:t xml:space="preserve">Fee net investment income in excess of a 1.5% quarterly “hurdle rate,” the calculation of which is further explained below, until the Adviser has received 17.5% of the total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pre-Incentive</w:t>
            </w:r>
          </w:p>
          <w:p>
            <w:pPr>
              <w:pStyle w:val="TableContents"/>
              <w:bidi w:val="0"/>
              <w:spacing w:before="0" w:after="0"/>
              <w:jc w:val="left"/>
              <w:rPr>
                <w:rFonts w:ascii="Times New Roman" w:hAnsi="Times New Roman"/>
                <w:sz w:val="20"/>
              </w:rPr>
            </w:pPr>
            <w:r>
              <w:rPr>
                <w:rFonts w:ascii="Times New Roman" w:hAnsi="Times New Roman"/>
                <w:sz w:val="20"/>
              </w:rPr>
              <w:t xml:space="preserve">Fee net investment income for that quarter and, for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pre-Incentive</w:t>
            </w:r>
          </w:p>
          <w:p>
            <w:pPr>
              <w:pStyle w:val="TableContents"/>
              <w:bidi w:val="0"/>
              <w:spacing w:before="0" w:after="0"/>
              <w:jc w:val="left"/>
              <w:rPr>
                <w:rFonts w:ascii="Times New Roman" w:hAnsi="Times New Roman"/>
                <w:sz w:val="20"/>
              </w:rPr>
            </w:pPr>
            <w:r>
              <w:rPr>
                <w:rFonts w:ascii="Times New Roman" w:hAnsi="Times New Roman"/>
                <w:sz w:val="20"/>
              </w:rPr>
              <w:t xml:space="preserve">Fee net investment income in excess of 1.82% quarterly, 17.5% of all remaining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pre-Incentive</w:t>
            </w:r>
          </w:p>
          <w:p>
            <w:pPr>
              <w:pStyle w:val="TableContents"/>
              <w:bidi w:val="0"/>
              <w:spacing w:before="0" w:after="0"/>
              <w:jc w:val="left"/>
              <w:rPr>
                <w:rFonts w:ascii="Times New Roman" w:hAnsi="Times New Roman"/>
                <w:sz w:val="20"/>
              </w:rPr>
            </w:pPr>
            <w:r>
              <w:rPr>
                <w:rFonts w:ascii="Times New Roman" w:hAnsi="Times New Roman"/>
                <w:sz w:val="20"/>
              </w:rPr>
              <w:t xml:space="preserve">Fee net investment income for that quarter. The 100% </w:t>
            </w:r>
          </w:p>
          <w:p>
            <w:pPr>
              <w:pStyle w:val="TableContents"/>
              <w:bidi w:val="0"/>
              <w:spacing w:before="0" w:after="0"/>
              <w:jc w:val="left"/>
              <w:rPr>
                <w:spacing w:val="0"/>
              </w:rPr>
            </w:pPr>
            <w:r>
              <w:rPr>
                <w:spacing w:val="0"/>
              </w:rPr>
              <w:t>“</w:t>
            </w:r>
            <w:r>
              <w:rPr>
                <w:rFonts w:ascii="Times New Roman" w:hAnsi="Times New Roman"/>
                <w:spacing w:val="0"/>
                <w:sz w:val="20"/>
              </w:rPr>
              <w:t>catch-up”</w:t>
            </w:r>
          </w:p>
          <w:p>
            <w:pPr>
              <w:pStyle w:val="TableContents"/>
              <w:bidi w:val="0"/>
              <w:spacing w:before="0" w:after="0"/>
              <w:jc w:val="left"/>
              <w:rPr>
                <w:rFonts w:ascii="Times New Roman" w:hAnsi="Times New Roman"/>
                <w:sz w:val="20"/>
              </w:rPr>
            </w:pPr>
            <w:r>
              <w:rPr>
                <w:rFonts w:ascii="Times New Roman" w:hAnsi="Times New Roman"/>
                <w:sz w:val="20"/>
              </w:rPr>
              <w:t xml:space="preserve">provision for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pre-Incentive</w:t>
            </w:r>
          </w:p>
          <w:p>
            <w:pPr>
              <w:pStyle w:val="TableContents"/>
              <w:bidi w:val="0"/>
              <w:spacing w:before="0" w:after="0"/>
              <w:jc w:val="left"/>
              <w:rPr>
                <w:rFonts w:ascii="Times New Roman" w:hAnsi="Times New Roman"/>
                <w:sz w:val="20"/>
              </w:rPr>
            </w:pPr>
            <w:r>
              <w:rPr>
                <w:rFonts w:ascii="Times New Roman" w:hAnsi="Times New Roman"/>
                <w:sz w:val="20"/>
              </w:rPr>
              <w:t xml:space="preserve">Fee net investment income in excess of the 1.5% “hurdle rate” is intended to provide the Adviser with an Incentive Fee of 17.5% on all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pre-Incentive</w:t>
            </w:r>
          </w:p>
          <w:p>
            <w:pPr>
              <w:pStyle w:val="TableContents"/>
              <w:bidi w:val="0"/>
              <w:spacing w:before="0" w:after="0"/>
              <w:jc w:val="left"/>
              <w:rPr>
                <w:rFonts w:ascii="Times New Roman" w:hAnsi="Times New Roman"/>
                <w:sz w:val="20"/>
              </w:rPr>
            </w:pPr>
            <w:r>
              <w:rPr>
                <w:rFonts w:ascii="Times New Roman" w:hAnsi="Times New Roman"/>
                <w:sz w:val="20"/>
              </w:rPr>
              <w:t xml:space="preserve">Fee net investment income when that amount equals 1.82% in a quarter (7.28% annualized), which is the rate at which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catch-up</w:t>
            </w:r>
          </w:p>
          <w:p>
            <w:pPr>
              <w:pStyle w:val="TableContents"/>
              <w:bidi w:val="0"/>
              <w:spacing w:before="0" w:after="0"/>
              <w:jc w:val="left"/>
              <w:rPr>
                <w:rFonts w:ascii="Times New Roman" w:hAnsi="Times New Roman"/>
                <w:sz w:val="20"/>
              </w:rPr>
            </w:pPr>
            <w:r>
              <w:rPr>
                <w:rFonts w:ascii="Times New Roman" w:hAnsi="Times New Roman"/>
                <w:sz w:val="20"/>
              </w:rPr>
              <w:t xml:space="preserve">is achieved. Once the “hurdle rate” is reached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catch-up</w:t>
            </w:r>
          </w:p>
          <w:p>
            <w:pPr>
              <w:pStyle w:val="TableContents"/>
              <w:bidi w:val="0"/>
              <w:spacing w:before="0" w:after="0"/>
              <w:jc w:val="left"/>
              <w:rPr>
                <w:rFonts w:ascii="Times New Roman" w:hAnsi="Times New Roman"/>
                <w:sz w:val="20"/>
              </w:rPr>
            </w:pPr>
            <w:r>
              <w:rPr>
                <w:rFonts w:ascii="Times New Roman" w:hAnsi="Times New Roman"/>
                <w:sz w:val="20"/>
              </w:rPr>
              <w:t xml:space="preserve">is achieved, 17.5% of any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pre-Incentive</w:t>
            </w:r>
          </w:p>
          <w:p>
            <w:pPr>
              <w:pStyle w:val="TableContents"/>
              <w:bidi w:val="0"/>
              <w:spacing w:before="0" w:after="0"/>
              <w:jc w:val="left"/>
              <w:rPr>
                <w:rFonts w:ascii="Times New Roman" w:hAnsi="Times New Roman"/>
                <w:sz w:val="20"/>
              </w:rPr>
            </w:pPr>
            <w:r>
              <w:rPr>
                <w:rFonts w:ascii="Times New Roman" w:hAnsi="Times New Roman"/>
                <w:sz w:val="20"/>
              </w:rPr>
              <w:t xml:space="preserve">Fee net investment income in excess of 1.82% in any quarter is payable to the Adviser. </w:t>
            </w:r>
          </w:p>
        </w:tc>
      </w:tr>
    </w:tbl>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Pre-Incentive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Pre-Incentive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Fee net investment income includes, in the case of investments with a deferred interest feature (such as original issue discount, debt instruments with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pay-in-kind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interest and zero coupon securities), accrued income that we may not have received in cash.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Pre-Incentive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Fee net investment income does not include any realized capital gains, realized capital losses or unrealized capital gains or losses.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(ii)</w:t>
            </w:r>
          </w:p>
        </w:tc>
        <w:tc>
          <w:tcPr>
            <w:tcW w:w="98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second component, payable at the end of each fiscal year in arrears, equaled 15% through March 31, 2014 and, beginning April 1, 2014, equals a weighted percentage </w:t>
            </w:r>
          </w:p>
          <w:p>
            <w:pPr>
              <w:pStyle w:val="TableContents"/>
              <w:bidi w:val="0"/>
              <w:spacing w:before="0" w:after="0"/>
              <w:jc w:val="left"/>
              <w:rPr>
                <w:rFonts w:ascii="Times New Roman" w:hAnsi="Times New Roman"/>
                <w:sz w:val="20"/>
              </w:rPr>
            </w:pPr>
            <w:r>
              <w:rPr>
                <w:rFonts w:ascii="Times New Roman" w:hAnsi="Times New Roman"/>
                <w:sz w:val="20"/>
              </w:rPr>
              <w:t>of</w:t>
            </w:r>
          </w:p>
          <w:p>
            <w:pPr>
              <w:pStyle w:val="TableContents"/>
              <w:bidi w:val="0"/>
              <w:spacing w:before="0" w:after="0"/>
              <w:jc w:val="left"/>
              <w:rPr>
                <w:rFonts w:ascii="Times New Roman" w:hAnsi="Times New Roman"/>
                <w:sz w:val="20"/>
              </w:rPr>
            </w:pPr>
            <w:r>
              <w:rPr>
                <w:rFonts w:ascii="Times New Roman" w:hAnsi="Times New Roman"/>
                <w:sz w:val="20"/>
              </w:rPr>
              <w:t xml:space="preserve">cumulative realized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S-10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Fee with respect to unrealized capital gains because a Capital Gains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were no remaining investments that were made prior to April 1, 2014, and as a result, the Incentive Fee rate of 17.5% is applicable to any future realized capital gains.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purposes of determining whether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pre-Incentive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Fee net investment income exceeds the hurdle rate,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pre-Incentive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Fee net investment income is expressed as a rate of return on the value of our net assets at the end of the immediately preceding calendar quarter.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Pre-Incentive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pre-Incentive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Section 205(b)(3) of the Advisers Act, as amended, prohibits the Adviser from receiving the payment of fees on unrealized gains until those gains are realized, if ever. There can be no assurance that such unrealized gains will be realized in the future.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See Note 3 to our consolidated financial statements in our 2023 Annual Report and “Agreements and Related Party Transactions—Administration Agreement; Investment Advisory Agreement;” in Part I, Item 1 of our 2023 Annual Report.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From time to time, our Adviser has voluntarily waived certain Incentive Fees. See “Management’s Discussion and Analysis of Financial Condition and Results of Operations-Results of Operations-Incentive Fees” in Part II, Item 2 of our 2023 Annual Report. The above estimates do not reflect or assume any such waivers.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(7)</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Interest payments on borrowed funds is based on our interest expense for the year ended December 31, 2023 under our credit facilities excluding fees (such as fees on undrawn amounts and amortization of upfront fees) and including the swap-adjusted interest expense related to our 2024 Notes, 2026 Notes and 2028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 SBCAA. Our stockholders indirectly bear the costs of borrowings under any debt instruments we may enter into.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(8)</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our overhead expenses, such as payments under the Administration Agreement for certain expenses incurred by the Adviser, and excise taxes. See “Agreements and Related Party Transactions-Administration Agreement; Investment Advisory Agreement;” in Part I, Item 1 of our 2023 Annual Report and Note 3 to </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S-11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our consolidated financial statements in our 2023 Annual Report. The expenses in this table are based on our actual other expenses and excise taxes for the year ended December 31, 2023.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Example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480"/>
        <w:gridCol w:w="120"/>
        <w:gridCol w:w="175"/>
        <w:gridCol w:w="475"/>
        <w:gridCol w:w="60"/>
        <w:gridCol w:w="120"/>
        <w:gridCol w:w="199"/>
        <w:gridCol w:w="541"/>
        <w:gridCol w:w="60"/>
        <w:gridCol w:w="120"/>
        <w:gridCol w:w="199"/>
        <w:gridCol w:w="541"/>
        <w:gridCol w:w="60"/>
        <w:gridCol w:w="120"/>
        <w:gridCol w:w="231"/>
        <w:gridCol w:w="629"/>
        <w:gridCol w:w="75"/>
      </w:tblGrid>
      <w:tr>
        <w:trPr/>
        <w:tc>
          <w:tcPr>
            <w:tcW w:w="6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1 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3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5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10 years</w:t>
            </w:r>
          </w:p>
        </w:tc>
        <w:tc>
          <w:tcPr>
            <w:tcW w:w="75" w:type="dxa"/>
            <w:tcBorders/>
            <w:vAlign w:val="center"/>
          </w:tcPr>
          <w:p>
            <w:pPr>
              <w:pStyle w:val="TableContents"/>
              <w:bidi w:val="0"/>
              <w:spacing w:before="0" w:after="283"/>
              <w:jc w:val="left"/>
              <w:rPr/>
            </w:pPr>
            <w:r>
              <w:rPr/>
              <w:t> </w:t>
            </w:r>
          </w:p>
        </w:tc>
      </w:tr>
      <w:tr>
        <w:trPr/>
        <w:tc>
          <w:tcPr>
            <w:tcW w:w="6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You would pay the following expenses on a $1,000 common stock investment, assuming a 5% annual return from realized capital gains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475" w:type="dxa"/>
            <w:tcBorders/>
            <w:shd w:fill="CCEEFF" w:val="clear"/>
            <w:vAlign w:val="center"/>
          </w:tcPr>
          <w:p>
            <w:pPr>
              <w:pStyle w:val="TableContents"/>
              <w:bidi w:val="0"/>
              <w:spacing w:before="0" w:after="283"/>
              <w:jc w:val="right"/>
              <w:rPr/>
            </w:pPr>
            <w:r>
              <w:rPr/>
              <w:t>136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373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571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937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in the accompanying prospectus for additional information regarding our dividend reinvestment plan. </w:t>
      </w:r>
    </w:p>
    <w:p>
      <w:pPr>
        <w:pStyle w:val="TextBody"/>
        <w:bidi w:val="0"/>
        <w:spacing w:before="240" w:after="0"/>
        <w:jc w:val="left"/>
        <w:rPr>
          <w:rFonts w:ascii="Times New Roman" w:hAnsi="Times New Roman"/>
          <w:b/>
          <w:sz w:val="20"/>
          <w:shd w:fill="FFFFFF" w:val="clear"/>
        </w:rPr>
      </w:pPr>
      <w:r>
        <w:rPr>
          <w:rFonts w:ascii="Times New Roman" w:hAnsi="Times New Roman"/>
          <w:b/>
          <w:sz w:val="20"/>
          <w:shd w:fill="FFFFFF" w:val="clear"/>
        </w:rPr>
        <w:t xml:space="preserve">This example and the expenses in the table above should not be considered a representation of our future expenses, and actual expenses (including the cost of debt, if any, and other expenses) may be greater or less than those shown.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S-12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Use of Proceeds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We estimate that the net proceeds we will receive from the sale of 4,000,000 shares of our common stock in this offering will be approximately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81.6</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 xml:space="preserve">million (or approximately $93.9 million if the underwriters fully exercise their option to purchase additional shares), in each case after deducting the underwriting discounts and commissions and estimated offering expenses payable by us.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We intend to use 100% of the net proceeds of this offering to pay down a portion of the outstanding indebtedness on the Revolving Credit Facility on or about the date of the closing of this offering. As of December 31, 2023, aggregate commitments under the facility were $1.710 billion. However, through reborrowing under the Revolving Credit Facility, we intend to make new investments in accordance with our investment objective and strategies described in this prospectus supplement and the accompanying prospectus. The stated maturity date of the Revolving Credit Facility is June 12, 2028 with respect to $1.465 billion of commitments, January 31, 2025 for $25.0 million of commitments, February 4, 2026 for $50.0 million of commitments, and April 30, 2027 with respect to $170.0 million of commitments. As of December 31, 2023, amounts drawn under the facility bear interest at either the applicable reference rate plus an applicable credit spread adjustment, plus a margin of either 1.75% or 1.875%, or the base rate plus a margin of either 0.75% or 0.875%. See “</w:t>
      </w:r>
    </w:p>
    <w:p>
      <w:pPr>
        <w:pStyle w:val="TextBody"/>
        <w:bidi w:val="0"/>
        <w:spacing w:before="24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Management’s Discussion and Analysis of Financial Condition and Results of Operations—Financial Condition, Liquidity and Capital Resources—Revolving Credit Facility</w:t>
      </w:r>
    </w:p>
    <w:p>
      <w:pPr>
        <w:pStyle w:val="TextBody"/>
        <w:bidi w:val="0"/>
        <w:spacing w:before="240" w:after="0"/>
        <w:jc w:val="left"/>
        <w:rPr>
          <w:shd w:fill="FFFFFF" w:val="clear"/>
        </w:rPr>
      </w:pPr>
      <w:r>
        <w:rPr>
          <w:shd w:fill="FFFFFF" w:val="clear"/>
        </w:rPr>
        <w:t xml:space="preserve">” </w:t>
      </w:r>
      <w:r>
        <w:rPr>
          <w:rFonts w:ascii="Times New Roman" w:hAnsi="Times New Roman"/>
          <w:sz w:val="20"/>
          <w:shd w:fill="FFFFFF" w:val="clear"/>
        </w:rPr>
        <w:t xml:space="preserve">in Part II, Item 2 of our 2023 Annual Report.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S-13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Capitalization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sets forth our consolidated capitalization at December 31, 2023, as adjusted to reflect the Company’s issuance on January 16, 2024 of $350.0 million aggregate principal amount of its 6.125% notes due 2029. You should read this table together with “Use of Proceeds” described in this prospectus supplement and our most recent balance sheet included in our 2023 Annual Report incorporated by reference in this prospectus supplement. </w:t>
      </w:r>
    </w:p>
    <w:p>
      <w:pPr>
        <w:pStyle w:val="TextBody"/>
        <w:bidi w:val="0"/>
        <w:spacing w:before="0" w:after="0"/>
        <w:ind w:left="0" w:right="0" w:hanging="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8500"/>
        <w:gridCol w:w="120"/>
        <w:gridCol w:w="167"/>
        <w:gridCol w:w="1248"/>
        <w:gridCol w:w="170"/>
      </w:tblGrid>
      <w:tr>
        <w:trPr/>
        <w:tc>
          <w:tcPr>
            <w:tcW w:w="8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5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w:t>
              <w:br/>
              <w:t>December 31,</w:t>
              <w:br/>
              <w:t>2023</w:t>
            </w:r>
          </w:p>
          <w:p>
            <w:pPr>
              <w:pStyle w:val="TableContents"/>
              <w:bidi w:val="0"/>
              <w:spacing w:before="0" w:after="0"/>
              <w:jc w:val="center"/>
              <w:rPr>
                <w:b/>
                <w:spacing w:val="0"/>
                <w:sz w:val="9"/>
              </w:rPr>
            </w:pPr>
            <w:r>
              <w:rPr>
                <w:b/>
                <w:spacing w:val="0"/>
                <w:sz w:val="9"/>
              </w:rPr>
              <w:t>(1)</w:t>
            </w:r>
          </w:p>
        </w:tc>
        <w:tc>
          <w:tcPr>
            <w:tcW w:w="170" w:type="dxa"/>
            <w:tcBorders/>
            <w:vAlign w:val="center"/>
          </w:tcPr>
          <w:p>
            <w:pPr>
              <w:pStyle w:val="TableContents"/>
              <w:bidi w:val="0"/>
              <w:spacing w:before="0" w:after="283"/>
              <w:jc w:val="left"/>
              <w:rPr/>
            </w:pPr>
            <w:r>
              <w:rPr/>
              <w:t> </w:t>
            </w:r>
          </w:p>
        </w:tc>
      </w:tr>
      <w:tr>
        <w:trPr/>
        <w:tc>
          <w:tcPr>
            <w:tcW w:w="85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(Amounts in thousands, except share and per share amounts)</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124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8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283"/>
              <w:jc w:val="right"/>
              <w:rPr/>
            </w:pPr>
            <w:r>
              <w:rPr/>
              <w:t> </w:t>
            </w:r>
            <w:r>
              <w:rPr/>
              <w:t>25,196</w:t>
            </w:r>
          </w:p>
        </w:tc>
        <w:tc>
          <w:tcPr>
            <w:tcW w:w="170" w:type="dxa"/>
            <w:tcBorders/>
            <w:vAlign w:val="center"/>
          </w:tcPr>
          <w:p>
            <w:pPr>
              <w:pStyle w:val="TableContents"/>
              <w:bidi w:val="0"/>
              <w:spacing w:before="0" w:after="283"/>
              <w:jc w:val="left"/>
              <w:rPr/>
            </w:pPr>
            <w:r>
              <w:rPr/>
              <w:t> </w:t>
            </w:r>
          </w:p>
        </w:tc>
      </w:tr>
      <w:tr>
        <w:trPr/>
        <w:tc>
          <w:tcPr>
            <w:tcW w:w="85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Debt</w:t>
            </w:r>
          </w:p>
          <w:p>
            <w:pPr>
              <w:pStyle w:val="TableContents"/>
              <w:bidi w:val="0"/>
              <w:spacing w:before="0" w:after="0"/>
              <w:jc w:val="left"/>
              <w:rPr>
                <w:rFonts w:ascii="Times New Roman" w:hAnsi="Times New Roman"/>
                <w:b/>
                <w:sz w:val="12"/>
              </w:rPr>
            </w:pPr>
            <w:r>
              <w:rPr>
                <w:rFonts w:ascii="Times New Roman" w:hAnsi="Times New Roman"/>
                <w:b/>
                <w:sz w:val="12"/>
              </w:rPr>
              <w:t>(1)</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124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8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Revolving Credit Facility</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889,659</w:t>
            </w:r>
          </w:p>
        </w:tc>
        <w:tc>
          <w:tcPr>
            <w:tcW w:w="170" w:type="dxa"/>
            <w:tcBorders/>
            <w:vAlign w:val="center"/>
          </w:tcPr>
          <w:p>
            <w:pPr>
              <w:pStyle w:val="TableContents"/>
              <w:bidi w:val="0"/>
              <w:spacing w:before="0" w:after="283"/>
              <w:jc w:val="left"/>
              <w:rPr/>
            </w:pPr>
            <w:r>
              <w:rPr/>
              <w:t> </w:t>
            </w:r>
          </w:p>
        </w:tc>
      </w:tr>
      <w:tr>
        <w:trPr/>
        <w:tc>
          <w:tcPr>
            <w:tcW w:w="8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 Notes</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347,500</w:t>
            </w:r>
          </w:p>
        </w:tc>
        <w:tc>
          <w:tcPr>
            <w:tcW w:w="170" w:type="dxa"/>
            <w:tcBorders/>
            <w:shd w:fill="CCEEFF" w:val="clear"/>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2026 Notes</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300,000</w:t>
            </w:r>
          </w:p>
        </w:tc>
        <w:tc>
          <w:tcPr>
            <w:tcW w:w="170" w:type="dxa"/>
            <w:tcBorders/>
            <w:vAlign w:val="center"/>
          </w:tcPr>
          <w:p>
            <w:pPr>
              <w:pStyle w:val="TableContents"/>
              <w:bidi w:val="0"/>
              <w:spacing w:before="0" w:after="283"/>
              <w:jc w:val="left"/>
              <w:rPr/>
            </w:pPr>
            <w:r>
              <w:rPr/>
              <w:t> </w:t>
            </w:r>
          </w:p>
        </w:tc>
      </w:tr>
      <w:tr>
        <w:trPr/>
        <w:tc>
          <w:tcPr>
            <w:tcW w:w="8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 Notes</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300,000</w:t>
            </w:r>
          </w:p>
        </w:tc>
        <w:tc>
          <w:tcPr>
            <w:tcW w:w="170" w:type="dxa"/>
            <w:tcBorders/>
            <w:shd w:fill="CCEEFF" w:val="clear"/>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2029 Notes</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350,000</w:t>
            </w:r>
          </w:p>
        </w:tc>
        <w:tc>
          <w:tcPr>
            <w:tcW w:w="170" w:type="dxa"/>
            <w:tcBorders/>
            <w:vAlign w:val="center"/>
          </w:tcPr>
          <w:p>
            <w:pPr>
              <w:pStyle w:val="TableContents"/>
              <w:bidi w:val="0"/>
              <w:spacing w:before="0" w:after="283"/>
              <w:jc w:val="left"/>
              <w:rPr/>
            </w:pPr>
            <w:r>
              <w:rPr/>
              <w:t> </w:t>
            </w:r>
          </w:p>
        </w:tc>
      </w:tr>
      <w:tr>
        <w:trPr/>
        <w:tc>
          <w:tcPr>
            <w:tcW w:w="8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2,187,159</w:t>
            </w:r>
          </w:p>
        </w:tc>
        <w:tc>
          <w:tcPr>
            <w:tcW w:w="170" w:type="dxa"/>
            <w:tcBorders/>
            <w:shd w:fill="CCEEFF" w:val="clear"/>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 $0.01 par value; 100,000,000 shares authorized; no shares issued and outstanding</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$0.01 par value; 400,000,000 shares authorized; 88,493,749 shares issued and 87,829,499 shares outstanding</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885</w:t>
            </w:r>
          </w:p>
        </w:tc>
        <w:tc>
          <w:tcPr>
            <w:tcW w:w="170" w:type="dxa"/>
            <w:tcBorders/>
            <w:vAlign w:val="center"/>
          </w:tcPr>
          <w:p>
            <w:pPr>
              <w:pStyle w:val="TableContents"/>
              <w:bidi w:val="0"/>
              <w:spacing w:before="0" w:after="283"/>
              <w:jc w:val="left"/>
              <w:rPr/>
            </w:pPr>
            <w:r>
              <w:rPr/>
              <w:t> </w:t>
            </w:r>
          </w:p>
        </w:tc>
      </w:tr>
      <w:tr>
        <w:trPr/>
        <w:tc>
          <w:tcPr>
            <w:tcW w:w="8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1,405,173</w:t>
            </w:r>
          </w:p>
        </w:tc>
        <w:tc>
          <w:tcPr>
            <w:tcW w:w="170" w:type="dxa"/>
            <w:tcBorders/>
            <w:shd w:fill="CCEEFF" w:val="clear"/>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Treasury stock at cost, 664,250 shares</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(10,459</w:t>
            </w:r>
          </w:p>
        </w:tc>
        <w:tc>
          <w:tcPr>
            <w:tcW w:w="170" w:type="dxa"/>
            <w:tcBorders/>
            <w:vAlign w:val="center"/>
          </w:tcPr>
          <w:p>
            <w:pPr>
              <w:pStyle w:val="TableContents"/>
              <w:bidi w:val="0"/>
              <w:spacing w:before="0" w:after="283"/>
              <w:jc w:val="left"/>
              <w:rPr/>
            </w:pPr>
            <w:r>
              <w:rPr/>
              <w:t>) </w:t>
            </w:r>
          </w:p>
        </w:tc>
      </w:tr>
      <w:tr>
        <w:trPr/>
        <w:tc>
          <w:tcPr>
            <w:tcW w:w="8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Distributable earnings</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100,776</w:t>
            </w:r>
          </w:p>
        </w:tc>
        <w:tc>
          <w:tcPr>
            <w:tcW w:w="170" w:type="dxa"/>
            <w:tcBorders/>
            <w:shd w:fill="CCEEFF" w:val="clear"/>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283"/>
              <w:jc w:val="right"/>
              <w:rPr/>
            </w:pPr>
            <w:r>
              <w:rPr/>
              <w:t> </w:t>
            </w:r>
            <w:r>
              <w:rPr/>
              <w:t>1,496,375</w:t>
            </w:r>
          </w:p>
        </w:tc>
        <w:tc>
          <w:tcPr>
            <w:tcW w:w="170" w:type="dxa"/>
            <w:tcBorders/>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jc w:val="left"/>
              <w:rPr>
                <w:bdr w:val="single" w:sz="2" w:space="1" w:color="000000"/>
              </w:rPr>
            </w:pPr>
            <w:r>
              <w:rPr>
                <w:bdr w:val="single" w:sz="2" w:space="1" w:color="000000"/>
              </w:rPr>
              <w:t> </w:t>
            </w:r>
          </w:p>
        </w:tc>
        <w:tc>
          <w:tcPr>
            <w:tcW w:w="124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85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capitalization</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jc w:val="right"/>
              <w:rPr/>
            </w:pPr>
            <w:r>
              <w:rPr/>
              <w:t> </w:t>
            </w:r>
            <w:r>
              <w:rPr/>
              <w:t>3,693,808</w:t>
            </w:r>
          </w:p>
        </w:tc>
        <w:tc>
          <w:tcPr>
            <w:tcW w:w="170" w:type="dxa"/>
            <w:tcBorders/>
            <w:shd w:fill="CCEEFF" w:val="clear"/>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jc w:val="left"/>
              <w:rPr>
                <w:bdr w:val="double" w:sz="6" w:space="1" w:color="000000"/>
              </w:rPr>
            </w:pPr>
            <w:r>
              <w:rPr>
                <w:bdr w:val="double" w:sz="6" w:space="1" w:color="000000"/>
              </w:rPr>
              <w:t> </w:t>
            </w:r>
          </w:p>
        </w:tc>
        <w:tc>
          <w:tcPr>
            <w:tcW w:w="1248"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0"/>
        <w:ind w:left="0" w:right="0" w:hanging="0"/>
        <w:jc w:val="left"/>
        <w:rPr>
          <w:bdr w:val="single" w:sz="2" w:space="1" w:color="000000"/>
          <w:shd w:fill="FFFFFF" w:val="clear"/>
        </w:rPr>
      </w:pPr>
      <w:r>
        <w:rPr>
          <w:bdr w:val="single" w:sz="2" w:space="1" w:color="000000"/>
          <w:shd w:fill="FFFFFF" w:val="clea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above table reflects the principal amount of indebtedness outstanding as of December 31, 2023, as adjusted to reflect the Company’s issuance on January 16, 2024 of $350.0 million aggregate principal amount of its 6.125% notes due 2029. As of February 28, 2024, $604.9 million was drawn on the Revolving Credit Facility. The net proceeds from the sale of our common stock in this offering are expected to be used to pay down outstanding indebtedness under the Revolving Credit Facility. See “Use of Proceeds” in this prospectus supplement. </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S-14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Underwriting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Morgan Stanley &amp; Co. LLC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below. </w:t>
      </w:r>
    </w:p>
    <w:p>
      <w:pPr>
        <w:pStyle w:val="TextBody"/>
        <w:bidi w:val="0"/>
        <w:spacing w:before="0" w:after="0"/>
        <w:ind w:left="0" w:right="0" w:hanging="0"/>
        <w:jc w:val="left"/>
        <w:rPr>
          <w:spacing w:val="0"/>
          <w:shd w:fill="FFFFFF" w:val="clear"/>
        </w:rPr>
      </w:pPr>
      <w:r>
        <w:rPr>
          <w:spacing w:val="0"/>
          <w:shd w:fill="FFFFFF" w:val="clear"/>
        </w:rPr>
        <w:t> </w:t>
      </w:r>
    </w:p>
    <w:tbl>
      <w:tblPr>
        <w:tblW w:w="4165" w:type="dxa"/>
        <w:jc w:val="left"/>
        <w:tblInd w:w="0" w:type="dxa"/>
        <w:tblLayout w:type="fixed"/>
        <w:tblCellMar>
          <w:top w:w="0" w:type="dxa"/>
          <w:left w:w="0" w:type="dxa"/>
          <w:bottom w:w="0" w:type="dxa"/>
          <w:right w:w="0" w:type="dxa"/>
        </w:tblCellMar>
      </w:tblPr>
      <w:tblGrid>
        <w:gridCol w:w="2840"/>
        <w:gridCol w:w="120"/>
        <w:gridCol w:w="65"/>
        <w:gridCol w:w="1065"/>
        <w:gridCol w:w="75"/>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Underwriter</w:t>
            </w:r>
          </w:p>
        </w:tc>
        <w:tc>
          <w:tcPr>
            <w:tcW w:w="120" w:type="dxa"/>
            <w:tcBorders/>
            <w:vAlign w:val="center"/>
          </w:tcPr>
          <w:p>
            <w:pPr>
              <w:pStyle w:val="TableContents"/>
              <w:bidi w:val="0"/>
              <w:spacing w:before="0" w:after="0"/>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Number of</w:t>
              <w:br/>
              <w:t>Shares</w:t>
            </w:r>
          </w:p>
        </w:tc>
        <w:tc>
          <w:tcPr>
            <w:tcW w:w="75" w:type="dxa"/>
            <w:tcBorders/>
            <w:vAlign w:val="center"/>
          </w:tcPr>
          <w:p>
            <w:pPr>
              <w:pStyle w:val="TableContents"/>
              <w:bidi w:val="0"/>
              <w:spacing w:before="0" w:after="0"/>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Morgan Stanley &amp; Co. LLC</w:t>
            </w:r>
          </w:p>
        </w:tc>
        <w:tc>
          <w:tcPr>
            <w:tcW w:w="120" w:type="dxa"/>
            <w:tcBorders/>
            <w:shd w:fill="CCEEFF" w:val="clear"/>
            <w:vAlign w:val="center"/>
          </w:tcPr>
          <w:p>
            <w:pPr>
              <w:pStyle w:val="TableContents"/>
              <w:bidi w:val="0"/>
              <w:spacing w:before="0" w:after="0"/>
              <w:jc w:val="left"/>
              <w:rPr/>
            </w:pPr>
            <w:r>
              <w:rPr/>
              <w:t>  </w:t>
            </w:r>
          </w:p>
        </w:tc>
        <w:tc>
          <w:tcPr>
            <w:tcW w:w="65" w:type="dxa"/>
            <w:tcBorders/>
            <w:shd w:fill="CCEEFF" w:val="clear"/>
            <w:vAlign w:val="center"/>
          </w:tcPr>
          <w:p>
            <w:pPr>
              <w:pStyle w:val="TableContents"/>
              <w:bidi w:val="0"/>
              <w:spacing w:before="0" w:after="0"/>
              <w:jc w:val="left"/>
              <w:rPr/>
            </w:pPr>
            <w:r>
              <w:rPr/>
              <w:t> </w:t>
            </w:r>
          </w:p>
        </w:tc>
        <w:tc>
          <w:tcPr>
            <w:tcW w:w="1065" w:type="dxa"/>
            <w:tcBorders/>
            <w:shd w:fill="CCEEFF" w:val="clear"/>
            <w:vAlign w:val="center"/>
          </w:tcPr>
          <w:p>
            <w:pPr>
              <w:pStyle w:val="TableContents"/>
              <w:bidi w:val="0"/>
              <w:spacing w:before="0" w:after="0"/>
              <w:jc w:val="right"/>
              <w:rPr/>
            </w:pPr>
            <w:r>
              <w:rPr/>
              <w:t>800,000</w:t>
            </w:r>
          </w:p>
        </w:tc>
        <w:tc>
          <w:tcPr>
            <w:tcW w:w="75" w:type="dxa"/>
            <w:tcBorders/>
            <w:shd w:fill="CCEEFF" w:val="clear"/>
            <w:vAlign w:val="center"/>
          </w:tcPr>
          <w:p>
            <w:pPr>
              <w:pStyle w:val="TableContents"/>
              <w:bidi w:val="0"/>
              <w:spacing w:before="0" w:after="0"/>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Wells Fargo Securities, LLC</w:t>
            </w:r>
          </w:p>
        </w:tc>
        <w:tc>
          <w:tcPr>
            <w:tcW w:w="120" w:type="dxa"/>
            <w:tcBorders/>
            <w:vAlign w:val="center"/>
          </w:tcPr>
          <w:p>
            <w:pPr>
              <w:pStyle w:val="TableContents"/>
              <w:bidi w:val="0"/>
              <w:spacing w:before="0" w:after="0"/>
              <w:jc w:val="left"/>
              <w:rPr/>
            </w:pPr>
            <w:r>
              <w:rPr/>
              <w:t>  </w:t>
            </w:r>
          </w:p>
        </w:tc>
        <w:tc>
          <w:tcPr>
            <w:tcW w:w="65"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0"/>
              <w:jc w:val="right"/>
              <w:rPr/>
            </w:pPr>
            <w:r>
              <w:rPr/>
              <w:t>800,000</w:t>
            </w:r>
          </w:p>
        </w:tc>
        <w:tc>
          <w:tcPr>
            <w:tcW w:w="75" w:type="dxa"/>
            <w:tcBorders/>
            <w:vAlign w:val="center"/>
          </w:tcPr>
          <w:p>
            <w:pPr>
              <w:pStyle w:val="TableContents"/>
              <w:bidi w:val="0"/>
              <w:spacing w:before="0" w:after="0"/>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BofA Securities, Inc.</w:t>
            </w:r>
          </w:p>
        </w:tc>
        <w:tc>
          <w:tcPr>
            <w:tcW w:w="120" w:type="dxa"/>
            <w:tcBorders/>
            <w:shd w:fill="CCEEFF" w:val="clear"/>
            <w:vAlign w:val="center"/>
          </w:tcPr>
          <w:p>
            <w:pPr>
              <w:pStyle w:val="TableContents"/>
              <w:bidi w:val="0"/>
              <w:spacing w:before="0" w:after="0"/>
              <w:jc w:val="left"/>
              <w:rPr/>
            </w:pPr>
            <w:r>
              <w:rPr/>
              <w:t>  </w:t>
            </w:r>
          </w:p>
        </w:tc>
        <w:tc>
          <w:tcPr>
            <w:tcW w:w="65" w:type="dxa"/>
            <w:tcBorders/>
            <w:shd w:fill="CCEEFF" w:val="clear"/>
            <w:vAlign w:val="center"/>
          </w:tcPr>
          <w:p>
            <w:pPr>
              <w:pStyle w:val="TableContents"/>
              <w:bidi w:val="0"/>
              <w:spacing w:before="0" w:after="0"/>
              <w:jc w:val="left"/>
              <w:rPr/>
            </w:pPr>
            <w:r>
              <w:rPr/>
              <w:t> </w:t>
            </w:r>
          </w:p>
        </w:tc>
        <w:tc>
          <w:tcPr>
            <w:tcW w:w="1065" w:type="dxa"/>
            <w:tcBorders/>
            <w:shd w:fill="CCEEFF" w:val="clear"/>
            <w:vAlign w:val="center"/>
          </w:tcPr>
          <w:p>
            <w:pPr>
              <w:pStyle w:val="TableContents"/>
              <w:bidi w:val="0"/>
              <w:spacing w:before="0" w:after="0"/>
              <w:jc w:val="right"/>
              <w:rPr/>
            </w:pPr>
            <w:r>
              <w:rPr/>
              <w:t>500,000</w:t>
            </w:r>
          </w:p>
        </w:tc>
        <w:tc>
          <w:tcPr>
            <w:tcW w:w="75" w:type="dxa"/>
            <w:tcBorders/>
            <w:shd w:fill="CCEEFF" w:val="clear"/>
            <w:vAlign w:val="center"/>
          </w:tcPr>
          <w:p>
            <w:pPr>
              <w:pStyle w:val="TableContents"/>
              <w:bidi w:val="0"/>
              <w:spacing w:before="0" w:after="0"/>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RBC Capital Markets, LLC</w:t>
            </w:r>
          </w:p>
        </w:tc>
        <w:tc>
          <w:tcPr>
            <w:tcW w:w="120" w:type="dxa"/>
            <w:tcBorders/>
            <w:vAlign w:val="center"/>
          </w:tcPr>
          <w:p>
            <w:pPr>
              <w:pStyle w:val="TableContents"/>
              <w:bidi w:val="0"/>
              <w:spacing w:before="0" w:after="0"/>
              <w:jc w:val="left"/>
              <w:rPr/>
            </w:pPr>
            <w:r>
              <w:rPr/>
              <w:t>  </w:t>
            </w:r>
          </w:p>
        </w:tc>
        <w:tc>
          <w:tcPr>
            <w:tcW w:w="65"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0"/>
              <w:jc w:val="right"/>
              <w:rPr/>
            </w:pPr>
            <w:r>
              <w:rPr/>
              <w:t>500,000</w:t>
            </w:r>
          </w:p>
        </w:tc>
        <w:tc>
          <w:tcPr>
            <w:tcW w:w="75" w:type="dxa"/>
            <w:tcBorders/>
            <w:vAlign w:val="center"/>
          </w:tcPr>
          <w:p>
            <w:pPr>
              <w:pStyle w:val="TableContents"/>
              <w:bidi w:val="0"/>
              <w:spacing w:before="0" w:after="0"/>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Keefe, Bruyette &amp; Woods, Inc.</w:t>
            </w:r>
          </w:p>
        </w:tc>
        <w:tc>
          <w:tcPr>
            <w:tcW w:w="120" w:type="dxa"/>
            <w:tcBorders/>
            <w:shd w:fill="CCEEFF" w:val="clear"/>
            <w:vAlign w:val="center"/>
          </w:tcPr>
          <w:p>
            <w:pPr>
              <w:pStyle w:val="TableContents"/>
              <w:bidi w:val="0"/>
              <w:spacing w:before="0" w:after="0"/>
              <w:jc w:val="left"/>
              <w:rPr/>
            </w:pPr>
            <w:r>
              <w:rPr/>
              <w:t>  </w:t>
            </w:r>
          </w:p>
        </w:tc>
        <w:tc>
          <w:tcPr>
            <w:tcW w:w="65" w:type="dxa"/>
            <w:tcBorders/>
            <w:shd w:fill="CCEEFF" w:val="clear"/>
            <w:vAlign w:val="center"/>
          </w:tcPr>
          <w:p>
            <w:pPr>
              <w:pStyle w:val="TableContents"/>
              <w:bidi w:val="0"/>
              <w:spacing w:before="0" w:after="0"/>
              <w:jc w:val="left"/>
              <w:rPr/>
            </w:pPr>
            <w:r>
              <w:rPr/>
              <w:t> </w:t>
            </w:r>
          </w:p>
        </w:tc>
        <w:tc>
          <w:tcPr>
            <w:tcW w:w="1065" w:type="dxa"/>
            <w:tcBorders/>
            <w:shd w:fill="CCEEFF" w:val="clear"/>
            <w:vAlign w:val="center"/>
          </w:tcPr>
          <w:p>
            <w:pPr>
              <w:pStyle w:val="TableContents"/>
              <w:bidi w:val="0"/>
              <w:spacing w:before="0" w:after="0"/>
              <w:jc w:val="right"/>
              <w:rPr/>
            </w:pPr>
            <w:r>
              <w:rPr/>
              <w:t>400,000</w:t>
            </w:r>
          </w:p>
        </w:tc>
        <w:tc>
          <w:tcPr>
            <w:tcW w:w="75" w:type="dxa"/>
            <w:tcBorders/>
            <w:shd w:fill="CCEEFF" w:val="clear"/>
            <w:vAlign w:val="center"/>
          </w:tcPr>
          <w:p>
            <w:pPr>
              <w:pStyle w:val="TableContents"/>
              <w:bidi w:val="0"/>
              <w:spacing w:before="0" w:after="0"/>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Raymond James &amp; Associates, Inc.</w:t>
            </w:r>
          </w:p>
        </w:tc>
        <w:tc>
          <w:tcPr>
            <w:tcW w:w="120" w:type="dxa"/>
            <w:tcBorders/>
            <w:vAlign w:val="center"/>
          </w:tcPr>
          <w:p>
            <w:pPr>
              <w:pStyle w:val="TableContents"/>
              <w:bidi w:val="0"/>
              <w:spacing w:before="0" w:after="0"/>
              <w:jc w:val="left"/>
              <w:rPr/>
            </w:pPr>
            <w:r>
              <w:rPr/>
              <w:t>  </w:t>
            </w:r>
          </w:p>
        </w:tc>
        <w:tc>
          <w:tcPr>
            <w:tcW w:w="65"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0"/>
              <w:jc w:val="right"/>
              <w:rPr/>
            </w:pPr>
            <w:r>
              <w:rPr/>
              <w:t>400,000</w:t>
            </w:r>
          </w:p>
        </w:tc>
        <w:tc>
          <w:tcPr>
            <w:tcW w:w="75" w:type="dxa"/>
            <w:tcBorders/>
            <w:vAlign w:val="center"/>
          </w:tcPr>
          <w:p>
            <w:pPr>
              <w:pStyle w:val="TableContents"/>
              <w:bidi w:val="0"/>
              <w:spacing w:before="0" w:after="0"/>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Citigroup Global Markets Inc.</w:t>
            </w:r>
          </w:p>
        </w:tc>
        <w:tc>
          <w:tcPr>
            <w:tcW w:w="120" w:type="dxa"/>
            <w:tcBorders/>
            <w:shd w:fill="CCEEFF" w:val="clear"/>
            <w:vAlign w:val="center"/>
          </w:tcPr>
          <w:p>
            <w:pPr>
              <w:pStyle w:val="TableContents"/>
              <w:bidi w:val="0"/>
              <w:spacing w:before="0" w:after="0"/>
              <w:jc w:val="left"/>
              <w:rPr/>
            </w:pPr>
            <w:r>
              <w:rPr/>
              <w:t>  </w:t>
            </w:r>
          </w:p>
        </w:tc>
        <w:tc>
          <w:tcPr>
            <w:tcW w:w="65" w:type="dxa"/>
            <w:tcBorders/>
            <w:shd w:fill="CCEEFF" w:val="clear"/>
            <w:vAlign w:val="center"/>
          </w:tcPr>
          <w:p>
            <w:pPr>
              <w:pStyle w:val="TableContents"/>
              <w:bidi w:val="0"/>
              <w:spacing w:before="0" w:after="0"/>
              <w:jc w:val="left"/>
              <w:rPr/>
            </w:pPr>
            <w:r>
              <w:rPr/>
              <w:t> </w:t>
            </w:r>
          </w:p>
        </w:tc>
        <w:tc>
          <w:tcPr>
            <w:tcW w:w="1065" w:type="dxa"/>
            <w:tcBorders/>
            <w:shd w:fill="CCEEFF" w:val="clear"/>
            <w:vAlign w:val="center"/>
          </w:tcPr>
          <w:p>
            <w:pPr>
              <w:pStyle w:val="TableContents"/>
              <w:bidi w:val="0"/>
              <w:spacing w:before="0" w:after="0"/>
              <w:jc w:val="right"/>
              <w:rPr/>
            </w:pPr>
            <w:r>
              <w:rPr/>
              <w:t>200,000</w:t>
            </w:r>
          </w:p>
        </w:tc>
        <w:tc>
          <w:tcPr>
            <w:tcW w:w="75" w:type="dxa"/>
            <w:tcBorders/>
            <w:shd w:fill="CCEEFF" w:val="clear"/>
            <w:vAlign w:val="center"/>
          </w:tcPr>
          <w:p>
            <w:pPr>
              <w:pStyle w:val="TableContents"/>
              <w:bidi w:val="0"/>
              <w:spacing w:before="0" w:after="0"/>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Goldman Sachs &amp; Co. LLC</w:t>
            </w:r>
          </w:p>
        </w:tc>
        <w:tc>
          <w:tcPr>
            <w:tcW w:w="120" w:type="dxa"/>
            <w:tcBorders/>
            <w:vAlign w:val="center"/>
          </w:tcPr>
          <w:p>
            <w:pPr>
              <w:pStyle w:val="TableContents"/>
              <w:bidi w:val="0"/>
              <w:spacing w:before="0" w:after="0"/>
              <w:jc w:val="left"/>
              <w:rPr/>
            </w:pPr>
            <w:r>
              <w:rPr/>
              <w:t>  </w:t>
            </w:r>
          </w:p>
        </w:tc>
        <w:tc>
          <w:tcPr>
            <w:tcW w:w="65"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0"/>
              <w:jc w:val="right"/>
              <w:rPr/>
            </w:pPr>
            <w:r>
              <w:rPr/>
              <w:t>200,000</w:t>
            </w:r>
          </w:p>
        </w:tc>
        <w:tc>
          <w:tcPr>
            <w:tcW w:w="75" w:type="dxa"/>
            <w:tcBorders/>
            <w:vAlign w:val="center"/>
          </w:tcPr>
          <w:p>
            <w:pPr>
              <w:pStyle w:val="TableContents"/>
              <w:bidi w:val="0"/>
              <w:spacing w:before="0" w:after="0"/>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J.P. Morgan Securities LLC</w:t>
            </w:r>
          </w:p>
        </w:tc>
        <w:tc>
          <w:tcPr>
            <w:tcW w:w="120" w:type="dxa"/>
            <w:tcBorders/>
            <w:shd w:fill="CCEEFF" w:val="clear"/>
            <w:vAlign w:val="center"/>
          </w:tcPr>
          <w:p>
            <w:pPr>
              <w:pStyle w:val="TableContents"/>
              <w:bidi w:val="0"/>
              <w:spacing w:before="0" w:after="0"/>
              <w:jc w:val="left"/>
              <w:rPr/>
            </w:pPr>
            <w:r>
              <w:rPr/>
              <w:t>  </w:t>
            </w:r>
          </w:p>
        </w:tc>
        <w:tc>
          <w:tcPr>
            <w:tcW w:w="65" w:type="dxa"/>
            <w:tcBorders/>
            <w:shd w:fill="CCEEFF" w:val="clear"/>
            <w:vAlign w:val="center"/>
          </w:tcPr>
          <w:p>
            <w:pPr>
              <w:pStyle w:val="TableContents"/>
              <w:bidi w:val="0"/>
              <w:spacing w:before="0" w:after="0"/>
              <w:jc w:val="left"/>
              <w:rPr/>
            </w:pPr>
            <w:r>
              <w:rPr/>
              <w:t> </w:t>
            </w:r>
          </w:p>
        </w:tc>
        <w:tc>
          <w:tcPr>
            <w:tcW w:w="1065" w:type="dxa"/>
            <w:tcBorders/>
            <w:shd w:fill="CCEEFF" w:val="clear"/>
            <w:vAlign w:val="center"/>
          </w:tcPr>
          <w:p>
            <w:pPr>
              <w:pStyle w:val="TableContents"/>
              <w:bidi w:val="0"/>
              <w:spacing w:before="0" w:after="0"/>
              <w:jc w:val="right"/>
              <w:rPr/>
            </w:pPr>
            <w:r>
              <w:rPr/>
              <w:t>200,000</w:t>
            </w:r>
          </w:p>
        </w:tc>
        <w:tc>
          <w:tcPr>
            <w:tcW w:w="75" w:type="dxa"/>
            <w:tcBorders/>
            <w:shd w:fill="CCEEFF" w:val="clear"/>
            <w:vAlign w:val="center"/>
          </w:tcPr>
          <w:p>
            <w:pPr>
              <w:pStyle w:val="TableContents"/>
              <w:bidi w:val="0"/>
              <w:spacing w:before="0" w:after="0"/>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0"/>
              <w:jc w:val="left"/>
              <w:rPr/>
            </w:pPr>
            <w:r>
              <w:rPr/>
              <w:t>  </w:t>
            </w:r>
          </w:p>
        </w:tc>
        <w:tc>
          <w:tcPr>
            <w:tcW w:w="65"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0"/>
              <w:jc w:val="right"/>
              <w:rPr/>
            </w:pPr>
            <w:r>
              <w:rPr/>
              <w:t>4,000,000</w:t>
            </w:r>
          </w:p>
        </w:tc>
        <w:tc>
          <w:tcPr>
            <w:tcW w:w="75" w:type="dxa"/>
            <w:tcBorders/>
            <w:vAlign w:val="center"/>
          </w:tcPr>
          <w:p>
            <w:pPr>
              <w:pStyle w:val="TableContents"/>
              <w:bidi w:val="0"/>
              <w:spacing w:before="0" w:after="0"/>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pPr>
            <w:r>
              <w:rPr/>
              <w:t> </w:t>
            </w:r>
          </w:p>
        </w:tc>
      </w:tr>
    </w:tbl>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Subject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We have agreed to indemnify the underwriters against certain liabilities, including liabilities under the Securities Act of 1933, as amended (the “Securities Act”), or to contribute to payments the underwriters may be required to make in respect of those liabilities.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underwriters may offer the shares of common stock from time to time for sale in one or more transactions on the NYSE, in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over-the-counter</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market, through negotiated transactions or otherwise at market prices prevailing at the time of sale, at prices related to prevailing market prices or at negotiated prices. The underwriters may effect such transactions by selling shares of common stock to or through dealers, and such dealers may receive compensation in the form of discounts, concessions or commissions from the underwriters and/or purchasers of shares of common stock for whom they may act as agents or to whom they may sell as principal.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expenses of the offering, not including the underwriting discount, are estimated at $0.5 million and are payable by us. </w:t>
      </w:r>
    </w:p>
    <w:p>
      <w:pPr>
        <w:pStyle w:val="TextBody"/>
        <w:bidi w:val="0"/>
        <w:spacing w:before="36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Underwriters’ Option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We have granted the underwriters an option to buy, within 30 days from the date of this prospectus supplement, up to 600,000 additional shares of common stock. If any shares are purchased pursuant to this option, the underwriters will purchase shares in approximately the same proportion as shown in the table above. If any additional shares of common stock are purchased, the underwriters will offer the additional shares on the same terms as those on which the shares are being offered.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S-15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No Sales of Similar Securities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Subject to certain exceptions, we have agreed not to directly or indirectly, (i) offer, pledge, sell, contract to sell, grant any option for the sale of or otherwise transfer or dispose of, directly or indirectly, or file with the SEC a registration statement under the Securities Act relating to, any shares of our common stock or securities convertible into or exchangeable or exercisable for any shares of our common stock (except for any “shelf” registration statements filed by us),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Morgan Stanley &amp; Co. LLC for a period of 30 days after the date of this prospectus supplement.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Our Adviser, our directors and certain of our executive officers have entered into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lock-up</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agreements with the underwriters prior to the commencement of this offering pursuant to which each of these persons or entities, with limited exceptions, for a period of 30 days after the date of this prospectus supplement, may not, subject to certain exceptions, without the prior written consent of Morgan Stanley &amp; Co. LLC, (1)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publicly disclose the intention to make any offer, sale, pledge or disposition,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w:t>
      </w:r>
    </w:p>
    <w:p>
      <w:pPr>
        <w:pStyle w:val="TextBody"/>
        <w:bidi w:val="0"/>
        <w:spacing w:before="36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NYSE Listing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shares are listed on the NYSE under the symbol “TSLX.” </w:t>
      </w:r>
    </w:p>
    <w:p>
      <w:pPr>
        <w:pStyle w:val="TextBody"/>
        <w:bidi w:val="0"/>
        <w:spacing w:before="36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Price Stabilization, Short Positions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connection with this offering, the underwriters may engage in stabilizing transactions, which may involve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from us,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their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S-16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sales load received by them.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These activities may have the effect of raising or maintaining the market price of our common stock or preventing or retarding a decline in the market price of our common stock, and, as a result, the price of our common stock may be higher than the price that otherwise might exist in the open market. If the underwriters commence these activities, they may discontinue them at any time. The underwriters may carry out these transactions on the NYSE, in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over-the-counter</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market or otherwise.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36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Electronic Distribution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 </w:t>
      </w:r>
    </w:p>
    <w:p>
      <w:pPr>
        <w:pStyle w:val="TextBody"/>
        <w:bidi w:val="0"/>
        <w:spacing w:before="36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Other Relationships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non-financial</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activities and services. Certain of the underwriters and their respective affiliates have provided, currently provide, and may in the future provide, a variety of these services to us and to persons and entities with relationships with us, for which they received or will receive customary fees and expenses. Certain of the underwriters and their affiliates were underwriters in connection with our IPO and our subsequent debt and equity offerings, for which they received customary fees. Additionally, affiliates of certain underwriters are lenders under the Revolving Credit Facility.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Any such credit default swaps or short positions could adversely affect future trading prices of our securities.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S-17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We intend to use the net proceeds of this offering to pay down a portion of the outstanding indebtedness under the Revolving Credit Facility and for general corporate purposes. 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Goldman Sachs &amp; Co. LLC is also acting as our agent for the Company stock repurchase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10b5-1</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Plan. </w:t>
      </w:r>
    </w:p>
    <w:p>
      <w:pPr>
        <w:pStyle w:val="TextBody"/>
        <w:bidi w:val="0"/>
        <w:spacing w:before="36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Principal Business Addresses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principal business address of Morgan Stanley &amp; Co. LLC is 1585 Broadway, New York, NY 10036. </w:t>
      </w:r>
    </w:p>
    <w:p>
      <w:pPr>
        <w:pStyle w:val="TextBody"/>
        <w:bidi w:val="0"/>
        <w:spacing w:before="36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Other Jurisdictions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36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Notice to Prospective Investors in the Dubai International Financial Centre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This prospectus supplement relates to an Exempt Offer in accordance with the Offered Securities Rules of the Dubai Financial Services Authority, or DFSA. This prospectus supplement is intended for distribution only to persons in the in the Dubai International Financial Centre, or DIFC of a type specified in the Offered Securities Rules of the DFSA. It must not be delivered to, or relied on by, any other person in the DIFC. The DFSA has no responsibility for reviewing or verifying any documents in connection with Exempt Offers. The DFSA has not approved this prospectus supplement nor taken steps to verify the information set forth herein and has no responsibility for the prospectus supplement. The common stock to which this prospectus supplement relates may be illiquid or subject to restrictions on their resale. Prospective purchasers of the common stock offered should conduct their own due diligence on the common stock. If you do not understand the contents of this prospectus supplement you should consult an authorized financial advisor. </w:t>
      </w:r>
    </w:p>
    <w:p>
      <w:pPr>
        <w:pStyle w:val="TextBody"/>
        <w:bidi w:val="0"/>
        <w:spacing w:before="36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Notice to Prospective Investors in Hong Kong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common stock has not been offered or sold and will not be offered or sold in Hong Kong, by means of any document, other than (a) to “professional investors” as defined in the Securities and Futures Ordinance (Cap. 571 of the Laws of Hong Kong) (“Securities and Futures Ordinance”) and any rules made thereunder; or (b) in other circumstances which do not result in the document being a “prospectus” as defined in the Companies (Winding Up and Miscellaneous Provisions) Ordinance (Cap. 32 of the Laws of Hong Kong) (“Companies (Winding Up and Miscellaneous Provisions) Ordinance”) or which do not constitute an offer to the public within the meaning of the Companies (Winding Up and Miscellaneous Provisions)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common stock which are or are intended to be disposed of only to persons outside Hong Kong or only to “professional investors” as defined in the Securities and Futures Ordinance and any rules made thereunder.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S-18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Notice to Prospective Investors in Canada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This prospectus constitutes an “exempt offering document” as defined in and for the purposes of applicable Canadian securities laws. No prospectus has been filed with any securities commission or similar regulatory authority in Canada in connection with the offer and sale of the shares. No securities commission or similar regulatory authority in Canada has reviewed or in any way passed upon this prospectus or on the merits of the shares and any representation to the contrary is an offence. </w:t>
      </w:r>
    </w:p>
    <w:p>
      <w:pPr>
        <w:pStyle w:val="TextBody"/>
        <w:bidi w:val="0"/>
        <w:spacing w:before="24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Canadian investors are advised that this prospectus has been prepared in reliance on section 3A.3 of National Instrument </w:t>
      </w:r>
    </w:p>
    <w:p>
      <w:pPr>
        <w:pStyle w:val="TextBody"/>
        <w:bidi w:val="0"/>
        <w:spacing w:before="240" w:after="0"/>
        <w:jc w:val="left"/>
        <w:rPr>
          <w:rFonts w:ascii="Times New Roman" w:hAnsi="Times New Roman"/>
          <w:b/>
          <w:spacing w:val="0"/>
          <w:sz w:val="20"/>
          <w:shd w:fill="FFFFFF" w:val="clear"/>
        </w:rPr>
      </w:pPr>
      <w:r>
        <w:rPr>
          <w:rFonts w:ascii="Times New Roman" w:hAnsi="Times New Roman"/>
          <w:b/>
          <w:spacing w:val="0"/>
          <w:sz w:val="20"/>
          <w:shd w:fill="FFFFFF" w:val="clear"/>
        </w:rPr>
        <w:t>33-105</w:t>
      </w:r>
    </w:p>
    <w:p>
      <w:pPr>
        <w:pStyle w:val="TextBody"/>
        <w:bidi w:val="0"/>
        <w:spacing w:before="24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Underwriting Conflicts</w:t>
      </w:r>
    </w:p>
    <w:p>
      <w:pPr>
        <w:pStyle w:val="TextBody"/>
        <w:bidi w:val="0"/>
        <w:spacing w:before="24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(“NI </w:t>
      </w:r>
    </w:p>
    <w:p>
      <w:pPr>
        <w:pStyle w:val="TextBody"/>
        <w:bidi w:val="0"/>
        <w:spacing w:before="240" w:after="0"/>
        <w:jc w:val="left"/>
        <w:rPr>
          <w:rFonts w:ascii="Times New Roman" w:hAnsi="Times New Roman"/>
          <w:b/>
          <w:spacing w:val="0"/>
          <w:sz w:val="20"/>
          <w:shd w:fill="FFFFFF" w:val="clear"/>
        </w:rPr>
      </w:pPr>
      <w:r>
        <w:rPr>
          <w:rFonts w:ascii="Times New Roman" w:hAnsi="Times New Roman"/>
          <w:b/>
          <w:spacing w:val="0"/>
          <w:sz w:val="20"/>
          <w:shd w:fill="FFFFFF" w:val="clear"/>
        </w:rPr>
        <w:t>33-105”).</w:t>
      </w:r>
    </w:p>
    <w:p>
      <w:pPr>
        <w:pStyle w:val="TextBody"/>
        <w:bidi w:val="0"/>
        <w:spacing w:before="24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Pursuant to section 3A.3 of NI </w:t>
      </w:r>
    </w:p>
    <w:p>
      <w:pPr>
        <w:pStyle w:val="TextBody"/>
        <w:bidi w:val="0"/>
        <w:spacing w:before="240" w:after="0"/>
        <w:jc w:val="left"/>
        <w:rPr>
          <w:rFonts w:ascii="Times New Roman" w:hAnsi="Times New Roman"/>
          <w:b/>
          <w:spacing w:val="0"/>
          <w:sz w:val="20"/>
          <w:shd w:fill="FFFFFF" w:val="clear"/>
        </w:rPr>
      </w:pPr>
      <w:r>
        <w:rPr>
          <w:rFonts w:ascii="Times New Roman" w:hAnsi="Times New Roman"/>
          <w:b/>
          <w:spacing w:val="0"/>
          <w:sz w:val="20"/>
          <w:shd w:fill="FFFFFF" w:val="clear"/>
        </w:rPr>
        <w:t>33-105,</w:t>
      </w:r>
    </w:p>
    <w:p>
      <w:pPr>
        <w:pStyle w:val="TextBody"/>
        <w:bidi w:val="0"/>
        <w:spacing w:before="24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w:t>
      </w:r>
    </w:p>
    <w:p>
      <w:pPr>
        <w:pStyle w:val="TextBody"/>
        <w:bidi w:val="0"/>
        <w:spacing w:before="240" w:after="0"/>
        <w:jc w:val="left"/>
        <w:rPr>
          <w:rFonts w:ascii="Times New Roman" w:hAnsi="Times New Roman"/>
          <w:b/>
          <w:spacing w:val="0"/>
          <w:sz w:val="20"/>
          <w:shd w:fill="FFFFFF" w:val="clear"/>
        </w:rPr>
      </w:pPr>
      <w:r>
        <w:rPr>
          <w:rFonts w:ascii="Times New Roman" w:hAnsi="Times New Roman"/>
          <w:b/>
          <w:spacing w:val="0"/>
          <w:sz w:val="20"/>
          <w:shd w:fill="FFFFFF" w:val="clear"/>
        </w:rPr>
        <w:t>33-105.</w:t>
      </w:r>
    </w:p>
    <w:p>
      <w:pPr>
        <w:pStyle w:val="TextBody"/>
        <w:bidi w:val="0"/>
        <w:spacing w:before="36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Resale Restrictions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offer and sale of the shares in Canada is being made on a private placement basis only and is exempt from the requirement that the company prepares and files a prospectus under applicable Canadian securities laws. Any resale of shares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shares outside of Canada. </w:t>
      </w:r>
    </w:p>
    <w:p>
      <w:pPr>
        <w:pStyle w:val="TextBody"/>
        <w:bidi w:val="0"/>
        <w:spacing w:before="36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Representations of Purchasers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Each Canadian investor who purchases the shares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45-106</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Prospectus Exemptions or, in Ontario, as such term is defined in section 73.3(1) of the Securities Act (Ontario); and (iii) a “permitted client” as such term is defined in section 1.1 of National Instrument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31-103</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Registration Requirements, Exemptions and Ongoing Registrant Obligations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w:t>
      </w:r>
    </w:p>
    <w:p>
      <w:pPr>
        <w:pStyle w:val="TextBody"/>
        <w:bidi w:val="0"/>
        <w:spacing w:before="36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Taxation and Eligibility for Investment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Any discussion of taxation and related matters contained in this prospectus does not purport to be a comprehensive description of all of the tax considerations that may be relevant to a Canadian investor when deciding to purchase the shares and, in particular, does not address any Canadian tax considerations. No representation or warranty is hereby made as to the tax consequences to a resident, or deemed resident, of Canada of an investment in the shares or with respect to the eligibility of the Notes for investment by such investor under relevant Canadian federal and provincial legislation and regulations. </w:t>
      </w:r>
    </w:p>
    <w:p>
      <w:pPr>
        <w:pStyle w:val="TextBody"/>
        <w:bidi w:val="0"/>
        <w:spacing w:before="36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Rights of Action for Damages or Rescission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Securities legislation in certain of the Canadian jurisdictions provides certain purchasers of securities pursuant to an offering memorandum (such as this prospectus), including where the distribution involves an “eligible foreign security” as such term is defined in Ontario Securities Commission Rule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45-501</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Ontario Prospectus and Registration Exemptions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and in Multilateral Instrument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45-107</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Listing Representation and Statutory Rights of Action Disclosure Exemptions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as applicable, with a remedy for damages or rescission, or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S-19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 </w:t>
      </w:r>
    </w:p>
    <w:p>
      <w:pPr>
        <w:pStyle w:val="TextBody"/>
        <w:bidi w:val="0"/>
        <w:spacing w:before="36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Language of Documents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Par la réception de ce document, chaque investisseur canadien confirme par les présentes qu’il a expressément exigé que tous les documents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faisantfoi ou se rapportant de quelque manière que ce soit à la vente des valeurs mobilières décrites aux présentes (incluant, pour plus de certitude, toute confirmation d’achat ou tout avis) soient rédigés en anglais seulement.</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S-20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Legal Matters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Certain legal matters in connection with the offering will be passed upon for us by Simpson Thacher &amp; Bartlett LLP, Washington, D.C. In addition, Morris, Nichols, Arsht &amp; Tunnell LLP will pass on certain legal matters for us. Certain legal matters in connection with the offering will be passed upon for the underwriters by Ropes &amp; Gray LLP.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S-21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Information Incorporated By Reference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 </w:t>
      </w:r>
    </w:p>
    <w:p>
      <w:pPr>
        <w:pStyle w:val="TextBody"/>
        <w:bidi w:val="0"/>
        <w:spacing w:before="0" w:after="0"/>
        <w:ind w:left="0" w:right="0" w:hanging="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 xml:space="preserve">Form </w:t>
              </w:r>
            </w:hyperlink>
            <w:hyperlink r:id="rId4">
              <w:r>
                <w:rPr>
                  <w:rStyle w:val="InternetLink"/>
                  <w:rFonts w:ascii="Times New Roman" w:hAnsi="Times New Roman"/>
                  <w:spacing w:val="0"/>
                  <w:sz w:val="20"/>
                </w:rPr>
                <w:t>10-K</w:t>
              </w:r>
            </w:hyperlink>
            <w:r>
              <w:rPr>
                <w:rFonts w:ascii="Times New Roman" w:hAnsi="Times New Roman"/>
                <w:sz w:val="20"/>
              </w:rPr>
              <w:t xml:space="preserve"> for the fiscal year ended December 31, 2023, filed with the SEC on February 15, 2024 (the “2023 Annual Report”); </w:t>
            </w:r>
          </w:p>
        </w:tc>
      </w:tr>
    </w:tbl>
    <w:p>
      <w:pPr>
        <w:pStyle w:val="TextBody"/>
        <w:bidi w:val="0"/>
        <w:spacing w:before="0" w:after="0"/>
        <w:ind w:left="0" w:right="0" w:hanging="0"/>
        <w:jc w:val="left"/>
        <w:rPr>
          <w:shd w:fill="FFFFFF" w:val="clear"/>
        </w:rPr>
      </w:pPr>
      <w:r>
        <w:rPr>
          <w:shd w:fill="FFFFFF" w:val="clea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pPr>
            <w:r>
              <w:rPr>
                <w:rFonts w:ascii="Times New Roman" w:hAnsi="Times New Roman"/>
                <w:sz w:val="20"/>
              </w:rPr>
              <w:t xml:space="preserve">our Current Report on </w:t>
            </w:r>
            <w:hyperlink r:id="rId5">
              <w:r>
                <w:rPr>
                  <w:rStyle w:val="InternetLink"/>
                  <w:rFonts w:ascii="Times New Roman" w:hAnsi="Times New Roman"/>
                  <w:sz w:val="20"/>
                </w:rPr>
                <w:t xml:space="preserve">Form </w:t>
              </w:r>
            </w:hyperlink>
            <w:hyperlink r:id="rId6">
              <w:r>
                <w:rPr>
                  <w:rStyle w:val="InternetLink"/>
                  <w:rFonts w:ascii="Times New Roman" w:hAnsi="Times New Roman"/>
                  <w:spacing w:val="0"/>
                  <w:sz w:val="20"/>
                </w:rPr>
                <w:t>8-K</w:t>
              </w:r>
            </w:hyperlink>
            <w:r>
              <w:rPr>
                <w:rFonts w:ascii="Times New Roman" w:hAnsi="Times New Roman"/>
                <w:sz w:val="20"/>
              </w:rPr>
              <w:t xml:space="preserve">, filed with the SEC on January 16, 2024; and </w:t>
            </w:r>
          </w:p>
        </w:tc>
      </w:tr>
    </w:tbl>
    <w:p>
      <w:pPr>
        <w:pStyle w:val="TextBody"/>
        <w:bidi w:val="0"/>
        <w:spacing w:before="0" w:after="0"/>
        <w:ind w:left="0" w:right="0" w:hanging="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specifically incorporated by reference into the Annual Report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10-K</w:t>
            </w:r>
          </w:p>
          <w:p>
            <w:pPr>
              <w:pStyle w:val="TableContents"/>
              <w:bidi w:val="0"/>
              <w:spacing w:before="0" w:after="0"/>
              <w:jc w:val="left"/>
              <w:rPr/>
            </w:pPr>
            <w:r>
              <w:rPr>
                <w:rFonts w:ascii="Times New Roman" w:hAnsi="Times New Roman"/>
                <w:sz w:val="20"/>
              </w:rPr>
              <w:t xml:space="preserve">for the fiscal year ended December 31, 2022, filed with the SEC on February 16, 2023 from our Definitive Proxy Statement on </w:t>
            </w:r>
            <w:hyperlink r:id="rId7">
              <w:r>
                <w:rPr>
                  <w:rStyle w:val="InternetLink"/>
                  <w:rFonts w:ascii="Times New Roman" w:hAnsi="Times New Roman"/>
                  <w:sz w:val="20"/>
                </w:rPr>
                <w:t>Schedule 14A</w:t>
              </w:r>
            </w:hyperlink>
            <w:r>
              <w:rPr>
                <w:rFonts w:ascii="Times New Roman" w:hAnsi="Times New Roman"/>
                <w:sz w:val="20"/>
              </w:rPr>
              <w:t xml:space="preserve"> relating to our 2023 Annual Meeting of Stockholders, filed with the SEC on April 13, 2023.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8-K</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 </w:t>
      </w:r>
    </w:p>
    <w:p>
      <w:pPr>
        <w:pStyle w:val="TextBody"/>
        <w:bidi w:val="0"/>
        <w:spacing w:before="24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Sixth Street Specialty Lending, Inc.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888 7th Avenue, 41st Floor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New York, NY 10106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Attention: TSLXInvestor Relations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Email: IRTSLX@sixthstreet.com.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 </w:t>
      </w:r>
    </w:p>
    <w:p>
      <w:pPr>
        <w:pStyle w:val="TextBody"/>
        <w:bidi w:val="0"/>
        <w:spacing w:before="0" w:after="0"/>
        <w:ind w:left="0" w:right="0" w:hanging="0"/>
        <w:jc w:val="left"/>
        <w:rPr>
          <w:shd w:fill="FFFFFF" w:val="clear"/>
        </w:rPr>
      </w:pPr>
      <w:r>
        <w:rPr>
          <w:shd w:fill="FFFFFF" w:val="clear"/>
        </w:rPr>
        <w:t> </w:t>
      </w:r>
    </w:p>
    <w:p>
      <w:pPr>
        <w:pStyle w:val="TextBody"/>
        <w:bidi w:val="0"/>
        <w:ind w:left="0" w:right="0" w:hanging="0"/>
        <w:jc w:val="center"/>
        <w:rPr>
          <w:rFonts w:ascii="Times New Roman" w:hAnsi="Times New Roman"/>
          <w:sz w:val="20"/>
          <w:shd w:fill="FFFFFF" w:val="clear"/>
        </w:rPr>
      </w:pPr>
      <w:r>
        <w:rPr>
          <w:rFonts w:ascii="Times New Roman" w:hAnsi="Times New Roman"/>
          <w:sz w:val="20"/>
          <w:shd w:fill="FFFFFF" w:val="clear"/>
        </w:rPr>
        <w:t xml:space="preserve">S-22 </w:t>
      </w:r>
      <w:r>
        <w:br w:type="page"/>
      </w:r>
    </w:p>
    <w:p>
      <w:pPr>
        <w:pStyle w:val="HorizontalLine"/>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95580" cy="609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195580" cy="609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Sixth Street Specialty Lending,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Subscription Rights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are a specialty finance company focused on lending to middle-market companies that has elected to be regulated as a business development company under the Investment Company Act of 1940.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EBITDA, which we believe is a useful proxy for cash flow, of $10 million to $250 million, although we may invest in larger or smaller companies on occasion As of September 30, 2023, our investment portfolio consisted of investments in 131 portfolio companies (including 42 structured credit investments, which include each series of collateralized loan obligation as a separate portfolio company investment) with an aggregate fair value of $3,113.3 million. We intend to continue to pursue an investment strategy focused primarily on direct origination of loans to middle-market companies domiciled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We are an externally-managed, closed-end, non-diversified management investment company. Sixth Street Specialty Lending Advisers, LLC, or the Adviser, acts as our investment adviser and administrator. Our investment decisions are made by our Investment Review Committee, which includes senior personnel of our Adviser and Sixth Street Partners, LLC or “Sixth Street.” Sixth Street is a global investment business with over $60 billion of assets under management as of September 30, 2023. </w:t>
      </w:r>
    </w:p>
    <w:p>
      <w:pPr>
        <w:pStyle w:val="TextBody"/>
        <w:bidi w:val="0"/>
        <w:spacing w:before="240" w:after="0"/>
        <w:jc w:val="left"/>
        <w:rPr>
          <w:rFonts w:ascii="Times New Roman" w:hAnsi="Times New Roman"/>
          <w:sz w:val="20"/>
        </w:rPr>
      </w:pPr>
      <w:r>
        <w:rPr>
          <w:rFonts w:ascii="Times New Roman" w:hAnsi="Times New Roman"/>
          <w:sz w:val="20"/>
        </w:rPr>
        <w:t xml:space="preserve">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 </w:t>
      </w:r>
    </w:p>
    <w:p>
      <w:pPr>
        <w:pStyle w:val="TextBody"/>
        <w:bidi w:val="0"/>
        <w:spacing w:before="240" w:after="0"/>
        <w:jc w:val="left"/>
        <w:rPr>
          <w:rFonts w:ascii="Times New Roman" w:hAnsi="Times New Roman"/>
          <w:sz w:val="20"/>
        </w:rPr>
      </w:pPr>
      <w:r>
        <w:rPr>
          <w:rFonts w:ascii="Times New Roman" w:hAnsi="Times New Roman"/>
          <w:sz w:val="20"/>
        </w:rPr>
        <w:t xml:space="preserve">Substantially all of our debt investments have variable interest rates that reset periodically based on interest rate benchmarks such as the London Interbank Offered Rate, the Euro Interbank Offered Rate, the Secured Overnight Financing Rate, the Sterling Overnight Interbank Average Rate, the Federal Funds Effective Rate or the Prime Rate. As a result, significant increases in such interest rate benchmarks in the future would make it more difficult for these borrowers to service their obligations under the debt investments that we hold. </w:t>
      </w:r>
    </w:p>
    <w:p>
      <w:pPr>
        <w:pStyle w:val="TextBody"/>
        <w:bidi w:val="0"/>
        <w:spacing w:before="240" w:after="0"/>
        <w:jc w:val="left"/>
        <w:rPr>
          <w:rFonts w:ascii="Times New Roman" w:hAnsi="Times New Roman"/>
          <w:sz w:val="20"/>
        </w:rPr>
      </w:pPr>
      <w:r>
        <w:rPr>
          <w:rFonts w:ascii="Times New Roman" w:hAnsi="Times New Roman"/>
          <w:sz w:val="20"/>
        </w:rPr>
        <w:t xml:space="preserve">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convertible or exchangeable into shares of our common stock. The securities may be offered at prices and on terms to be described in one or more supplements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traded on the New York Stock Exchange, or NYSE, under the symbol “TSLX.” On December 20, 2023, the last reported sales price of our common stock on the NYSE was $21.08 per share. The net asset value per share of our common stock at September 30, 2023 (the last date prior to the date of this prospectus for which we reported net asset value) was $16.97. </w:t>
      </w:r>
    </w:p>
    <w:p>
      <w:pPr>
        <w:pStyle w:val="TextBody"/>
        <w:bidi w:val="0"/>
        <w:spacing w:before="240" w:after="0"/>
        <w:jc w:val="left"/>
        <w:rPr/>
      </w:pPr>
      <w:r>
        <w:rPr>
          <w:rFonts w:ascii="Times New Roman" w:hAnsi="Times New Roman"/>
          <w:b/>
          <w:sz w:val="24"/>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toc570824_5">
        <w:r>
          <w:rPr>
            <w:rStyle w:val="InternetLink"/>
            <w:rFonts w:ascii="Times New Roman" w:hAnsi="Times New Roman"/>
            <w:b/>
            <w:sz w:val="24"/>
          </w:rPr>
          <w:t>Risk Factors</w:t>
        </w:r>
      </w:hyperlink>
      <w:r>
        <w:rPr>
          <w:rFonts w:ascii="Times New Roman" w:hAnsi="Times New Roman"/>
          <w:b/>
          <w:sz w:val="24"/>
        </w:rPr>
        <w:t xml:space="preserve">“ beginning on page 24 of this prospectus and in the documents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consummate sales of our securities unless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41st Floor, New York, NY 10106, Attention: TSLX Investor Relations, by emailing us at IRTSLX@sixthstreet.com or visiting our website at https://sixthstreetspecialtylending.gcs-web.com/. Information on our website is not incorporated into or a part of this prospectus or any prospectus supplement. The Securities and Exchange Commission also maintains a website at http://www.sec.gov that contains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and Exchange Commission has not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December 22, 2023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6635"/>
        <w:gridCol w:w="120"/>
        <w:gridCol w:w="60"/>
        <w:gridCol w:w="260"/>
        <w:gridCol w:w="75"/>
      </w:tblGrid>
      <w:tr>
        <w:trPr/>
        <w:tc>
          <w:tcPr>
            <w:tcW w:w="6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570824_1">
              <w:r>
                <w:rPr>
                  <w:rStyle w:val="InternetLink"/>
                  <w:rFonts w:ascii="Times New Roman" w:hAnsi="Times New Roman"/>
                  <w:sz w:val="20"/>
                </w:rPr>
                <w:t>ABOUT THIS PROSPECTUS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i</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2">
              <w:r>
                <w:rPr>
                  <w:rStyle w:val="InternetLink"/>
                  <w:rFonts w:ascii="Times New Roman" w:hAnsi="Times New Roman"/>
                  <w:sz w:val="20"/>
                </w:rPr>
                <w:t>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3">
              <w:r>
                <w:rPr>
                  <w:rStyle w:val="InternetLink"/>
                  <w:rFonts w:ascii="Times New Roman" w:hAnsi="Times New Roman"/>
                  <w:sz w:val="20"/>
                </w:rPr>
                <w:t>THE OFFERING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4">
              <w:r>
                <w:rPr>
                  <w:rStyle w:val="InternetLink"/>
                  <w:rFonts w:ascii="Times New Roman" w:hAnsi="Times New Roman"/>
                  <w:sz w:val="20"/>
                </w:rPr>
                <w:t>FEES AND EXPENSES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4a">
              <w:r>
                <w:rPr>
                  <w:rStyle w:val="InternetLink"/>
                  <w:rFonts w:ascii="Times New Roman" w:hAnsi="Times New Roman"/>
                  <w:sz w:val="20"/>
                </w:rPr>
                <w:t>FINANCIAL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5">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6">
              <w:r>
                <w:rPr>
                  <w:rStyle w:val="InternetLink"/>
                  <w:rFonts w:ascii="Times New Roman" w:hAnsi="Times New Roman"/>
                  <w:sz w:val="20"/>
                </w:rPr>
                <w:t>SPECIAL NOTE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7">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8">
              <w:r>
                <w:rPr>
                  <w:rStyle w:val="InternetLink"/>
                  <w:rFonts w:ascii="Times New Roman" w:hAnsi="Times New Roman"/>
                  <w:sz w:val="20"/>
                </w:rPr>
                <w:t>PRICE RANGE OF COMMON STOCK AND DISTRIBUTIONS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9">
              <w:r>
                <w:rPr>
                  <w:rStyle w:val="InternetLink"/>
                  <w:rFonts w:ascii="Times New Roman" w:hAnsi="Times New Roman"/>
                  <w:sz w:val="20"/>
                </w:rPr>
                <w:t>SENIOR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10">
              <w:r>
                <w:rPr>
                  <w:rStyle w:val="InternetLink"/>
                  <w:rFonts w:ascii="Times New Roman" w:hAnsi="Times New Roman"/>
                  <w:sz w:val="20"/>
                </w:rPr>
                <w:t>PORTFOLIO COMPANIES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11">
              <w:r>
                <w:rPr>
                  <w:rStyle w:val="InternetLink"/>
                  <w:rFonts w:ascii="Times New Roman" w:hAnsi="Times New Roman"/>
                  <w:sz w:val="20"/>
                </w:rPr>
                <w:t>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12">
              <w:r>
                <w:rPr>
                  <w:rStyle w:val="InternetLink"/>
                  <w:rFonts w:ascii="Times New Roman" w:hAnsi="Times New Roman"/>
                  <w:sz w:val="20"/>
                </w:rPr>
                <w:t>DETERMINATION OF NET ASSET VALUE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13">
              <w:r>
                <w:rPr>
                  <w:rStyle w:val="InternetLink"/>
                  <w:rFonts w:ascii="Times New Roman" w:hAnsi="Times New Roman"/>
                  <w:sz w:val="20"/>
                </w:rPr>
                <w:t>SALES OF COMMON STOCK BELOW NET ASSET VALUE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14">
              <w:r>
                <w:rPr>
                  <w:rStyle w:val="InternetLink"/>
                  <w:rFonts w:ascii="Times New Roman" w:hAnsi="Times New Roman"/>
                  <w:sz w:val="20"/>
                </w:rPr>
                <w:t>DIVIDEND REINVESTMENT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15">
              <w:r>
                <w:rPr>
                  <w:rStyle w:val="InternetLink"/>
                  <w:rFonts w:ascii="Times New Roman" w:hAnsi="Times New Roman"/>
                  <w:sz w:val="20"/>
                </w:rPr>
                <w:t>MATERIAL U.S. FEDERAL INCOME TAX CONSIDERATIONS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16">
              <w:r>
                <w:rPr>
                  <w:rStyle w:val="InternetLink"/>
                  <w:rFonts w:ascii="Times New Roman" w:hAnsi="Times New Roman"/>
                  <w:sz w:val="20"/>
                </w:rPr>
                <w:t>DESCRIPTION OF OUR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17">
              <w:r>
                <w:rPr>
                  <w:rStyle w:val="InternetLink"/>
                  <w:rFonts w:ascii="Times New Roman" w:hAnsi="Times New Roman"/>
                  <w:sz w:val="20"/>
                </w:rPr>
                <w:t>DESCRIPTION OF OUR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18">
              <w:r>
                <w:rPr>
                  <w:rStyle w:val="InternetLink"/>
                  <w:rFonts w:ascii="Times New Roman" w:hAnsi="Times New Roman"/>
                  <w:sz w:val="20"/>
                </w:rPr>
                <w:t>DESCRIPTION OF OUR PREFERRED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19">
              <w:r>
                <w:rPr>
                  <w:rStyle w:val="InternetLink"/>
                  <w:rFonts w:ascii="Times New Roman" w:hAnsi="Times New Roman"/>
                  <w:sz w:val="20"/>
                </w:rPr>
                <w:t>DESCRIPTION OF OUR SUBSCRIPTION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77</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20">
              <w:r>
                <w:rPr>
                  <w:rStyle w:val="InternetLink"/>
                  <w:rFonts w:ascii="Times New Roman" w:hAnsi="Times New Roman"/>
                  <w:sz w:val="20"/>
                </w:rPr>
                <w:t>DESCRIPTION OF OUR WARRANTS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79</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21">
              <w:r>
                <w:rPr>
                  <w:rStyle w:val="InternetLink"/>
                  <w:rFonts w:ascii="Times New Roman" w:hAnsi="Times New Roman"/>
                  <w:sz w:val="20"/>
                </w:rPr>
                <w:t>DESCRIPTION OF OUR DEBT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22">
              <w:r>
                <w:rPr>
                  <w:rStyle w:val="InternetLink"/>
                  <w:rFonts w:ascii="Times New Roman" w:hAnsi="Times New Roman"/>
                  <w:sz w:val="20"/>
                </w:rPr>
                <w:t>CUSTODIAN, TRANSFER AND DIVIDEND PAYING AGENT AND REGISTRAR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93</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23">
              <w:r>
                <w:rPr>
                  <w:rStyle w:val="InternetLink"/>
                  <w:rFonts w:ascii="Times New Roman" w:hAnsi="Times New Roman"/>
                  <w:sz w:val="20"/>
                </w:rPr>
                <w:t>BROKERAGE ALLOCATION AND OTHER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93</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24">
              <w:r>
                <w:rPr>
                  <w:rStyle w:val="InternetLink"/>
                  <w:rFonts w:ascii="Times New Roman" w:hAnsi="Times New Roman"/>
                  <w:sz w:val="20"/>
                </w:rPr>
                <w:t>PLAN OF DISTRIBUTION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25">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95</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26">
              <w:r>
                <w:rPr>
                  <w:rStyle w:val="InternetLink"/>
                  <w:rFonts w:ascii="Times New Roman" w:hAnsi="Times New Roman"/>
                  <w:sz w:val="20"/>
                </w:rPr>
                <w:t>EXPERTS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96</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27">
              <w:r>
                <w:rPr>
                  <w:rStyle w:val="InternetLink"/>
                  <w:rFonts w:ascii="Times New Roman" w:hAnsi="Times New Roman"/>
                  <w:sz w:val="20"/>
                </w:rPr>
                <w:t>AVAILABLE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97</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toc570824_28">
              <w:r>
                <w:rPr>
                  <w:rStyle w:val="InternetLink"/>
                  <w:rFonts w:ascii="Times New Roman" w:hAnsi="Times New Roman"/>
                  <w:sz w:val="20"/>
                </w:rPr>
                <w:t>INFORMATION INCORPORATED BY REFERENCE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97</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 </w:t>
      </w:r>
    </w:p>
    <w:p>
      <w:pPr>
        <w:pStyle w:val="TextBody"/>
        <w:bidi w:val="0"/>
        <w:spacing w:before="360" w:after="0"/>
        <w:jc w:val="left"/>
        <w:rPr>
          <w:rFonts w:ascii="Times New Roman" w:hAnsi="Times New Roman"/>
          <w:b/>
          <w:sz w:val="20"/>
        </w:rPr>
      </w:pPr>
      <w:bookmarkStart w:id="2" w:name="toc570824_1"/>
      <w:bookmarkEnd w:id="2"/>
      <w:r>
        <w:rPr>
          <w:rFonts w:ascii="Times New Roman" w:hAnsi="Times New Roman"/>
          <w:b/>
          <w:sz w:val="20"/>
        </w:rPr>
        <w:t xml:space="preserve">ABOUT THIS PROSPECTUS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is part of an automatic shelf registration statement that we filed with the U.S. Securities and Exchange Commission, or SEC, as a “well-known seasoned issuer” as defined in Rule 405 under the Securities Act of 1933, as amended (the “Securities Act”). Under the shelf registration process, which constitutes a delayed offering in reliance on Rule 415 under the Securities Act, we may offer, from time to time, in one or more offerings of our common stock, preferred stock, debt securities, subscription rights to purchase shares of our common stock, or warrants representing rights to purchase shares of our common stock, preferred stock or debt securities, on terms to be determined at the time of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3" w:name="toc570824_2"/>
      <w:bookmarkEnd w:id="3"/>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used in the prospectus, except where the context suggests otherwise, references to: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TSLX,” “Sixth Street Specialty Lending,” “we,” “us,” “our,” the “Company,” and the “Registrant” refer to Sixth Street Specialty Lending, Inc., a Delaware corporation, and its consolidated subsidiaries;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consolidated subsidiaries of Sixth Street Specialty Lending, Inc. refers to TC Lending, LLC, Sixth Street SL SPV, LLC and Sixth Street SL Holding, LLC, each a Delaware limited liability company, and Sixth Street Specialty Lending Sub, LLC, a Cayman Islands limited liability company; </w:t>
            </w:r>
          </w:p>
        </w:tc>
      </w:tr>
    </w:tbl>
    <w:p>
      <w:pPr>
        <w:pStyle w:val="TextBody"/>
        <w:bidi w:val="0"/>
        <w:spacing w:before="0" w:after="0"/>
        <w:jc w:val="left"/>
        <w:rPr>
          <w:bdr w:val="single" w:sz="8" w:space="1" w:color="000000"/>
        </w:rPr>
      </w:pPr>
      <w:r>
        <w:rPr>
          <w:bdr w:val="single" w:sz="8" w:space="1" w:color="000000"/>
        </w:rPr>
        <w:t> </w:t>
      </w:r>
    </w:p>
    <w:tbl>
      <w:tblPr>
        <w:tblW w:w="9100" w:type="dxa"/>
        <w:jc w:val="left"/>
        <w:tblInd w:w="0" w:type="dxa"/>
        <w:tblLayout w:type="fixed"/>
        <w:tblCellMar>
          <w:top w:w="0" w:type="dxa"/>
          <w:left w:w="0" w:type="dxa"/>
          <w:bottom w:w="0" w:type="dxa"/>
          <w:right w:w="0" w:type="dxa"/>
        </w:tblCellMar>
      </w:tblPr>
      <w:tblGrid>
        <w:gridCol w:w="75"/>
        <w:gridCol w:w="110"/>
        <w:gridCol w:w="60"/>
        <w:gridCol w:w="8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0"/>
              <w:jc w:val="left"/>
              <w:rPr/>
            </w:pPr>
            <w:r>
              <w:rPr/>
              <w:t>“</w:t>
            </w:r>
            <w:r>
              <w:rPr>
                <w:rFonts w:ascii="Times New Roman" w:hAnsi="Times New Roman"/>
                <w:sz w:val="20"/>
              </w:rPr>
              <w:t xml:space="preserve">Adviser” refers to Sixth Street Specialty Lending Advisers, LLC, a Delaware limited liability company; and </w:t>
            </w:r>
          </w:p>
        </w:tc>
      </w:tr>
    </w:tbl>
    <w:p>
      <w:pPr>
        <w:pStyle w:val="TextBody"/>
        <w:bidi w:val="0"/>
        <w:spacing w:before="0" w:after="0"/>
        <w:jc w:val="left"/>
        <w:rPr>
          <w:bdr w:val="single" w:sz="8" w:space="1" w:color="000000"/>
        </w:rPr>
      </w:pPr>
      <w:r>
        <w:rPr>
          <w:bdr w:val="single" w:sz="8" w:space="1" w:color="000000"/>
        </w:rPr>
        <w:t> </w:t>
      </w:r>
    </w:p>
    <w:tbl>
      <w:tblPr>
        <w:tblW w:w="4345" w:type="dxa"/>
        <w:jc w:val="left"/>
        <w:tblInd w:w="0" w:type="dxa"/>
        <w:tblLayout w:type="fixed"/>
        <w:tblCellMar>
          <w:top w:w="0" w:type="dxa"/>
          <w:left w:w="0" w:type="dxa"/>
          <w:bottom w:w="0" w:type="dxa"/>
          <w:right w:w="0" w:type="dxa"/>
        </w:tblCellMar>
      </w:tblPr>
      <w:tblGrid>
        <w:gridCol w:w="75"/>
        <w:gridCol w:w="110"/>
        <w:gridCol w:w="60"/>
        <w:gridCol w:w="4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jc w:val="left"/>
              <w:rPr/>
            </w:pPr>
            <w:r>
              <w:rPr/>
              <w:t>“</w:t>
            </w:r>
            <w:r>
              <w:rPr>
                <w:rFonts w:ascii="Times New Roman" w:hAnsi="Times New Roman"/>
                <w:sz w:val="20"/>
              </w:rPr>
              <w:t xml:space="preserve">Sixth Street” refers to Sixth Street Partners, LLC.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Sixth Street Specialty Lending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specialty finance company focused on lending to middle-market companies. Since we began our investment activities in July 2011, through September 30, 2023, we have originated more than $28.6 billion aggregate principal amount of investments and retained approximately $9.8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September 30, 2023 our core portfolio companies, which excludes certain investments that fall outside of our typical borrower profile and represent 92.8% of our total investments based on fair value, had weighted average annual revenue of $209.0 million and weighted average annual EBITDA of $69.2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generate revenues primarily in the form of interest income from the investments we hold. In addition, we may generate income from dividends on direct equity investments, capital gains on the sale of investments and various loan origination and other fees.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Investment Portfolio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September 30, 2023, based on fair value our portfolio consisted of 91.0% first-lien debt investments, 1.3% second-lien debt investments, 1.2% mezzanine debt investments, 4.8% equity and other investments and 1.7% structured credit investments. As of September 30, 2023, 99.7% of our debt investments based on fair value bore interest at floating rates, with 100.0% of these subject to interest rate floors, which we believe helps act as a portfolio-wide hedge against inflation.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September 30, 2023, we had investments in 131 portfolio companies (including 42 structured credit investments, which include each series of collateralized loan obligation as a separate portfolio company investment) with an aggregate fair value of $3,113.3 million. For the three months ended September 30, 2023, the principal amount of new investments funded was $151.6 million in eight new portfolio companies and two existing portfolio companies. For this period, we had $158.9 million aggregate principal amount in exits and repayments.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December 31, 2022, we had investments in 121 portfolio companies with an aggregate fair value of $2,787.9 million. For the three months ended September 30, 2022, the principal amount of new investments funded was $274.4 million in twenty-five new portfolio companies and six existing portfolio companies. For this period, we had $15.8 million aggregate principal amount in exits and repayments.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September 30, 2023, the largest single investment based on fair value represented 2.5% of our total investment portfolio. As of September 30, 2023, the average investment size in each of our portfolio companies was approximately $23.8 million based on fair value. Portfolio companies includes investments in structured products including each series of collateralized loan obligation as a portfolio company investment. When excluding investments in structured products the average investment in our remaining portfolio companies was approximately $34.4 million as of September 30, 2023. As of September 30, 2023, the largest industry represented 15.7% of our total portfolio based on fair value.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we began investing in 2011 through September 30, 2023, weighted by capital invested, our exited investments have generated an average realized gross internal rate of return to us of 17.5% (based on total capital invested of $6.9 billion and total proceeds from these exited investments of $8.7 billion). Ninety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September 30, 2023 (“3Q 2023 Quarterly Report”), which is incorporated by reference in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Sixth Street Specialty Lending, Inc. is a Delaware corporation formed on July 21, 2010. Sixth Street Specialty Lending Advisers, LLC is our external manager.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2022 (the “2022 Annual Report”) for more information on these requirements.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About Our Adviser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Adviser is a Delaware limited liability company. Our Adviser acts as our investment adviser and administrator and is a registered investment adviser with the Securities and Exchange Commission (the “SEC”) under the Investment Advisers Act of 1940, as amended, or the Advisers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Sixth Street is a global investment business with over $75 billion of assets under management as of September 30, 2023.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520 investment and operating professionals. As of September 30, 2023, sixty-seven (67) of these personnel are dedicated to our business, including fifty-three (53) investment professionals.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About Our Administrator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November 2023, the Board renewed the Administration Agreement. Unless earlier terminated as described below, the Administration Agreement will remain in effect until November 2024, and may be extended subject to required approvals. The Administration Agreement may be terminated by either party without penalty on 60 days’ written notice to the other party.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the section entitled “Administration Agreement” in Note 3 to our consolidated financial statements in our 3Q 2023 Quarterly Report.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Market Opportunity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investment objective is to generate current income by targeting investments with favorable risk-adjusted returns. We believe the middle-market lending environment provides opportunities for us to meet this objective as a result of a combination of the following factors: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Limited availability of capital for middle-market companies</w:t>
      </w:r>
      <w:r>
        <w:rPr>
          <w:rFonts w:ascii="Times New Roman" w:hAnsi="Times New Roman"/>
          <w:sz w:val="20"/>
          <w:bdr w:val="single" w:sz="8" w:space="1" w:color="000000"/>
        </w:rPr>
        <w:t xml:space="preserve">. We believe that certain structural changes in the market have reduced the 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Strong demand for debt capital</w:t>
      </w:r>
      <w:r>
        <w:rPr>
          <w:rFonts w:ascii="Times New Roman" w:hAnsi="Times New Roman"/>
          <w:sz w:val="20"/>
          <w:bdr w:val="single" w:sz="8" w:space="1" w:color="000000"/>
        </w:rPr>
        <w:t xml:space="preserve">. We believe middle-market companies will continue to require access to debt capital to refinance existing debt, support growth and finance acquisitions. In addition, we believe the large amount of uninvested capital held by funds of private equity firms, estimated by Preqin Ltd., an alternative assets industry data and research company, at over $2.7 trillion as of December 12, 2023, will continue to drive deal activity. We expect that private equity firms will continue to pursue acquisitions and to seek to leverage their equity investments with secured loans provided by companies such as ours.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i/>
          <w:sz w:val="20"/>
          <w:bdr w:val="single" w:sz="8" w:space="1" w:color="000000"/>
        </w:rPr>
        <w:t>Attractive investment dynamics</w:t>
      </w:r>
      <w:r>
        <w:rPr>
          <w:rFonts w:ascii="Times New Roman" w:hAnsi="Times New Roman"/>
          <w:sz w:val="20"/>
          <w:bdr w:val="single" w:sz="8" w:space="1" w:color="000000"/>
        </w:rPr>
        <w:t xml:space="preserve">. An imbalance between the supply of, and demand for, middle-market debt capital creates attractive pricing 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Conservative capital structures</w:t>
      </w:r>
      <w:r>
        <w:rPr>
          <w:rFonts w:ascii="Times New Roman" w:hAnsi="Times New Roman"/>
          <w:sz w:val="20"/>
          <w:bdr w:val="single" w:sz="8" w:space="1" w:color="000000"/>
        </w:rPr>
        <w:t xml:space="preserve">. Following the credit crisis, which we define broadly as occurring between mid-2007 and mid-2009, 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Specialized lending requirements</w:t>
      </w:r>
      <w:r>
        <w:rPr>
          <w:rFonts w:ascii="Times New Roman" w:hAnsi="Times New Roman"/>
          <w:sz w:val="20"/>
          <w:bdr w:val="single" w:sz="8" w:space="1" w:color="000000"/>
        </w:rPr>
        <w:t xml:space="preserve">. Lending to middle-market companies requires specialized due diligence and underwriting capabilities, as 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Sixth Street position us more strongly than many capital providers to lend to middle-market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Desirability of partnering with BDCs</w:t>
      </w:r>
      <w:r>
        <w:rPr>
          <w:rFonts w:ascii="Times New Roman" w:hAnsi="Times New Roman"/>
          <w:sz w:val="20"/>
          <w:bdr w:val="single" w:sz="8" w:space="1" w:color="000000"/>
        </w:rPr>
        <w:t xml:space="preserve">. We believe middle-market companies see advantages in raising capital from BDCs. BDCs have the ability to 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Competitive Strengths and Core Competencies </w:t>
      </w:r>
    </w:p>
    <w:p>
      <w:pPr>
        <w:pStyle w:val="TextBody"/>
        <w:bidi w:val="0"/>
        <w:spacing w:before="120" w:after="0"/>
        <w:jc w:val="left"/>
        <w:rPr>
          <w:rFonts w:ascii="Times New Roman" w:hAnsi="Times New Roman"/>
          <w:sz w:val="20"/>
          <w:bdr w:val="single" w:sz="8" w:space="1" w:color="000000"/>
        </w:rPr>
      </w:pPr>
      <w:r>
        <w:rPr>
          <w:rFonts w:ascii="Times New Roman" w:hAnsi="Times New Roman"/>
          <w:i/>
          <w:sz w:val="20"/>
          <w:bdr w:val="single" w:sz="8" w:space="1" w:color="000000"/>
        </w:rPr>
        <w:t>Leading platform and access to proprietary deal flow</w:t>
      </w:r>
      <w:r>
        <w:rPr>
          <w:rFonts w:ascii="Times New Roman" w:hAnsi="Times New Roman"/>
          <w:sz w:val="20"/>
          <w:bdr w:val="single" w:sz="8" w:space="1" w:color="000000"/>
        </w:rPr>
        <w:t xml:space="preserve">. The substantial majority of our investments are not intermediated and are originated without the assistance of investment banks or other traditional Wall Street sources. Our Adviser has a dedicated team of 53 investment professionals responsible for originating, underwriting, executing and managing the assets of our direct lending transactions. This team is responsible for sourcing and executing opportunities directly, while leveraging the resources and expertise of the Sixth Street platform. The senior members of our Investment Team have over 450 years of collective experience as commercial dealmakers.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our Adviser draws upon the resources of Sixth Street in underwriting transactions, performing due diligence, managing assets and optimizing our operations as a public company. Access to Sixth Street resources complements our Adviser’s view of markets and provides insight into important cyclical patterns.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Disciplined investment and underwriting process</w:t>
      </w:r>
      <w:r>
        <w:rPr>
          <w:rFonts w:ascii="Times New Roman" w:hAnsi="Times New Roman"/>
          <w:sz w:val="20"/>
          <w:bdr w:val="single" w:sz="8" w:space="1" w:color="000000"/>
        </w:rPr>
        <w:t xml:space="preserve">. Through our Adviser, we seek to achieve the highest risk-adjusted returns available as opposed to the highest absolute return available. Our investment approach seeks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combine a rigorous analysis of macroeconomic and market factors with a deep understanding of individual companies and their assets, management and prospects. We believe four factors distinguish our investment approach: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Flexibility</w:t>
            </w:r>
            <w:r>
              <w:rPr>
                <w:rFonts w:ascii="Times New Roman" w:hAnsi="Times New Roman"/>
                <w:sz w:val="20"/>
              </w:rPr>
              <w:t xml:space="preserve">. Our broad middle-market focus and our Adviser’s integrated position within Sixth Street allow us to determine current market opportunities and identify relative value.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Risk</w:t>
            </w:r>
            <w:r>
              <w:rPr>
                <w:rFonts w:ascii="Times New Roman" w:hAnsi="Times New Roman"/>
                <w:sz w:val="20"/>
              </w:rPr>
              <w:t xml:space="preserve"> </w:t>
            </w:r>
            <w:r>
              <w:rPr>
                <w:rFonts w:ascii="Times New Roman" w:hAnsi="Times New Roman"/>
                <w:i/>
                <w:sz w:val="20"/>
              </w:rPr>
              <w:t>pricing</w:t>
            </w:r>
            <w:r>
              <w:rPr>
                <w:rFonts w:ascii="Times New Roman" w:hAnsi="Times New Roman"/>
                <w:sz w:val="20"/>
              </w:rPr>
              <w:t xml:space="preserve">. The risk profile of our portfolio evolves across credit cycles as credit tightens and loosens. During periods when risk 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Disciplined four-tiered investment framework</w:t>
            </w:r>
            <w:r>
              <w:rPr>
                <w:rFonts w:ascii="Times New Roman" w:hAnsi="Times New Roman"/>
                <w:sz w:val="20"/>
              </w:rPr>
              <w:t xml:space="preserve">. Through our Adviser, we perform detailed company-specific analysis focusing on a four-tiered investment framework: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Business and sector selection</w:t>
            </w:r>
            <w:r>
              <w:rPr>
                <w:rFonts w:ascii="Times New Roman" w:hAnsi="Times New Roman"/>
                <w:sz w:val="20"/>
              </w:rPr>
              <w:t xml:space="preserve">. We focus on companies with enterprise value between $50 million and $1 billion. When 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Investment structuring</w:t>
            </w:r>
            <w:r>
              <w:rPr>
                <w:rFonts w:ascii="Times New Roman" w:hAnsi="Times New Roman"/>
                <w:sz w:val="20"/>
              </w:rPr>
              <w:t xml:space="preserve">. We focus on investing at the top of the capital structure and protecting that position.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Deal dynamics</w:t>
            </w:r>
            <w:r>
              <w:rPr>
                <w:rFonts w:ascii="Times New Roman" w:hAnsi="Times New Roman"/>
                <w:sz w:val="20"/>
              </w:rPr>
              <w:t xml:space="preserve">. We focus on, among other deal dynamics, direct origination of investments, where we identify and lead the investment transaction. We seek transactions that are too small for the traditional high yield market. We look to invest in companies that value our commitment and ability to originate an investment that meets their goals and fits within their existing capital structure.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Risk Mitigation</w:t>
            </w:r>
            <w:r>
              <w:rPr>
                <w:rFonts w:ascii="Times New Roman" w:hAnsi="Times New Roman"/>
                <w:sz w:val="20"/>
              </w:rPr>
              <w:t xml:space="preserve">. We seek to mitigate non-credit-related risk on our returns in several ways, including call protection provisions to protect future payment income. In addition, most of our investments are floating rate in nature, which we believe helps act as a portfolio-wide hedge against inflation.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Robust and active investment management</w:t>
            </w:r>
            <w:r>
              <w:rPr>
                <w:rFonts w:ascii="Times New Roman" w:hAnsi="Times New Roman"/>
                <w:sz w:val="20"/>
              </w:rPr>
              <w:t xml:space="preserve">. Our Adviser rigorously monitors the credit profile of portfolio investments, with the aim of proactively identifying sector and operational issues and carefully managing risks. The information gathered on market trends through this process also informs our underwriting for new loans.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tailor investments rather than focusing only on driving investment volume.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Carefully constructed, existing portfolio consisting of predominantly senior, floating rate loans across a broad range of industries and borrowers</w:t>
      </w:r>
      <w:r>
        <w:rPr>
          <w:rFonts w:ascii="Times New Roman" w:hAnsi="Times New Roman"/>
          <w:sz w:val="20"/>
          <w:bdr w:val="single" w:sz="8" w:space="1" w:color="000000"/>
        </w:rPr>
        <w:t xml:space="preserve">. Since we began investing in July 2011, through September 30, 2023, we have originated more than $28.6 billion aggregate principal amount of investments. As of September 30, 2023, our investment portfolio consisted of investments in 131 portfolio companies (including 42 structured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investments, which include each series of collateralized loan obligation as a separate portfolio company investment) with an aggregate fair value of $3,113.3 million that we believe exhibits strong credit quality and broad industry composition. As of September 30, 2023, 99.7% of our debt investments based on fair value bore interest at floating rates, with 100.0% of these subject to interest rate floors, and 91.0% of the fair value of our portfolio was invested in first-lien debt investments. We believe this portfolio will allow us to generate meaningful investment income, and consequently dividend income, for our stockholders.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Experienced management team</w:t>
      </w:r>
      <w:r>
        <w:rPr>
          <w:rFonts w:ascii="Times New Roman" w:hAnsi="Times New Roman"/>
          <w:sz w:val="20"/>
          <w:bdr w:val="single" w:sz="8" w:space="1" w:color="000000"/>
        </w:rPr>
        <w:t xml:space="preserve">. The Adviser has a highly experienced management team consisting of nine Sixth Street Partners and nine Sixth Street 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and Bo Stanley, who brings expertise in the software, payment systems, data infrastructure and business services sectors.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Aligned investment professionals</w:t>
      </w:r>
      <w:r>
        <w:rPr>
          <w:rFonts w:ascii="Times New Roman" w:hAnsi="Times New Roman"/>
          <w:sz w:val="20"/>
          <w:bdr w:val="single" w:sz="8" w:space="1" w:color="000000"/>
        </w:rPr>
        <w:t xml:space="preserve">. We believe our investment professionals are aligned with our investment objective. The compensation structure for our investment professionals is based on our returns, as opposed to transaction volume, which we believe fosters a focus on credit quality when originating investments.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Operating and Regulatory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Adviser manages our investment activities under the direction of our board of directors, or the Board. A majority of our Board members are not “interested persons” of us, the Adviser and our respective affiliates, as such term is defined under Section 2(a)(19) of the 1940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BDC, we are required to comply with numerous regulatory requirements: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Leverage</w:t>
            </w:r>
            <w:r>
              <w:rPr>
                <w:rFonts w:ascii="Times New Roman" w:hAnsi="Times New Roman"/>
                <w:sz w:val="20"/>
              </w:rPr>
              <w:t xml:space="preserve">. Regulations under the 1940 Act limit our ability to use borrowing, also known as leverage, in significant respects. In 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2022 Annual Report.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Investment Allocation</w:t>
            </w:r>
            <w:r>
              <w:rPr>
                <w:rFonts w:ascii="Times New Roman" w:hAnsi="Times New Roman"/>
                <w:sz w:val="20"/>
              </w:rPr>
              <w:t xml:space="preserve">. As a BDC, we are required to invest at least 70% of our total assets in qualifying assets, which generally include securities of “eligible portfolio companies,” cash, cash equivalents, U.S. government securities and high-quality debt instruments maturing in one year or less from the time of investment. “Eligible portfolio companies” are defined in the 1940 Act as: </w:t>
            </w:r>
          </w:p>
        </w:tc>
      </w:tr>
    </w:tbl>
    <w:p>
      <w:pPr>
        <w:pStyle w:val="TextBody"/>
        <w:bidi w:val="0"/>
        <w:spacing w:before="0" w:after="0"/>
        <w:jc w:val="left"/>
        <w:rPr>
          <w:bdr w:val="single" w:sz="8" w:space="1" w:color="000000"/>
        </w:rPr>
      </w:pPr>
      <w:r>
        <w:rPr>
          <w:bdr w:val="single" w:sz="8" w:space="1" w:color="000000"/>
        </w:rPr>
        <w:t> </w:t>
      </w:r>
    </w:p>
    <w:tbl>
      <w:tblPr>
        <w:tblW w:w="3475" w:type="dxa"/>
        <w:jc w:val="left"/>
        <w:tblInd w:w="0" w:type="dxa"/>
        <w:tblLayout w:type="fixed"/>
        <w:tblCellMar>
          <w:top w:w="0" w:type="dxa"/>
          <w:left w:w="0" w:type="dxa"/>
          <w:bottom w:w="0" w:type="dxa"/>
          <w:right w:w="0" w:type="dxa"/>
        </w:tblCellMar>
      </w:tblPr>
      <w:tblGrid>
        <w:gridCol w:w="75"/>
        <w:gridCol w:w="110"/>
        <w:gridCol w:w="60"/>
        <w:gridCol w:w="3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private domestic operating companies;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 domestic operating companies whose securities are not listed on a national securities exchange (e.g., the NYSE Amex Equities and The NASDAQ Global Market) or registered under the Securities Exchange Act of 1934, as amended, or the Exchange Act; and </w:t>
            </w:r>
          </w:p>
        </w:tc>
      </w:tr>
    </w:tbl>
    <w:p>
      <w:pPr>
        <w:pStyle w:val="TextBody"/>
        <w:bidi w:val="0"/>
        <w:spacing w:before="0" w:after="0"/>
        <w:jc w:val="left"/>
        <w:rPr>
          <w:bdr w:val="single" w:sz="8" w:space="1" w:color="000000"/>
        </w:rPr>
      </w:pPr>
      <w:r>
        <w:rPr>
          <w:bdr w:val="single" w:sz="8" w:space="1" w:color="000000"/>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 domestic operating companies having a market capitalization of less than $250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Public domestic operating companies whose securities are quoted on the over-the-counter bulletin board and through OTC Markets Group, Inc. are not listed on a national securities exchange and, as a result, are eligible portfolio companies.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RIC Status</w:t>
            </w:r>
            <w:r>
              <w:rPr>
                <w:rFonts w:ascii="Times New Roman" w:hAnsi="Times New Roman"/>
                <w:sz w:val="20"/>
              </w:rPr>
              <w:t xml:space="preserve">. We have elected to be treated as a RIC for U.S. federal income tax purposes. To maintain our status as a RIC and to avoid having our earnings subject to corporate-level U.S. federal income taxation, we must satisfy certain source of income, asset diversification and distribution requirements.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“Material U.S. Federal Income Tax Considerations.”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Use of Leverage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Management Fees of $0.3 million and $0.8 million, respectively, have been waived pursuant to the Leverage Waiver. For the three and nine months ended September 30, 2022, Management Fees of $0.2 million have been waived pursuant to the Leverage Waiver.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“Business-General—Our Company”; and “Business-General-Regulation as a Business Development Company” in Part I, Item 1 of our 2022 Annual Report, as well as “Risk Factors—Legislation allows us to incur additional leverage,” “Risk Factors—We borrow money, which magnifies the potential for gain or loss and increases the risk of investing in us,” “Risk Factors—Regulations governing our operation as a BDC affect our ability to, and the way in which we, raise additional capital,” “Risk Factors—Our indebtedness could adversely affect our business, financial conditions or results of operations,” and “Risk Factors—Even in the event the value of your investment declines, the Management Fee and, in certain circumstances, the Incentive Fee will still be payable to the Adviser.” in Part II, Item 1A of our 3Q 2023 Quarterly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Conflicts of Interests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members of the Adviser’s senior management and the Investment Review Committee are and will continue to be active in other investment funds affiliated with Sixth Street and its affiliates that pursue investment opportunities that could overlap with those pursued by us. However, the Adviser and its affiliates intend to allocate investment opportunities in a fair and equitable manner in accordance with their allocation principles and are obligated to refer any investments to us, by means of our Adviser, that fit within certain criteria that our Board may establish from time to time (such criteria, the “Board Established Criteria”). If no Board Established Criteria are in effect, then we will be notified of all such potential investment opportunities that fall within our current investment objective and principal investment strategies. The Adviser will determine whether it would be permissible, advisable or otherwise appropriate for us to pursue a particular investment opportunity referred to us for inclusion in our portfolio. For example, certain investment opportunities which otherwise fit within our investment strategies and objectives and any Board Established Criteria may not be suitable for us if they would cause us to violate asset coverage or concentration limitations imposed by the 1940 Act, the Code or the Amended Order (as defined below),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referred to us to be appropriate, it will determine an appropriate size for our investment. If the aggregate interest in an investment opportunity across Sixth Street funds or investment vehicles, including us, exceeds the size of the opportunity, the Adviser would allocate to us our pro-rata share of the investment opportunity based on the size of each respective participating Sixth Street funds’ or investment vehicles’ demand for such opportunity.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Sixth Street funds or investment vehicles, in which case the scope or size of opportunities otherwise available to us may be adversely affected or reduced. In the event that an investment opportunity falls outside of our Board Established Criteria and Sixth Street is not required to, and otherwise determines not to, direct these investment opportunities to an affiliated fund, we may be permitted to take them. The decision to allocate an opportunity as between us and other Sixth Street vehicles will take into account various factors that Sixth Street and our Adviser deem appropriate.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ability to pursue investment opportunities other than those that meet our Board Established Criteria is subject to the allocation decisions by Sixth Street senior professionals. Such opportunities may be required to be offered to, or may be otherwise 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if the investment falls outside of our Board Established Criteria. Sixth Street has organized separate investment vehicles, aimed specifically at middle-market loan originations and may in the future organize vehicles aimed at other loan origination opportunities outside our primary focus (for example, based on opportunity size or geography).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“Certain Relationships and Related Party Transactions” in our Definitive Proxy Statement on Schedule 14A relating to our 2023 Annual Meeting of Stockholders filed with the SEC on April 13, 2023 (“2023 Annual Proxy”), and such section is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Exemptive Order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December 16, 2014, we were granted an exemptive order from the SEC (the “Prior Order”) that allows us to co-invest, subject to certain conditions and to the extent the size of an investment opportunity exceeds the amount our Adviser has independently determined is appropriate to invest, with certain of our affiliates (including affiliates of Sixth Street).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16, 2020, we filed a further application for co-investment exemptive relief with the SEC to better align our existing co-investment relief with more recent SEC exemptive orders. On August 3, 2022, the SEC granted the new order (the “Amended Order”) in response to our application. The Amended Order superseded the Prior Order, and updated the conditions pursuant to which we could co-invest with certain of our affiliates (including affiliates of Sixth Street) in investment opportunities that fall within our Board Established Criteria.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“Regulation as a Business Development Company-Transactions with our Affiliates” in our 2022 Annual Report, and such section is incorporated by reference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“Certain Relationships and Related Party Transactions—Exemptive Order” in our 2023 Annual Proxy, and such section is incorporated by reference in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Stock Repurchase Plan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15, 2023. The amount and timing of stock repurchases under the program may vary depending on market conditions, and no assurance can be given that any particular amount of common stock will be repurchased.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2022 Annual Report and our 3Q 2023 Quarterly Report, as well as the other documents that are incorporated by reference in this prospectus or in any prospectus supplement, for a description of these and other risks relating to our business and investments in our securities, including that: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Business and Structure </w:t>
      </w:r>
    </w:p>
    <w:p>
      <w:pPr>
        <w:pStyle w:val="TextBody"/>
        <w:bidi w:val="0"/>
        <w:spacing w:before="0" w:after="0"/>
        <w:jc w:val="left"/>
        <w:rPr>
          <w:bdr w:val="single" w:sz="8" w:space="1" w:color="000000"/>
        </w:rPr>
      </w:pPr>
      <w:r>
        <w:rPr>
          <w:bdr w:val="single" w:sz="8" w:space="1" w:color="000000"/>
        </w:rPr>
        <w:t> </w:t>
      </w:r>
    </w:p>
    <w:tbl>
      <w:tblPr>
        <w:tblW w:w="9700" w:type="dxa"/>
        <w:jc w:val="left"/>
        <w:tblInd w:w="0" w:type="dxa"/>
        <w:tblLayout w:type="fixed"/>
        <w:tblCellMar>
          <w:top w:w="0" w:type="dxa"/>
          <w:left w:w="0" w:type="dxa"/>
          <w:bottom w:w="0" w:type="dxa"/>
          <w:right w:w="0" w:type="dxa"/>
        </w:tblCellMar>
      </w:tblPr>
      <w:tblGrid>
        <w:gridCol w:w="75"/>
        <w:gridCol w:w="110"/>
        <w:gridCol w:w="60"/>
        <w:gridCol w:w="9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dependent upon management personnel of the Adviser, Sixth Street and their affiliates for our future success.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significant regulations governing our operation as a BDC, which affect our ability to, and the way in which we, raise additional capital. Changes in regulation could adversely affect our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tbl>
      <w:tblPr>
        <w:tblW w:w="8830" w:type="dxa"/>
        <w:jc w:val="left"/>
        <w:tblInd w:w="0" w:type="dxa"/>
        <w:tblLayout w:type="fixed"/>
        <w:tblCellMar>
          <w:top w:w="0" w:type="dxa"/>
          <w:left w:w="0" w:type="dxa"/>
          <w:bottom w:w="0" w:type="dxa"/>
          <w:right w:w="0" w:type="dxa"/>
        </w:tblCellMar>
      </w:tblPr>
      <w:tblGrid>
        <w:gridCol w:w="75"/>
        <w:gridCol w:w="110"/>
        <w:gridCol w:w="60"/>
        <w:gridCol w:w="8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borrow money, which magnifies the potential for gain or loss and increases the risk of investing in us. </w:t>
            </w:r>
          </w:p>
        </w:tc>
      </w:tr>
    </w:tbl>
    <w:p>
      <w:pPr>
        <w:pStyle w:val="TextBody"/>
        <w:bidi w:val="0"/>
        <w:spacing w:before="0" w:after="0"/>
        <w:jc w:val="left"/>
        <w:rPr>
          <w:bdr w:val="single" w:sz="8" w:space="1" w:color="000000"/>
        </w:rPr>
      </w:pPr>
      <w:r>
        <w:rPr>
          <w:bdr w:val="single" w:sz="8" w:space="1" w:color="000000"/>
        </w:rPr>
        <w:t> </w:t>
      </w:r>
    </w:p>
    <w:tbl>
      <w:tblPr>
        <w:tblW w:w="6190" w:type="dxa"/>
        <w:jc w:val="left"/>
        <w:tblInd w:w="0" w:type="dxa"/>
        <w:tblLayout w:type="fixed"/>
        <w:tblCellMar>
          <w:top w:w="0" w:type="dxa"/>
          <w:left w:w="0" w:type="dxa"/>
          <w:bottom w:w="0" w:type="dxa"/>
          <w:right w:w="0" w:type="dxa"/>
        </w:tblCellMar>
      </w:tblPr>
      <w:tblGrid>
        <w:gridCol w:w="75"/>
        <w:gridCol w:w="110"/>
        <w:gridCol w:w="60"/>
        <w:gridCol w:w="5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highly competitive market for investment opportunities.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source investments, access financing or manage future growth effectively, we may be unable to achieve our investment objective.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Even in the event the value of your investment declines, the Management Fee and, in certain circumstances, the Incentive Fee will still be payable to the Adviser.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we do not realize income or choose not to retain after-tax realized net capital gains, we will have a greater need for additional capital to fund our investments and operating expenses.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corporate-level U.S. federal income tax if we are unable to maintain our qualification as a RIC under Subchapter M of the Code, including as a result of our failure to satisfy the RIC distribution requirements.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can be expected to retain some income and capital gains in excess of what is permissible for excise tax purposes and such amounts will be subject to a nondeductible 4% U.S. federal excise tax. </w:t>
            </w:r>
          </w:p>
        </w:tc>
      </w:tr>
    </w:tbl>
    <w:p>
      <w:pPr>
        <w:pStyle w:val="TextBody"/>
        <w:bidi w:val="0"/>
        <w:spacing w:before="0" w:after="0"/>
        <w:jc w:val="left"/>
        <w:rPr>
          <w:bdr w:val="single" w:sz="8" w:space="1" w:color="000000"/>
        </w:rPr>
      </w:pPr>
      <w:r>
        <w:rPr>
          <w:bdr w:val="single" w:sz="8" w:space="1" w:color="000000"/>
        </w:rPr>
        <w:t> </w:t>
      </w:r>
    </w:p>
    <w:tbl>
      <w:tblPr>
        <w:tblW w:w="7600" w:type="dxa"/>
        <w:jc w:val="left"/>
        <w:tblInd w:w="0" w:type="dxa"/>
        <w:tblLayout w:type="fixed"/>
        <w:tblCellMar>
          <w:top w:w="0" w:type="dxa"/>
          <w:left w:w="0" w:type="dxa"/>
          <w:bottom w:w="0" w:type="dxa"/>
          <w:right w:w="0" w:type="dxa"/>
        </w:tblCellMar>
      </w:tblPr>
      <w:tblGrid>
        <w:gridCol w:w="75"/>
        <w:gridCol w:w="110"/>
        <w:gridCol w:w="60"/>
        <w:gridCol w:w="7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Adviser and its affiliates, officers and employees may face certain conflicts of interest.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Adviser’s liability is limited under the Investment Advisory Agreement, and we are required to indemnify the Adviser against certain liabilities, which may lead the Adviser to act in a riskier manner on our behalf than it would when acting for its own account. </w:t>
            </w:r>
          </w:p>
        </w:tc>
      </w:tr>
    </w:tbl>
    <w:p>
      <w:pPr>
        <w:pStyle w:val="TextBody"/>
        <w:bidi w:val="0"/>
        <w:spacing w:before="0" w:after="0"/>
        <w:jc w:val="left"/>
        <w:rPr>
          <w:bdr w:val="single" w:sz="8" w:space="1" w:color="000000"/>
        </w:rPr>
      </w:pPr>
      <w:r>
        <w:rPr>
          <w:bdr w:val="single" w:sz="8" w:space="1" w:color="000000"/>
        </w:rPr>
        <w:t> </w:t>
      </w:r>
    </w:p>
    <w:tbl>
      <w:tblPr>
        <w:tblW w:w="7030" w:type="dxa"/>
        <w:jc w:val="left"/>
        <w:tblInd w:w="0" w:type="dxa"/>
        <w:tblLayout w:type="fixed"/>
        <w:tblCellMar>
          <w:top w:w="0" w:type="dxa"/>
          <w:left w:w="0" w:type="dxa"/>
          <w:bottom w:w="0" w:type="dxa"/>
          <w:right w:w="0" w:type="dxa"/>
        </w:tblCellMar>
      </w:tblPr>
      <w:tblGrid>
        <w:gridCol w:w="75"/>
        <w:gridCol w:w="110"/>
        <w:gridCol w:w="60"/>
        <w:gridCol w:w="6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maintain our status as a BDC would reduce our operating flexibility. </w:t>
            </w:r>
          </w:p>
        </w:tc>
      </w:tr>
    </w:tbl>
    <w:p>
      <w:pPr>
        <w:pStyle w:val="TextBody"/>
        <w:bidi w:val="0"/>
        <w:spacing w:before="0" w:after="0"/>
        <w:jc w:val="left"/>
        <w:rPr>
          <w:bdr w:val="single" w:sz="8" w:space="1" w:color="000000"/>
        </w:rPr>
      </w:pPr>
      <w:r>
        <w:rPr>
          <w:bdr w:val="single" w:sz="8" w:space="1" w:color="000000"/>
        </w:rPr>
        <w:t> </w:t>
      </w:r>
    </w:p>
    <w:tbl>
      <w:tblPr>
        <w:tblW w:w="6250" w:type="dxa"/>
        <w:jc w:val="left"/>
        <w:tblInd w:w="0" w:type="dxa"/>
        <w:tblLayout w:type="fixed"/>
        <w:tblCellMar>
          <w:top w:w="0" w:type="dxa"/>
          <w:left w:w="0" w:type="dxa"/>
          <w:bottom w:w="0" w:type="dxa"/>
          <w:right w:w="0" w:type="dxa"/>
        </w:tblCellMar>
      </w:tblPr>
      <w:tblGrid>
        <w:gridCol w:w="75"/>
        <w:gridCol w:w="110"/>
        <w:gridCol w:w="60"/>
        <w:gridCol w:w="6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incur significant costs as a result of being a publicly traded company.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Provisions of the General Corporation Law of the State of Delaware and our certificate of incorporation and bylaws could deter takeover attempts and have an adverse effect on the price of our common stock. </w:t>
            </w:r>
          </w:p>
        </w:tc>
      </w:tr>
    </w:tbl>
    <w:p>
      <w:pPr>
        <w:pStyle w:val="TextBody"/>
        <w:bidi w:val="0"/>
        <w:spacing w:before="0" w:after="0"/>
        <w:jc w:val="left"/>
        <w:rPr>
          <w:bdr w:val="single" w:sz="8" w:space="1" w:color="000000"/>
        </w:rPr>
      </w:pPr>
      <w:r>
        <w:rPr>
          <w:bdr w:val="single" w:sz="8" w:space="1" w:color="000000"/>
        </w:rPr>
        <w:t> </w:t>
      </w:r>
    </w:p>
    <w:tbl>
      <w:tblPr>
        <w:tblW w:w="6940" w:type="dxa"/>
        <w:jc w:val="left"/>
        <w:tblInd w:w="0" w:type="dxa"/>
        <w:tblLayout w:type="fixed"/>
        <w:tblCellMar>
          <w:top w:w="0" w:type="dxa"/>
          <w:left w:w="0" w:type="dxa"/>
          <w:bottom w:w="0" w:type="dxa"/>
          <w:right w:w="0" w:type="dxa"/>
        </w:tblCellMar>
      </w:tblPr>
      <w:tblGrid>
        <w:gridCol w:w="75"/>
        <w:gridCol w:w="110"/>
        <w:gridCol w:w="60"/>
        <w:gridCol w:w="6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investors are limited in their ability to make significant investments in us. </w:t>
            </w:r>
          </w:p>
        </w:tc>
      </w:tr>
    </w:tbl>
    <w:p>
      <w:pPr>
        <w:pStyle w:val="TextBody"/>
        <w:bidi w:val="0"/>
        <w:spacing w:before="0" w:after="0"/>
        <w:jc w:val="left"/>
        <w:rPr>
          <w:bdr w:val="single" w:sz="8" w:space="1" w:color="000000"/>
        </w:rPr>
      </w:pPr>
      <w:r>
        <w:rPr>
          <w:bdr w:val="single" w:sz="8" w:space="1" w:color="000000"/>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Cybersecurity risks and cyber incidents may adversely affect our business or those of our portfolio companies.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Board may change our investment objective, operating policies and strategies without prior notice or stockholder approval.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rates of our debt investments to our portfolio companies and our indebtedness that extend beyond 2023 might be subject to change based on recent regulatory changes.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Economic Conditions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COVID-19 pandemic has materially and adversely affected, and is likely to continue to materially and adversely affect, our portfolio companies and the results of our operations, including our financial results.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current state of the economy and financial markets increases the likelihood of adverse effects on our financial position and results of operations.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Uncertainty about financial stability could have a significant adverse effect on our business, results of operations and financial condition.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tbl>
      <w:tblPr>
        <w:tblW w:w="8755" w:type="dxa"/>
        <w:jc w:val="left"/>
        <w:tblInd w:w="0" w:type="dxa"/>
        <w:tblLayout w:type="fixed"/>
        <w:tblCellMar>
          <w:top w:w="0" w:type="dxa"/>
          <w:left w:w="0" w:type="dxa"/>
          <w:bottom w:w="0" w:type="dxa"/>
          <w:right w:w="0" w:type="dxa"/>
        </w:tblCellMar>
      </w:tblPr>
      <w:tblGrid>
        <w:gridCol w:w="75"/>
        <w:gridCol w:w="110"/>
        <w:gridCol w:w="60"/>
        <w:gridCol w:w="8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Economic recessions or downturns could impair our portfolio companies and harm our operating results.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Portfolio Company Investments </w:t>
      </w:r>
    </w:p>
    <w:p>
      <w:pPr>
        <w:pStyle w:val="TextBody"/>
        <w:bidi w:val="0"/>
        <w:spacing w:before="0" w:after="0"/>
        <w:jc w:val="left"/>
        <w:rPr>
          <w:bdr w:val="single" w:sz="8" w:space="1" w:color="000000"/>
        </w:rPr>
      </w:pPr>
      <w:r>
        <w:rPr>
          <w:bdr w:val="single" w:sz="8" w:space="1" w:color="000000"/>
        </w:rPr>
        <w:t> </w:t>
      </w:r>
    </w:p>
    <w:tbl>
      <w:tblPr>
        <w:tblW w:w="4735" w:type="dxa"/>
        <w:jc w:val="left"/>
        <w:tblInd w:w="0" w:type="dxa"/>
        <w:tblLayout w:type="fixed"/>
        <w:tblCellMar>
          <w:top w:w="0" w:type="dxa"/>
          <w:left w:w="0" w:type="dxa"/>
          <w:bottom w:w="0" w:type="dxa"/>
          <w:right w:w="0" w:type="dxa"/>
        </w:tblCellMar>
      </w:tblPr>
      <w:tblGrid>
        <w:gridCol w:w="75"/>
        <w:gridCol w:w="110"/>
        <w:gridCol w:w="60"/>
        <w:gridCol w:w="4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investments are very risky and highly speculative.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 </w:t>
            </w:r>
          </w:p>
        </w:tc>
      </w:tr>
    </w:tbl>
    <w:p>
      <w:pPr>
        <w:pStyle w:val="TextBody"/>
        <w:bidi w:val="0"/>
        <w:spacing w:before="0" w:after="0"/>
        <w:jc w:val="left"/>
        <w:rPr>
          <w:bdr w:val="single" w:sz="8" w:space="1" w:color="000000"/>
        </w:rPr>
      </w:pPr>
      <w:r>
        <w:rPr>
          <w:bdr w:val="single" w:sz="8" w:space="1" w:color="000000"/>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lack of liquidity in our investments may adversely affect our business.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portfolio may be focused on a limited number of portfolio companies or industries, which will subject us to a risk of significant loss if any of these companies defaults on its obligations under any of its debt instruments or if there is a downturn in a particular industry. </w:t>
            </w:r>
          </w:p>
        </w:tc>
      </w:tr>
    </w:tbl>
    <w:p>
      <w:pPr>
        <w:pStyle w:val="TextBody"/>
        <w:bidi w:val="0"/>
        <w:spacing w:before="0" w:after="0"/>
        <w:jc w:val="left"/>
        <w:rPr>
          <w:bdr w:val="single" w:sz="8" w:space="1" w:color="000000"/>
        </w:rPr>
      </w:pPr>
      <w:r>
        <w:rPr>
          <w:bdr w:val="single" w:sz="8" w:space="1" w:color="000000"/>
        </w:rPr>
        <w:t> </w:t>
      </w:r>
    </w:p>
    <w:tbl>
      <w:tblPr>
        <w:tblW w:w="8740" w:type="dxa"/>
        <w:jc w:val="left"/>
        <w:tblInd w:w="0" w:type="dxa"/>
        <w:tblLayout w:type="fixed"/>
        <w:tblCellMar>
          <w:top w:w="0" w:type="dxa"/>
          <w:left w:w="0" w:type="dxa"/>
          <w:bottom w:w="0" w:type="dxa"/>
          <w:right w:w="0" w:type="dxa"/>
        </w:tblCellMar>
      </w:tblPr>
      <w:tblGrid>
        <w:gridCol w:w="75"/>
        <w:gridCol w:w="110"/>
        <w:gridCol w:w="60"/>
        <w:gridCol w:w="8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securitize certain of our investments, which may subject us to certain structured financing risks.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Because we generally do not hold controlling interests in our portfolio companies, we may not be in a position to exercise control over those portfolio companies or prevent decisions by management of those portfolio companies that could decrease the value of our investments. </w:t>
            </w:r>
          </w:p>
        </w:tc>
      </w:tr>
    </w:tbl>
    <w:p>
      <w:pPr>
        <w:pStyle w:val="TextBody"/>
        <w:bidi w:val="0"/>
        <w:spacing w:before="0" w:after="0"/>
        <w:jc w:val="left"/>
        <w:rPr>
          <w:bdr w:val="single" w:sz="8" w:space="1" w:color="000000"/>
        </w:rPr>
      </w:pPr>
      <w:r>
        <w:rPr>
          <w:bdr w:val="single" w:sz="8" w:space="1" w:color="000000"/>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exposed to risks associated with changes in interest rates. </w:t>
            </w:r>
          </w:p>
        </w:tc>
      </w:tr>
    </w:tbl>
    <w:p>
      <w:pPr>
        <w:pStyle w:val="TextBody"/>
        <w:bidi w:val="0"/>
        <w:spacing w:before="0" w:after="0"/>
        <w:jc w:val="left"/>
        <w:rPr>
          <w:bdr w:val="single" w:sz="8" w:space="1" w:color="000000"/>
        </w:rPr>
      </w:pPr>
      <w:r>
        <w:rPr>
          <w:bdr w:val="single" w:sz="8" w:space="1" w:color="000000"/>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realize expected returns on our invested capital.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originating loans to companies that are experiencing significant financial or business difficulties, we may be exposed to distressed lending risks.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portfolio companies in some cases may incur debt or issue equity securities that rank equally with, or senior to, our investments in those companies and we may be exposed to special risks associated with bankruptcy cases. </w:t>
            </w:r>
          </w:p>
        </w:tc>
      </w:tr>
    </w:tbl>
    <w:p>
      <w:pPr>
        <w:pStyle w:val="TextBody"/>
        <w:bidi w:val="0"/>
        <w:spacing w:before="0" w:after="0"/>
        <w:jc w:val="left"/>
        <w:rPr>
          <w:bdr w:val="single" w:sz="8" w:space="1" w:color="000000"/>
        </w:rPr>
      </w:pPr>
      <w:r>
        <w:rPr>
          <w:bdr w:val="single" w:sz="8" w:space="1" w:color="000000"/>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make follow-on investments in our portfolio companies could impair the value of our investments. </w:t>
            </w:r>
          </w:p>
        </w:tc>
      </w:tr>
    </w:tbl>
    <w:p>
      <w:pPr>
        <w:pStyle w:val="TextBody"/>
        <w:bidi w:val="0"/>
        <w:spacing w:before="0" w:after="0"/>
        <w:jc w:val="left"/>
        <w:rPr>
          <w:bdr w:val="single" w:sz="8" w:space="1" w:color="000000"/>
        </w:rPr>
      </w:pPr>
      <w:r>
        <w:rPr>
          <w:bdr w:val="single" w:sz="8" w:space="1" w:color="000000"/>
        </w:rPr>
        <w:t> </w:t>
      </w:r>
    </w:p>
    <w:tbl>
      <w:tblPr>
        <w:tblW w:w="5755" w:type="dxa"/>
        <w:jc w:val="left"/>
        <w:tblInd w:w="0" w:type="dxa"/>
        <w:tblLayout w:type="fixed"/>
        <w:tblCellMar>
          <w:top w:w="0" w:type="dxa"/>
          <w:left w:w="0" w:type="dxa"/>
          <w:bottom w:w="0" w:type="dxa"/>
          <w:right w:w="0" w:type="dxa"/>
        </w:tblCellMar>
      </w:tblPr>
      <w:tblGrid>
        <w:gridCol w:w="75"/>
        <w:gridCol w:w="110"/>
        <w:gridCol w:w="60"/>
        <w:gridCol w:w="5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enter into transactions with our affiliates is restricted. </w:t>
            </w:r>
          </w:p>
        </w:tc>
      </w:tr>
    </w:tbl>
    <w:p>
      <w:pPr>
        <w:pStyle w:val="TextBody"/>
        <w:bidi w:val="0"/>
        <w:spacing w:before="0" w:after="0"/>
        <w:jc w:val="left"/>
        <w:rPr>
          <w:bdr w:val="single" w:sz="8" w:space="1" w:color="000000"/>
        </w:rPr>
      </w:pPr>
      <w:r>
        <w:rPr>
          <w:bdr w:val="single" w:sz="8" w:space="1" w:color="000000"/>
        </w:rPr>
        <w:t> </w:t>
      </w:r>
    </w:p>
    <w:tbl>
      <w:tblPr>
        <w:tblW w:w="7915" w:type="dxa"/>
        <w:jc w:val="left"/>
        <w:tblInd w:w="0" w:type="dxa"/>
        <w:tblLayout w:type="fixed"/>
        <w:tblCellMar>
          <w:top w:w="0" w:type="dxa"/>
          <w:left w:w="0" w:type="dxa"/>
          <w:bottom w:w="0" w:type="dxa"/>
          <w:right w:w="0" w:type="dxa"/>
        </w:tblCellMar>
      </w:tblPr>
      <w:tblGrid>
        <w:gridCol w:w="75"/>
        <w:gridCol w:w="110"/>
        <w:gridCol w:w="60"/>
        <w:gridCol w:w="7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acquisitions or strategic investments that we pursue are subject to risks and uncertainties.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cannot guarantee that we will be able to obtain various required licenses in U.S. states or in any other jurisdiction where they may be required in the future. </w:t>
            </w:r>
          </w:p>
        </w:tc>
      </w:tr>
    </w:tbl>
    <w:p>
      <w:pPr>
        <w:pStyle w:val="TextBody"/>
        <w:bidi w:val="0"/>
        <w:spacing w:before="0" w:after="0"/>
        <w:jc w:val="left"/>
        <w:rPr>
          <w:bdr w:val="single" w:sz="8" w:space="1" w:color="000000"/>
        </w:rPr>
      </w:pPr>
      <w:r>
        <w:rPr>
          <w:bdr w:val="single" w:sz="8" w:space="1" w:color="000000"/>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investments in foreign companies may involve significant risks in addition to the risks inherent in U.S. investments. </w:t>
            </w:r>
          </w:p>
        </w:tc>
      </w:tr>
    </w:tbl>
    <w:p>
      <w:pPr>
        <w:pStyle w:val="TextBody"/>
        <w:bidi w:val="0"/>
        <w:spacing w:before="0" w:after="0"/>
        <w:jc w:val="left"/>
        <w:rPr>
          <w:bdr w:val="single" w:sz="8" w:space="1" w:color="000000"/>
        </w:rPr>
      </w:pPr>
      <w:r>
        <w:rPr>
          <w:bdr w:val="single" w:sz="8" w:space="1" w:color="000000"/>
        </w:rPr>
        <w:t> </w:t>
      </w:r>
    </w:p>
    <w:tbl>
      <w:tblPr>
        <w:tblW w:w="6025" w:type="dxa"/>
        <w:jc w:val="left"/>
        <w:tblInd w:w="0" w:type="dxa"/>
        <w:tblLayout w:type="fixed"/>
        <w:tblCellMar>
          <w:top w:w="0" w:type="dxa"/>
          <w:left w:w="0" w:type="dxa"/>
          <w:bottom w:w="0" w:type="dxa"/>
          <w:right w:w="0" w:type="dxa"/>
        </w:tblCellMar>
      </w:tblPr>
      <w:tblGrid>
        <w:gridCol w:w="75"/>
        <w:gridCol w:w="110"/>
        <w:gridCol w:w="60"/>
        <w:gridCol w:w="5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expose ourselves to risks when we engage in hedging transactions.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new market structure applicable to derivatives imposed by the Dodd-Frank Act may affect our ability to use over-the-counter (“OTC”) derivatives for hedging purposes.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portfolio investments may present special tax issues, and there are certain risks associated with holding debt obligations that have original issue discount or payment-in-kind interest.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Securities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is a risk that investors in our common stock may not receive dividends or that our dividends may not grow over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Investing in our securities may involve a high degree of risk and the market price of our common stock may fluctuate significantly and could decline. </w:t>
            </w:r>
          </w:p>
        </w:tc>
      </w:tr>
    </w:tbl>
    <w:p>
      <w:pPr>
        <w:pStyle w:val="TextBody"/>
        <w:bidi w:val="0"/>
        <w:spacing w:before="0" w:after="0"/>
        <w:jc w:val="left"/>
        <w:rPr>
          <w:bdr w:val="single" w:sz="8" w:space="1" w:color="000000"/>
        </w:rPr>
      </w:pPr>
      <w:r>
        <w:rPr>
          <w:bdr w:val="single" w:sz="8" w:space="1" w:color="000000"/>
        </w:rPr>
        <w:t> </w:t>
      </w:r>
    </w:p>
    <w:tbl>
      <w:tblPr>
        <w:tblW w:w="10195" w:type="dxa"/>
        <w:jc w:val="left"/>
        <w:tblInd w:w="0" w:type="dxa"/>
        <w:tblLayout w:type="fixed"/>
        <w:tblCellMar>
          <w:top w:w="0" w:type="dxa"/>
          <w:left w:w="0" w:type="dxa"/>
          <w:bottom w:w="0" w:type="dxa"/>
          <w:right w:w="0" w:type="dxa"/>
        </w:tblCellMar>
      </w:tblPr>
      <w:tblGrid>
        <w:gridCol w:w="75"/>
        <w:gridCol w:w="110"/>
        <w:gridCol w:w="60"/>
        <w:gridCol w:w="9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stockholders will experience dilution in their ownership percentage if they opt out of our dividend reinvestment plan.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Purchases of our common stock by us under the Company 10b5-1 Plan may result in dilution to our net asset value per share and the price of our common stock being higher than the price that otherwise might exist in the open market.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General Risk Factors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highly dependent on information systems and systems failures could significantly disrupt our business, which may, in turn, negatively affect the market price of our common stock and our ability to pay dividend. </w:t>
            </w:r>
          </w:p>
        </w:tc>
      </w:tr>
    </w:tbl>
    <w:p>
      <w:pPr>
        <w:pStyle w:val="TextBody"/>
        <w:bidi w:val="0"/>
        <w:spacing w:before="0" w:after="0"/>
        <w:jc w:val="left"/>
        <w:rPr>
          <w:bdr w:val="single" w:sz="8" w:space="1" w:color="000000"/>
        </w:rPr>
      </w:pPr>
      <w:r>
        <w:rPr>
          <w:bdr w:val="single" w:sz="8" w:space="1" w:color="000000"/>
        </w:rPr>
        <w:t> </w:t>
      </w:r>
    </w:p>
    <w:tbl>
      <w:tblPr>
        <w:tblW w:w="7720" w:type="dxa"/>
        <w:jc w:val="left"/>
        <w:tblInd w:w="0" w:type="dxa"/>
        <w:tblLayout w:type="fixed"/>
        <w:tblCellMar>
          <w:top w:w="0" w:type="dxa"/>
          <w:left w:w="0" w:type="dxa"/>
          <w:bottom w:w="0" w:type="dxa"/>
          <w:right w:w="0" w:type="dxa"/>
        </w:tblCellMar>
      </w:tblPr>
      <w:tblGrid>
        <w:gridCol w:w="75"/>
        <w:gridCol w:w="110"/>
        <w:gridCol w:w="60"/>
        <w:gridCol w:w="7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regulations governing our operations may adversely affect our business. </w:t>
            </w:r>
          </w:p>
        </w:tc>
      </w:tr>
    </w:tbl>
    <w:p>
      <w:pPr>
        <w:pStyle w:val="TextBody"/>
        <w:bidi w:val="0"/>
        <w:spacing w:before="0" w:after="0"/>
        <w:jc w:val="left"/>
        <w:rPr>
          <w:bdr w:val="single" w:sz="8" w:space="1" w:color="000000"/>
        </w:rPr>
      </w:pPr>
      <w:r>
        <w:rPr>
          <w:bdr w:val="single" w:sz="8" w:space="1" w:color="000000"/>
        </w:rPr>
        <w:t> </w:t>
      </w:r>
    </w:p>
    <w:tbl>
      <w:tblPr>
        <w:tblW w:w="7630" w:type="dxa"/>
        <w:jc w:val="left"/>
        <w:tblInd w:w="0" w:type="dxa"/>
        <w:tblLayout w:type="fixed"/>
        <w:tblCellMar>
          <w:top w:w="0" w:type="dxa"/>
          <w:left w:w="0" w:type="dxa"/>
          <w:bottom w:w="0" w:type="dxa"/>
          <w:right w:w="0" w:type="dxa"/>
        </w:tblCellMar>
      </w:tblPr>
      <w:tblGrid>
        <w:gridCol w:w="75"/>
        <w:gridCol w:w="110"/>
        <w:gridCol w:w="60"/>
        <w:gridCol w:w="7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global climate change may impact the operations of our portfolio companies. </w:t>
            </w:r>
          </w:p>
        </w:tc>
      </w:tr>
    </w:tbl>
    <w:p>
      <w:pPr>
        <w:pStyle w:val="TextBody"/>
        <w:bidi w:val="0"/>
        <w:spacing w:before="0" w:after="0"/>
        <w:jc w:val="left"/>
        <w:rPr>
          <w:bdr w:val="single" w:sz="8" w:space="1" w:color="000000"/>
        </w:rPr>
      </w:pPr>
      <w:r>
        <w:rPr>
          <w:bdr w:val="single" w:sz="8" w:space="1" w:color="000000"/>
        </w:rPr>
        <w:t> </w:t>
      </w:r>
    </w:p>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Legislation allows us to incur additional leverage. </w:t>
            </w:r>
          </w:p>
        </w:tc>
      </w:tr>
    </w:tbl>
    <w:p>
      <w:pPr>
        <w:pStyle w:val="TextBody"/>
        <w:bidi w:val="0"/>
        <w:spacing w:before="0" w:after="0"/>
        <w:jc w:val="left"/>
        <w:rPr>
          <w:bdr w:val="single" w:sz="8" w:space="1" w:color="000000"/>
        </w:rPr>
      </w:pPr>
      <w:r>
        <w:rPr>
          <w:bdr w:val="single" w:sz="8" w:space="1" w:color="000000"/>
        </w:rPr>
        <w:t> </w:t>
      </w:r>
    </w:p>
    <w:tbl>
      <w:tblPr>
        <w:tblW w:w="8830" w:type="dxa"/>
        <w:jc w:val="left"/>
        <w:tblInd w:w="0" w:type="dxa"/>
        <w:tblLayout w:type="fixed"/>
        <w:tblCellMar>
          <w:top w:w="0" w:type="dxa"/>
          <w:left w:w="0" w:type="dxa"/>
          <w:bottom w:w="0" w:type="dxa"/>
          <w:right w:w="0" w:type="dxa"/>
        </w:tblCellMar>
      </w:tblPr>
      <w:tblGrid>
        <w:gridCol w:w="75"/>
        <w:gridCol w:w="110"/>
        <w:gridCol w:w="60"/>
        <w:gridCol w:w="8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borrow money, which magnifies the potential for gain or loss and increases the risk of investing in us. </w:t>
            </w:r>
          </w:p>
        </w:tc>
      </w:tr>
    </w:tbl>
    <w:p>
      <w:pPr>
        <w:pStyle w:val="TextBody"/>
        <w:bidi w:val="0"/>
        <w:spacing w:before="0" w:after="0"/>
        <w:jc w:val="left"/>
        <w:rPr>
          <w:bdr w:val="single" w:sz="8" w:space="1" w:color="000000"/>
        </w:rPr>
      </w:pPr>
      <w:r>
        <w:rPr>
          <w:bdr w:val="single" w:sz="8" w:space="1" w:color="000000"/>
        </w:rPr>
        <w:t> </w:t>
      </w:r>
    </w:p>
    <w:tbl>
      <w:tblPr>
        <w:tblW w:w="9820" w:type="dxa"/>
        <w:jc w:val="left"/>
        <w:tblInd w:w="0" w:type="dxa"/>
        <w:tblLayout w:type="fixed"/>
        <w:tblCellMar>
          <w:top w:w="0" w:type="dxa"/>
          <w:left w:w="0" w:type="dxa"/>
          <w:bottom w:w="0" w:type="dxa"/>
          <w:right w:w="0" w:type="dxa"/>
        </w:tblCellMar>
      </w:tblPr>
      <w:tblGrid>
        <w:gridCol w:w="75"/>
        <w:gridCol w:w="110"/>
        <w:gridCol w:w="60"/>
        <w:gridCol w:w="9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Regulations governing our operation as a BDC affect our ability to, and the way in which we, raise additional capital. </w:t>
            </w:r>
          </w:p>
        </w:tc>
      </w:tr>
    </w:tbl>
    <w:p>
      <w:pPr>
        <w:pStyle w:val="TextBody"/>
        <w:bidi w:val="0"/>
        <w:spacing w:before="0" w:after="0"/>
        <w:jc w:val="left"/>
        <w:rPr>
          <w:bdr w:val="single" w:sz="8" w:space="1" w:color="000000"/>
        </w:rPr>
      </w:pPr>
      <w:r>
        <w:rPr>
          <w:bdr w:val="single" w:sz="8" w:space="1" w:color="000000"/>
        </w:rPr>
        <w:t> </w:t>
      </w:r>
    </w:p>
    <w:tbl>
      <w:tblPr>
        <w:tblW w:w="8275" w:type="dxa"/>
        <w:jc w:val="left"/>
        <w:tblInd w:w="0" w:type="dxa"/>
        <w:tblLayout w:type="fixed"/>
        <w:tblCellMar>
          <w:top w:w="0" w:type="dxa"/>
          <w:left w:w="0" w:type="dxa"/>
          <w:bottom w:w="0" w:type="dxa"/>
          <w:right w:w="0" w:type="dxa"/>
        </w:tblCellMar>
      </w:tblPr>
      <w:tblGrid>
        <w:gridCol w:w="75"/>
        <w:gridCol w:w="110"/>
        <w:gridCol w:w="60"/>
        <w:gridCol w:w="8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could adversely affect our business, financial conditions or results of operations.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Even in the event the value of your investment declines, the Management Fee and, in certain circumstances, the Incentive Fee will still be payable to the Adviser.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have broad discretion over the use of proceeds of any offering made pursuant to this prospectus, to the extent it is successful.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net asset value per share of our common stock may be diluted if we sell or otherwise issue shares of our common stock at prices below the then-current net asset value per share of our common stock.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in the future determine to issue preferred stock, which could adversely affect the market value of our common stock and cause the net asset value and market value of our common stock to be more volatile.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Holders of any preferred stock we might issue would have the right to elect members of the board of directors and class voting rights on certain matters.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2100 McKinney Avenue, Suite 1500, Dallas, TX 75201 and our telephone number is (469) 621-3001. Our corporate website is located at https://sixthstreetspecialtylending.com. Information on our website is not incorporated into or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4" w:name="toc570824_3"/>
      <w:bookmarkEnd w:id="4"/>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 (b) 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approval granted at a special meeting of stockholders held on May 25, 2023, we are currently permitted to sell or otherwise issue shares of our common stock at a price below our then-current net asset value per share, subject to the approval of our Board and certain other conditions. Such stockholder approval expires on May 25, 2024. We intend to propose the extension of this approval in future years.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Set forth below is additional information regarding offerings of our securities: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Use of Proceeds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specified in a prospectus supplement, we intend to use the net proceeds from the sale of our securities for general corporate purposes, which may include, among other things, investing in portfolio companies in accordance with our investment objective and repaying indebtedness (which will be subject to reborrowing).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supplement to this prospectus relating to an offering will more fully identify the use of the proceeds from such offering. See “Use of Proceeds.”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55"/>
        <w:gridCol w:w="120"/>
        <w:gridCol w:w="8630"/>
      </w:tblGrid>
      <w:tr>
        <w:trPr/>
        <w:tc>
          <w:tcPr>
            <w:tcW w:w="1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30" w:type="dxa"/>
            <w:tcBorders/>
            <w:vAlign w:val="center"/>
          </w:tcPr>
          <w:p>
            <w:pPr>
              <w:pStyle w:val="TableContents"/>
              <w:bidi w:val="0"/>
              <w:spacing w:before="0" w:after="283"/>
              <w:jc w:val="left"/>
              <w:rPr>
                <w:sz w:val="4"/>
                <w:szCs w:val="4"/>
              </w:rPr>
            </w:pPr>
            <w:r>
              <w:rPr>
                <w:sz w:val="4"/>
                <w:szCs w:val="4"/>
              </w:rPr>
            </w:r>
          </w:p>
        </w:tc>
      </w:tr>
      <w:tr>
        <w:trPr/>
        <w:tc>
          <w:tcPr>
            <w:tcW w:w="1455" w:type="dxa"/>
            <w:tcBorders/>
            <w:vAlign w:val="center"/>
          </w:tcPr>
          <w:p>
            <w:pPr>
              <w:pStyle w:val="TableContents"/>
              <w:bidi w:val="0"/>
              <w:spacing w:before="0" w:after="283"/>
              <w:jc w:val="left"/>
              <w:rPr>
                <w:b/>
              </w:rPr>
            </w:pPr>
            <w:r>
              <w:rPr>
                <w:b/>
              </w:rPr>
              <w:t>Symbol on the NYSE</w:t>
            </w:r>
          </w:p>
        </w:tc>
        <w:tc>
          <w:tcPr>
            <w:tcW w:w="12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pPr>
            <w:r>
              <w:rPr/>
              <w:t>“</w:t>
            </w:r>
            <w:r>
              <w:rPr/>
              <w:t>TSLX”</w:t>
            </w:r>
          </w:p>
        </w:tc>
      </w:tr>
      <w:tr>
        <w:trPr/>
        <w:tc>
          <w:tcPr>
            <w:tcW w:w="1455" w:type="dxa"/>
            <w:tcBorders/>
            <w:vAlign w:val="center"/>
          </w:tcPr>
          <w:p>
            <w:pPr>
              <w:pStyle w:val="TableContents"/>
              <w:bidi w:val="0"/>
              <w:spacing w:before="0" w:after="283"/>
              <w:jc w:val="left"/>
              <w:rPr>
                <w:sz w:val="4"/>
                <w:szCs w:val="4"/>
              </w:rPr>
            </w:pPr>
            <w:r>
              <w:rPr>
                <w:sz w:val="4"/>
                <w:szCs w:val="4"/>
              </w:rPr>
            </w:r>
          </w:p>
        </w:tc>
        <w:tc>
          <w:tcPr>
            <w:tcW w:w="8750" w:type="dxa"/>
            <w:gridSpan w:val="2"/>
            <w:tcBorders/>
            <w:vAlign w:val="center"/>
          </w:tcPr>
          <w:p>
            <w:pPr>
              <w:pStyle w:val="TableContents"/>
              <w:bidi w:val="0"/>
              <w:spacing w:before="0" w:after="283"/>
              <w:jc w:val="left"/>
              <w:rPr>
                <w:sz w:val="4"/>
                <w:szCs w:val="4"/>
              </w:rPr>
            </w:pPr>
            <w:r>
              <w:rPr>
                <w:sz w:val="4"/>
                <w:szCs w:val="4"/>
              </w:rPr>
            </w:r>
          </w:p>
        </w:tc>
      </w:tr>
      <w:tr>
        <w:trPr/>
        <w:tc>
          <w:tcPr>
            <w:tcW w:w="1455" w:type="dxa"/>
            <w:tcBorders/>
            <w:vAlign w:val="center"/>
          </w:tcPr>
          <w:p>
            <w:pPr>
              <w:pStyle w:val="TableContents"/>
              <w:bidi w:val="0"/>
              <w:spacing w:before="0" w:after="283"/>
              <w:jc w:val="left"/>
              <w:rPr/>
            </w:pPr>
            <w:r>
              <w:rPr/>
              <w:t>Distributions</w:t>
            </w:r>
          </w:p>
        </w:tc>
        <w:tc>
          <w:tcPr>
            <w:tcW w:w="12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pPr>
            <w:r>
              <w:rPr/>
              <w:t>To the extent we have earnings available for distribution, we expect to continue distributing quarterly dividends to our stockholders. The specific tax characteristics of our distributions will be reported to stockholders after the end of the calendar year. Future quarterly dividends, if any, will be determined by our Board. See “Price Range of Common Stock and Distributions.”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721"/>
        <w:gridCol w:w="120"/>
        <w:gridCol w:w="8364"/>
      </w:tblGrid>
      <w:tr>
        <w:trPr/>
        <w:tc>
          <w:tcPr>
            <w:tcW w:w="1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64" w:type="dxa"/>
            <w:tcBorders/>
            <w:vAlign w:val="center"/>
          </w:tcPr>
          <w:p>
            <w:pPr>
              <w:pStyle w:val="TableContents"/>
              <w:bidi w:val="0"/>
              <w:spacing w:before="0" w:after="283"/>
              <w:jc w:val="left"/>
              <w:rPr>
                <w:sz w:val="4"/>
                <w:szCs w:val="4"/>
              </w:rPr>
            </w:pPr>
            <w:r>
              <w:rPr>
                <w:sz w:val="4"/>
                <w:szCs w:val="4"/>
              </w:rPr>
            </w:r>
          </w:p>
        </w:tc>
      </w:tr>
      <w:tr>
        <w:trPr/>
        <w:tc>
          <w:tcPr>
            <w:tcW w:w="1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64"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To maintain our tax treatment as a RIC, we must make certain distributions. See “Material U.S. Federal Income Tax Considerations-Regulated Investment Company Classification.”</w:t>
            </w:r>
          </w:p>
        </w:tc>
      </w:tr>
      <w:tr>
        <w:trPr/>
        <w:tc>
          <w:tcPr>
            <w:tcW w:w="1721" w:type="dxa"/>
            <w:tcBorders/>
            <w:vAlign w:val="center"/>
          </w:tcPr>
          <w:p>
            <w:pPr>
              <w:pStyle w:val="TableContents"/>
              <w:bidi w:val="0"/>
              <w:spacing w:before="0" w:after="283"/>
              <w:jc w:val="left"/>
              <w:rPr>
                <w:sz w:val="4"/>
                <w:szCs w:val="4"/>
              </w:rPr>
            </w:pPr>
            <w:r>
              <w:rPr>
                <w:sz w:val="4"/>
                <w:szCs w:val="4"/>
              </w:rPr>
            </w:r>
          </w:p>
        </w:tc>
        <w:tc>
          <w:tcPr>
            <w:tcW w:w="8484" w:type="dxa"/>
            <w:gridSpan w:val="2"/>
            <w:tcBorders/>
            <w:vAlign w:val="center"/>
          </w:tcPr>
          <w:p>
            <w:pPr>
              <w:pStyle w:val="TableContents"/>
              <w:bidi w:val="0"/>
              <w:spacing w:before="0" w:after="283"/>
              <w:jc w:val="left"/>
              <w:rPr>
                <w:sz w:val="4"/>
                <w:szCs w:val="4"/>
              </w:rPr>
            </w:pPr>
            <w:r>
              <w:rPr>
                <w:sz w:val="4"/>
                <w:szCs w:val="4"/>
              </w:rPr>
            </w:r>
          </w:p>
        </w:tc>
      </w:tr>
      <w:tr>
        <w:trPr/>
        <w:tc>
          <w:tcPr>
            <w:tcW w:w="1721" w:type="dxa"/>
            <w:tcBorders/>
            <w:vAlign w:val="center"/>
          </w:tcPr>
          <w:p>
            <w:pPr>
              <w:pStyle w:val="TableContents"/>
              <w:bidi w:val="0"/>
              <w:spacing w:before="0" w:after="283"/>
              <w:jc w:val="left"/>
              <w:rPr>
                <w:b/>
              </w:rPr>
            </w:pPr>
            <w:r>
              <w:rPr>
                <w:b/>
              </w:rPr>
              <w:t>Anti-Takeover Provisions</w:t>
            </w:r>
          </w:p>
        </w:tc>
        <w:tc>
          <w:tcPr>
            <w:tcW w:w="120" w:type="dxa"/>
            <w:tcBorders/>
            <w:vAlign w:val="center"/>
          </w:tcPr>
          <w:p>
            <w:pPr>
              <w:pStyle w:val="TableContents"/>
              <w:bidi w:val="0"/>
              <w:spacing w:before="0" w:after="283"/>
              <w:jc w:val="left"/>
              <w:rPr/>
            </w:pPr>
            <w:r>
              <w:rPr/>
              <w:t>  </w:t>
            </w:r>
          </w:p>
        </w:tc>
        <w:tc>
          <w:tcPr>
            <w:tcW w:w="8364" w:type="dxa"/>
            <w:tcBorders/>
            <w:vAlign w:val="center"/>
          </w:tcPr>
          <w:p>
            <w:pPr>
              <w:pStyle w:val="TableContents"/>
              <w:bidi w:val="0"/>
              <w:spacing w:before="0" w:after="283"/>
              <w:jc w:val="left"/>
              <w:rPr/>
            </w:pPr>
            <w:r>
              <w:rPr/>
              <w:t>Our Board is divided into three classes of directors serving staggered three-year terms. This structure is intended to provide us with a greater likelihood of continuity of management, which may be necessary for us to realize the full value of our investments. A staggered board of directors also may serve to deter hostile takeovers or proxy contests, as may certain other measures adopted by us. See “Description of Our Capital Stock—Anti-Takeover Provisions.”</w:t>
            </w:r>
          </w:p>
        </w:tc>
      </w:tr>
      <w:tr>
        <w:trPr/>
        <w:tc>
          <w:tcPr>
            <w:tcW w:w="1721" w:type="dxa"/>
            <w:tcBorders/>
            <w:vAlign w:val="center"/>
          </w:tcPr>
          <w:p>
            <w:pPr>
              <w:pStyle w:val="TableContents"/>
              <w:bidi w:val="0"/>
              <w:spacing w:before="0" w:after="283"/>
              <w:jc w:val="left"/>
              <w:rPr>
                <w:sz w:val="4"/>
                <w:szCs w:val="4"/>
              </w:rPr>
            </w:pPr>
            <w:r>
              <w:rPr>
                <w:sz w:val="4"/>
                <w:szCs w:val="4"/>
              </w:rPr>
            </w:r>
          </w:p>
        </w:tc>
        <w:tc>
          <w:tcPr>
            <w:tcW w:w="8484" w:type="dxa"/>
            <w:gridSpan w:val="2"/>
            <w:tcBorders/>
            <w:vAlign w:val="center"/>
          </w:tcPr>
          <w:p>
            <w:pPr>
              <w:pStyle w:val="TableContents"/>
              <w:bidi w:val="0"/>
              <w:spacing w:before="0" w:after="283"/>
              <w:jc w:val="left"/>
              <w:rPr>
                <w:sz w:val="4"/>
                <w:szCs w:val="4"/>
              </w:rPr>
            </w:pPr>
            <w:r>
              <w:rPr>
                <w:sz w:val="4"/>
                <w:szCs w:val="4"/>
              </w:rPr>
            </w:r>
          </w:p>
        </w:tc>
      </w:tr>
      <w:tr>
        <w:trPr/>
        <w:tc>
          <w:tcPr>
            <w:tcW w:w="1721" w:type="dxa"/>
            <w:tcBorders/>
            <w:vAlign w:val="center"/>
          </w:tcPr>
          <w:p>
            <w:pPr>
              <w:pStyle w:val="TableContents"/>
              <w:bidi w:val="0"/>
              <w:spacing w:before="0" w:after="283"/>
              <w:jc w:val="left"/>
              <w:rPr>
                <w:b/>
              </w:rPr>
            </w:pPr>
            <w:r>
              <w:rPr>
                <w:b/>
              </w:rPr>
              <w:t>Leverage</w:t>
            </w:r>
          </w:p>
        </w:tc>
        <w:tc>
          <w:tcPr>
            <w:tcW w:w="120" w:type="dxa"/>
            <w:tcBorders/>
            <w:vAlign w:val="center"/>
          </w:tcPr>
          <w:p>
            <w:pPr>
              <w:pStyle w:val="TableContents"/>
              <w:bidi w:val="0"/>
              <w:spacing w:before="0" w:after="283"/>
              <w:jc w:val="left"/>
              <w:rPr/>
            </w:pPr>
            <w:r>
              <w:rPr/>
              <w:t>  </w:t>
            </w:r>
          </w:p>
        </w:tc>
        <w:tc>
          <w:tcPr>
            <w:tcW w:w="83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a BDC, we are permitted under the 1940 Act to borrow funds or issue senior securities to finance a portion of our investments. As a result, we are exposed to the risks of leverage, which may be considered a speculative investment technique.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“Regulation as a Business Development Company” in Part I, Item 1 of our 2022 Annual Report.</w:t>
            </w:r>
          </w:p>
        </w:tc>
      </w:tr>
      <w:tr>
        <w:trPr/>
        <w:tc>
          <w:tcPr>
            <w:tcW w:w="1721" w:type="dxa"/>
            <w:tcBorders/>
            <w:vAlign w:val="center"/>
          </w:tcPr>
          <w:p>
            <w:pPr>
              <w:pStyle w:val="TableContents"/>
              <w:bidi w:val="0"/>
              <w:spacing w:before="0" w:after="283"/>
              <w:jc w:val="left"/>
              <w:rPr>
                <w:sz w:val="4"/>
                <w:szCs w:val="4"/>
              </w:rPr>
            </w:pPr>
            <w:r>
              <w:rPr>
                <w:sz w:val="4"/>
                <w:szCs w:val="4"/>
              </w:rPr>
            </w:r>
          </w:p>
        </w:tc>
        <w:tc>
          <w:tcPr>
            <w:tcW w:w="8484" w:type="dxa"/>
            <w:gridSpan w:val="2"/>
            <w:tcBorders/>
            <w:vAlign w:val="center"/>
          </w:tcPr>
          <w:p>
            <w:pPr>
              <w:pStyle w:val="TableContents"/>
              <w:bidi w:val="0"/>
              <w:spacing w:before="0" w:after="283"/>
              <w:jc w:val="left"/>
              <w:rPr>
                <w:sz w:val="4"/>
                <w:szCs w:val="4"/>
              </w:rPr>
            </w:pPr>
            <w:r>
              <w:rPr>
                <w:sz w:val="4"/>
                <w:szCs w:val="4"/>
              </w:rPr>
            </w:r>
          </w:p>
        </w:tc>
      </w:tr>
      <w:tr>
        <w:trPr/>
        <w:tc>
          <w:tcPr>
            <w:tcW w:w="1721" w:type="dxa"/>
            <w:tcBorders/>
            <w:vAlign w:val="center"/>
          </w:tcPr>
          <w:p>
            <w:pPr>
              <w:pStyle w:val="TableContents"/>
              <w:bidi w:val="0"/>
              <w:spacing w:before="0" w:after="283"/>
              <w:jc w:val="left"/>
              <w:rPr>
                <w:b/>
              </w:rPr>
            </w:pPr>
            <w:r>
              <w:rPr>
                <w:b/>
              </w:rPr>
              <w:t>Dividend Reinvestment Plan</w:t>
            </w:r>
          </w:p>
        </w:tc>
        <w:tc>
          <w:tcPr>
            <w:tcW w:w="120" w:type="dxa"/>
            <w:tcBorders/>
            <w:vAlign w:val="center"/>
          </w:tcPr>
          <w:p>
            <w:pPr>
              <w:pStyle w:val="TableContents"/>
              <w:bidi w:val="0"/>
              <w:spacing w:before="0" w:after="283"/>
              <w:jc w:val="left"/>
              <w:rPr/>
            </w:pPr>
            <w:r>
              <w:rPr/>
              <w:t>  </w:t>
            </w:r>
          </w:p>
        </w:tc>
        <w:tc>
          <w:tcPr>
            <w:tcW w:w="8364" w:type="dxa"/>
            <w:tcBorders/>
            <w:vAlign w:val="center"/>
          </w:tcPr>
          <w:p>
            <w:pPr>
              <w:pStyle w:val="TableContents"/>
              <w:bidi w:val="0"/>
              <w:spacing w:before="0" w:after="283"/>
              <w:jc w:val="left"/>
              <w:rPr/>
            </w:pPr>
            <w:r>
              <w:rPr/>
              <w:t>We have adopted a dividend reinvestment plan for our stockholders, which is an “opt out” dividend reinvestment plan. Under this plan, if we declare a cash dividend or other distribution, our stockholders who have not elected to “opt out” of our dividend reinvestment plan will have their cash distribution automatically reinvested in additional shares of our common stock, rather than receiving the cash distribution. If a stockholder elects to “opt out,” that stockholder will receive cash dividends or other distributions.</w:t>
            </w:r>
          </w:p>
        </w:tc>
      </w:tr>
      <w:tr>
        <w:trPr/>
        <w:tc>
          <w:tcPr>
            <w:tcW w:w="1721" w:type="dxa"/>
            <w:tcBorders/>
            <w:vAlign w:val="center"/>
          </w:tcPr>
          <w:p>
            <w:pPr>
              <w:pStyle w:val="TableContents"/>
              <w:bidi w:val="0"/>
              <w:spacing w:before="0" w:after="283"/>
              <w:jc w:val="left"/>
              <w:rPr>
                <w:sz w:val="4"/>
                <w:szCs w:val="4"/>
              </w:rPr>
            </w:pPr>
            <w:r>
              <w:rPr>
                <w:sz w:val="4"/>
                <w:szCs w:val="4"/>
              </w:rPr>
            </w:r>
          </w:p>
        </w:tc>
        <w:tc>
          <w:tcPr>
            <w:tcW w:w="8484" w:type="dxa"/>
            <w:gridSpan w:val="2"/>
            <w:tcBorders/>
            <w:vAlign w:val="center"/>
          </w:tcPr>
          <w:p>
            <w:pPr>
              <w:pStyle w:val="TableContents"/>
              <w:bidi w:val="0"/>
              <w:spacing w:before="0" w:after="283"/>
              <w:jc w:val="left"/>
              <w:rPr>
                <w:sz w:val="4"/>
                <w:szCs w:val="4"/>
              </w:rPr>
            </w:pPr>
            <w:r>
              <w:rPr>
                <w:sz w:val="4"/>
                <w:szCs w:val="4"/>
              </w:rPr>
            </w:r>
          </w:p>
        </w:tc>
      </w:tr>
      <w:tr>
        <w:trPr/>
        <w:tc>
          <w:tcPr>
            <w:tcW w:w="1721" w:type="dxa"/>
            <w:tcBorders/>
            <w:vAlign w:val="center"/>
          </w:tcPr>
          <w:p>
            <w:pPr>
              <w:pStyle w:val="TableContents"/>
              <w:bidi w:val="0"/>
              <w:spacing w:before="0" w:after="283"/>
              <w:jc w:val="left"/>
              <w:rPr>
                <w:b/>
              </w:rPr>
            </w:pPr>
            <w:r>
              <w:rPr>
                <w:b/>
              </w:rPr>
              <w:t>Taxation</w:t>
            </w:r>
          </w:p>
        </w:tc>
        <w:tc>
          <w:tcPr>
            <w:tcW w:w="120" w:type="dxa"/>
            <w:tcBorders/>
            <w:vAlign w:val="center"/>
          </w:tcPr>
          <w:p>
            <w:pPr>
              <w:pStyle w:val="TableContents"/>
              <w:bidi w:val="0"/>
              <w:spacing w:before="0" w:after="283"/>
              <w:jc w:val="left"/>
              <w:rPr/>
            </w:pPr>
            <w:r>
              <w:rPr/>
              <w:t>  </w:t>
            </w:r>
          </w:p>
        </w:tc>
        <w:tc>
          <w:tcPr>
            <w:tcW w:w="8364" w:type="dxa"/>
            <w:tcBorders/>
            <w:vAlign w:val="center"/>
          </w:tcPr>
          <w:p>
            <w:pPr>
              <w:pStyle w:val="TableContents"/>
              <w:bidi w:val="0"/>
              <w:spacing w:before="0" w:after="283"/>
              <w:jc w:val="left"/>
              <w:rPr/>
            </w:pPr>
            <w:r>
              <w:rPr/>
              <w:t>We have elected to be treated as a RIC for U.S. federal income tax purposes. Our status as a RIC will enable us to deduct qualifying distributions to our stockholders, so that we will be subject to corporate-level U.S. federal income taxation only in respect of earnings that we retain and do not distribute.</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maintain our status as a RIC and to avoid being subject to corporate-level U.S. federal income taxation on our earnings, we must, among other things: </w:t>
      </w:r>
    </w:p>
    <w:p>
      <w:pPr>
        <w:pStyle w:val="TextBody"/>
        <w:bidi w:val="0"/>
        <w:spacing w:before="0" w:after="0"/>
        <w:jc w:val="left"/>
        <w:rPr>
          <w:bdr w:val="single" w:sz="8" w:space="1" w:color="000000"/>
        </w:rPr>
      </w:pPr>
      <w:r>
        <w:rPr>
          <w:bdr w:val="single" w:sz="8" w:space="1" w:color="000000"/>
        </w:rPr>
        <w:t> </w:t>
      </w:r>
    </w:p>
    <w:tbl>
      <w:tblPr>
        <w:tblW w:w="5575" w:type="dxa"/>
        <w:jc w:val="left"/>
        <w:tblInd w:w="0" w:type="dxa"/>
        <w:tblLayout w:type="fixed"/>
        <w:tblCellMar>
          <w:top w:w="0" w:type="dxa"/>
          <w:left w:w="0" w:type="dxa"/>
          <w:bottom w:w="0" w:type="dxa"/>
          <w:right w:w="0" w:type="dxa"/>
        </w:tblCellMar>
      </w:tblPr>
      <w:tblGrid>
        <w:gridCol w:w="75"/>
        <w:gridCol w:w="110"/>
        <w:gridCol w:w="60"/>
        <w:gridCol w:w="5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our election under the 1940 Act to be treated as a BDC;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derive in each taxable year at least 90% of our gross income from dividends, interest, gains from the sale or other disposition of stock or securities and other specified categories of investment income; and </w:t>
            </w:r>
          </w:p>
        </w:tc>
      </w:tr>
    </w:tbl>
    <w:p>
      <w:pPr>
        <w:pStyle w:val="TextBody"/>
        <w:bidi w:val="0"/>
        <w:spacing w:before="0" w:after="0"/>
        <w:jc w:val="left"/>
        <w:rPr>
          <w:bdr w:val="single" w:sz="8" w:space="1" w:color="000000"/>
        </w:rPr>
      </w:pPr>
      <w:r>
        <w:rPr>
          <w:bdr w:val="single" w:sz="8" w:space="1" w:color="000000"/>
        </w:rPr>
        <w:t> </w:t>
      </w:r>
    </w:p>
    <w:tbl>
      <w:tblPr>
        <w:tblW w:w="2770" w:type="dxa"/>
        <w:jc w:val="left"/>
        <w:tblInd w:w="0" w:type="dxa"/>
        <w:tblLayout w:type="fixed"/>
        <w:tblCellMar>
          <w:top w:w="0" w:type="dxa"/>
          <w:left w:w="0" w:type="dxa"/>
          <w:bottom w:w="0" w:type="dxa"/>
          <w:right w:w="0" w:type="dxa"/>
        </w:tblCellMar>
      </w:tblPr>
      <w:tblGrid>
        <w:gridCol w:w="75"/>
        <w:gridCol w:w="110"/>
        <w:gridCol w:w="60"/>
        <w:gridCol w:w="2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diversified holdings.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we must distribute (or be treated as distributing) in each taxable year dividends for tax purposes equal to at least 90% of our investment company taxable income and net tax-exempt income for that taxable year.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RIC, we generally will not be subject to corporate-level U.S. federal income tax on our investment company taxable income and net capital gains that we distribute to stockholders. If we fail to distribute our investment company taxable income or net capital gains on a timely basis, we will be subject to a nondeductible 4% U.S. federal excise tax. We can be expected to carry forward investment company taxable income in excess of current year distributions into the next tax year and pay a 4% excise tax on such income. We elected to retain a portion of income and capital gains for the nine months ended September 30, 2023. For the three and nine months ended September 30, 2023 we recorded a net expense of $0.5 million and $1.8 million, respectively, for U.S. federal excise tax and other taxes. For the three and nine months ended September 30, 2022, the Company recorded a net expense of $0.4 million and $1.5 million, respectively, for U.S. federal excise tax and other taxes and for the calendar years ended December 31, 2022 and 2021 and we recorded a net expense of, $2.6 million and $0.4 million, respectively, for U.S. federal excise tax as a result. Any carryover of investment company taxable income or net capital gains must be timely declared and distributed as a dividend in the taxable year following the taxable year in which the income or gains were earned. See “Price Range of Common Stock and Distributions” and “Material U.S. Federal Income Tax Considerations.”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Stockholders who receive dividends and other distributions in the form of shares of common stock generally are subject to the same U.S. federal tax consequences as stockholders who elect to receive their distributions in cash; however, since their cash dividends will be reinvested, those stockholders will not receive cash with which to pay any applicable taxes on reinvested dividends. See “Dividend Reinvestment Plan.”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Management Arrangements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Adviser serves as our investment adviser and our administrator. For more information regarding our Adviser and Sixth Street and our contractual arrangements with these companies, see “Management Agreements” in Part I, Item 1 of our 2022 Annual Report and Note 3 to our consolidated financial statements in our 3Q 2023 Quarterly Report.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Trading at a Discount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Shares of closed-end investment companies, including BDCs, frequently trade at a discount to their net asset value. We are not generally able to issue and sell our common stock at a price below our net asset value per share except (a) in connection with a rights offering to our existing stockholders, (b) with the prior approval of the majority of our outstanding voting securities or (c) under such other circumstances as the SEC may permit. The risk that our shares may trade at a discount to our net asset value is separate and distinct from the risk that our net asset value per share may decline. We cannot predict whether our shares will trade at a price per share above, at or below net asset value per share. See “Risk Factors-Risks Related to Offerings Pursuant to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Available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filed with the SEC a registration statement on Form N-2, of which this prospectus is a part, under the Securities Act. This registration statement contains additional information about us and the securities being offered by this prospectus. We are also required to file periodic reports, current reports, proxy statements and other information with the SEC.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maintain a website at https://sixthstreetspecialtylending.com and make all of our periodic and current reports, proxy statements and other information available, free of charge, on or through our website.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on our website is not incorporated into or part of this prospectus. You may also obtain such information free of charge by contacting us in writing at 888 7th Avenue, 41st Floor, New York, NY 10106, Attention: TSLX Investor Relations, or by emailing us at IRTSLX@sixthstreet.com.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Information Incorporated by Reference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rules of the SEC allow us to incorporate by reference information into this prospectus. The information incorporated by reference is considered to be a part of this prospectus, and information that we file later with the SEC will automatically update and supersede this information. See “Information Incorporated by Reference”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5" w:name="toc570824_4"/>
      <w:bookmarkEnd w:id="5"/>
      <w:r>
        <w:rPr>
          <w:rFonts w:ascii="Times New Roman" w:hAnsi="Times New Roman"/>
          <w:b/>
          <w:sz w:val="20"/>
          <w:bdr w:val="single" w:sz="8" w:space="1" w:color="000000"/>
        </w:rPr>
        <w:t xml:space="preserve">FEES AND EXPENSES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“Sixth Street Specialty Lending, Inc.” or says that “we” will pay fees or expenses, stockholders will indirectly bear these fees or expenses as investors in Sixth Street Specialty Lending, Inc. </w:t>
      </w:r>
    </w:p>
    <w:p>
      <w:pPr>
        <w:pStyle w:val="TextBody"/>
        <w:bidi w:val="0"/>
        <w:spacing w:before="0" w:after="0"/>
        <w:jc w:val="left"/>
        <w:rPr>
          <w:bdr w:val="single" w:sz="8" w:space="1" w:color="000000"/>
        </w:rPr>
      </w:pPr>
      <w:r>
        <w:rPr>
          <w:bdr w:val="single" w:sz="8" w:space="1" w:color="000000"/>
        </w:rPr>
        <w:t> </w:t>
      </w:r>
    </w:p>
    <w:tbl>
      <w:tblPr>
        <w:tblW w:w="7025" w:type="dxa"/>
        <w:jc w:val="left"/>
        <w:tblInd w:w="0" w:type="dxa"/>
        <w:tblLayout w:type="fixed"/>
        <w:tblCellMar>
          <w:top w:w="0" w:type="dxa"/>
          <w:left w:w="0" w:type="dxa"/>
          <w:bottom w:w="0" w:type="dxa"/>
          <w:right w:w="0" w:type="dxa"/>
        </w:tblCellMar>
      </w:tblPr>
      <w:tblGrid>
        <w:gridCol w:w="5780"/>
        <w:gridCol w:w="120"/>
        <w:gridCol w:w="60"/>
        <w:gridCol w:w="380"/>
        <w:gridCol w:w="60"/>
        <w:gridCol w:w="120"/>
        <w:gridCol w:w="60"/>
        <w:gridCol w:w="275"/>
        <w:gridCol w:w="170"/>
      </w:tblGrid>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 transaction expenses (as a percentage of offering price):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load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(1 </w:t>
            </w:r>
          </w:p>
        </w:tc>
        <w:tc>
          <w:tcPr>
            <w:tcW w:w="170" w:type="dxa"/>
            <w:tcBorders/>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Offering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(2 </w:t>
            </w:r>
          </w:p>
        </w:tc>
        <w:tc>
          <w:tcPr>
            <w:tcW w:w="170" w:type="dxa"/>
            <w:tcBorders/>
            <w:shd w:fill="CCEEFF" w:val="cle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reinvestment plan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(3 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9190" w:type="dxa"/>
        <w:jc w:val="left"/>
        <w:tblInd w:w="0" w:type="dxa"/>
        <w:tblLayout w:type="fixed"/>
        <w:tblCellMar>
          <w:top w:w="0" w:type="dxa"/>
          <w:left w:w="0" w:type="dxa"/>
          <w:bottom w:w="0" w:type="dxa"/>
          <w:right w:w="0" w:type="dxa"/>
        </w:tblCellMar>
      </w:tblPr>
      <w:tblGrid>
        <w:gridCol w:w="7610"/>
        <w:gridCol w:w="120"/>
        <w:gridCol w:w="60"/>
        <w:gridCol w:w="560"/>
        <w:gridCol w:w="275"/>
        <w:gridCol w:w="60"/>
        <w:gridCol w:w="60"/>
        <w:gridCol w:w="275"/>
        <w:gridCol w:w="170"/>
      </w:tblGrid>
      <w:tr>
        <w:trPr/>
        <w:tc>
          <w:tcPr>
            <w:tcW w:w="7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Estimated annual expenses (as a percentage of net assets attributable to common stock)(4):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Management Fee payable under the Investment Advisory 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2.97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(5 </w:t>
            </w:r>
          </w:p>
        </w:tc>
        <w:tc>
          <w:tcPr>
            <w:tcW w:w="170" w:type="dxa"/>
            <w:tcBorders/>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Incentive Fee payable under the Investment Advisory Agreement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2.49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(6 </w:t>
            </w:r>
          </w:p>
        </w:tc>
        <w:tc>
          <w:tcPr>
            <w:tcW w:w="170" w:type="dxa"/>
            <w:tcBorders/>
            <w:shd w:fill="CCEEFF" w:val="clear"/>
            <w:vAlign w:val="center"/>
          </w:tcPr>
          <w:p>
            <w:pPr>
              <w:pStyle w:val="TableContents"/>
              <w:bidi w:val="0"/>
              <w:spacing w:before="0" w:after="283"/>
              <w:jc w:val="left"/>
              <w:rPr/>
            </w:pPr>
            <w:r>
              <w:rPr/>
              <w:t>) </w:t>
            </w:r>
          </w:p>
        </w:tc>
      </w:tr>
      <w:tr>
        <w:trPr/>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payments on borrowed funds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4.17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(7 </w:t>
            </w:r>
          </w:p>
        </w:tc>
        <w:tc>
          <w:tcPr>
            <w:tcW w:w="170" w:type="dxa"/>
            <w:tcBorders/>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(8 </w:t>
            </w:r>
          </w:p>
        </w:tc>
        <w:tc>
          <w:tcPr>
            <w:tcW w:w="170" w:type="dxa"/>
            <w:tcBorders/>
            <w:shd w:fill="CCEEFF" w:val="clear"/>
            <w:vAlign w:val="center"/>
          </w:tcPr>
          <w:p>
            <w:pPr>
              <w:pStyle w:val="TableContents"/>
              <w:bidi w:val="0"/>
              <w:spacing w:before="0" w:after="283"/>
              <w:jc w:val="left"/>
              <w:rPr/>
            </w:pPr>
            <w:r>
              <w:rPr/>
              <w:t>) </w:t>
            </w:r>
          </w:p>
        </w:tc>
      </w:tr>
      <w:tr>
        <w:trPr/>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annual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10.83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securities to which this prospectus relates are sold to or through underwriters, a corresponding prospectus supplement will disclose the applicable sales load (underwriting discount or commission).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related prospectus supplement will disclose the estimated amount of offering expenses, the offering price and the offering expenses borne by us as a percentage of the offering price.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(4)</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net assets attributable to common stock used to calculate the percentages in this table reflect our net assets of $1,341.6 million as of December 31, 2022.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(5)</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2022 Annual Report and in Note 3 to our consolidated financial statements in our 3Q 2023 Quarterly Report.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Management Fee reflected in the table is calculated by determining the ratio that the Management Fee for the year ended December 31, 2022 bears to our net assets attributable to common stock (rather than our gross assets).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From time to time, our Adviser voluntarily has waived certain Management Fees. See “Management’s Discussion and Analysis of Financial Condition and Results of Operations-Results of Operations-Management Fees” in Part II, Item 7 of our 2022 Annual Report and in Part I, Item 2 of our 3Q 2023 Quarterly Report. The above estimates are based on our actual Management Fees for the year ended December 31, 2022. For the year ended December 31, 2022, Management Fees of $0.4 million were waived consisting solely of Management Fees pursuant to the Leverage Waiver.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Management Fees of $0.3 million and $0.8 million have been waived pursuant to the Leverage Waiver. 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2022 and assumes that the Incentive Fee is 17.5% for all relevant periods. However, the Incentive Fee payable to the Adviser is based on our performance and will not be paid unless we achieve certain goals. </w:t>
      </w:r>
    </w:p>
    <w:p>
      <w:pPr>
        <w:pStyle w:val="TextBody"/>
        <w:bidi w:val="0"/>
        <w:spacing w:before="0" w:after="0"/>
        <w:jc w:val="left"/>
        <w:rPr>
          <w:bdr w:val="single" w:sz="8" w:space="1" w:color="000000"/>
        </w:rPr>
      </w:pPr>
      <w:r>
        <w:rPr>
          <w:bdr w:val="single" w:sz="8" w:space="1" w:color="000000"/>
        </w:rPr>
        <w:t> </w:t>
      </w:r>
    </w:p>
    <w:tbl>
      <w:tblPr>
        <w:tblW w:w="4480" w:type="dxa"/>
        <w:jc w:val="left"/>
        <w:tblInd w:w="0" w:type="dxa"/>
        <w:tblLayout w:type="fixed"/>
        <w:tblCellMar>
          <w:top w:w="0" w:type="dxa"/>
          <w:left w:w="0" w:type="dxa"/>
          <w:bottom w:w="0" w:type="dxa"/>
          <w:right w:w="0" w:type="dxa"/>
        </w:tblCellMar>
      </w:tblPr>
      <w:tblGrid>
        <w:gridCol w:w="305"/>
        <w:gridCol w:w="4175"/>
      </w:tblGrid>
      <w:tr>
        <w:trPr/>
        <w:tc>
          <w:tcPr>
            <w:tcW w:w="305" w:type="dxa"/>
            <w:tcBorders/>
            <w:vAlign w:val="center"/>
          </w:tcPr>
          <w:p>
            <w:pPr>
              <w:pStyle w:val="TableContents"/>
              <w:bidi w:val="0"/>
              <w:spacing w:before="0" w:after="283"/>
              <w:jc w:val="left"/>
              <w:rPr/>
            </w:pPr>
            <w:r>
              <w:rPr/>
              <w:t>(6)</w:t>
            </w:r>
          </w:p>
        </w:tc>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Incentive Fee consists of two parts, as follows: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(ii) 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purposes of determining whether pre-Incentive Fee net investment income exceeds the hurdle rate, pre-Incentive Fee net investment income is expressed as a rate of return on the value of our net assets at the end of the immediately preceding calendar quarter.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Section 205(b)(3) of the Advisers Act, as amended, prohibits the Adviser from receiving the payment of fees on unrealized gains until those gains are realized, if ever. There can be no assurance that such unrealized gains will be realized in the future.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Note 3 to our consolidated financial statements in our 2022 Annual Report and our 3Q 2023 Quarterly Report and “Management Agreements-Investment Advisory Agreement; Administration Agreement; License Agreement” in Part I, Item 1 of our 2022 Annual Report and Note 3 to our consolidated financial statements in our 3Q 2023 Quarterly Report.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From time to time, our Adviser has voluntarily waived certain Incentive Fees. See “Management’s Discussion and Analysis of Financial Condition and Results of Operations-Results of Operations-Incentive Fees” in Part II, Item 7 of our 2022 Annual Report and in Part I, Item 2 of our 3Q 2023 Quarterly Report. The above estimates do not reflect or assume any such waivers.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(7)</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Interest payments on borrowed funds is based on our interest expense for the year ended December 31, 2022 under our credit facilities excluding fees (such as fees on undrawn amounts and amortization of upfront fees) and including the swap-adjusted interest expense related to our 2022 Convertible Notes, 2023 Notes, 2024 Notes and 2026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 SBCAA.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(8)</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our overhead expenses, such as payments under the Administration Agreement for certain expenses incurred by the Adviser, and excise taxes. See “Management Agreements-Investment Advisory Agreement; Administration Agreement; License Agreement” in Part I, Item 1 of our 2022 Annual Report and Note 3 to our consolidated financial statements in our 3Q 2023 Quarterly Report. The expenses in this table are based on our actual other expenses and excise taxes for the year ended December 31, 2022.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Example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6480"/>
        <w:gridCol w:w="120"/>
        <w:gridCol w:w="227"/>
        <w:gridCol w:w="423"/>
        <w:gridCol w:w="60"/>
        <w:gridCol w:w="120"/>
        <w:gridCol w:w="199"/>
        <w:gridCol w:w="541"/>
        <w:gridCol w:w="60"/>
        <w:gridCol w:w="120"/>
        <w:gridCol w:w="199"/>
        <w:gridCol w:w="541"/>
        <w:gridCol w:w="60"/>
        <w:gridCol w:w="120"/>
        <w:gridCol w:w="231"/>
        <w:gridCol w:w="629"/>
        <w:gridCol w:w="75"/>
      </w:tblGrid>
      <w:tr>
        <w:trPr/>
        <w:tc>
          <w:tcPr>
            <w:tcW w:w="6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 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5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10 years</w:t>
            </w:r>
          </w:p>
        </w:tc>
        <w:tc>
          <w:tcPr>
            <w:tcW w:w="75" w:type="dxa"/>
            <w:tcBorders/>
            <w:vAlign w:val="center"/>
          </w:tcPr>
          <w:p>
            <w:pPr>
              <w:pStyle w:val="TableContents"/>
              <w:bidi w:val="0"/>
              <w:spacing w:before="0" w:after="283"/>
              <w:jc w:val="left"/>
              <w:rPr/>
            </w:pPr>
            <w:r>
              <w:rPr/>
              <w:t> </w:t>
            </w:r>
          </w:p>
        </w:tc>
      </w:tr>
      <w:tr>
        <w:trPr/>
        <w:tc>
          <w:tcPr>
            <w:tcW w:w="6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You would pay the following expenses on a $1,000 common stock investment, assuming a 5% annual return from realized capital gains</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423" w:type="dxa"/>
            <w:tcBorders/>
            <w:shd w:fill="CCEEFF" w:val="clear"/>
            <w:vAlign w:val="center"/>
          </w:tcPr>
          <w:p>
            <w:pPr>
              <w:pStyle w:val="TableContents"/>
              <w:bidi w:val="0"/>
              <w:spacing w:before="0" w:after="283"/>
              <w:jc w:val="right"/>
              <w:rPr/>
            </w:pPr>
            <w:r>
              <w:rPr/>
              <w:t>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265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423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765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This example and the expenses in the table above should not be considered a representation of our future expenses, and actual expenses (including the cost of debt, if any, and other expenses) may be greater or less than those shown.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6" w:name="toc570824_4a"/>
      <w:bookmarkEnd w:id="6"/>
      <w:r>
        <w:rPr>
          <w:rFonts w:ascii="Times New Roman" w:hAnsi="Times New Roman"/>
          <w:b/>
          <w:sz w:val="20"/>
        </w:rPr>
        <w:t xml:space="preserve">FINANCIAL HIGHLIGHTS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data set forth in the following table as of and for the years ended December 31, 2022, 2021, 2020, 2019, 2018, 2017, 2016, 2015, 2014 and 2013 are derived from our consolidated financial statements, which have been audited by KPMG LLP, an independent registered public accounting firm whose reports thereon are incorporated by reference in this prospectus, certain documents incorporated by reference in this prospectus or the accompanying prospectus supplement, or our Annual Reports on Form 10-K filed with the SEC, which may be obtained from www.sec.gov or upon request. The financial data set forth in the following table as of and for the nine months ended September 30, 2023, is derived from our unaudited financial statements, but in the opinion of management, reflects all adjustments (consisting only of normal recurring adjustments) that are necessary to present fairly the results of such interim period. Interim results as of and for the nine months ended September 30, 2023, are not necessarily indicative of the results that may be expected for the year ending December 31, 2023. You should read these financial highlights in conjunction with our consolidated financial statements and notes thereto and “Management’s Discussion and Analysis of Financial Condition and Results of Operations” incorporated by reference into this prospectus, any documents incorporated by reference in this prospectus or the accompanying prospectus supplement, or our Annual Reports on Form 10-K filed with the SEC. </w:t>
      </w:r>
    </w:p>
    <w:p>
      <w:pPr>
        <w:pStyle w:val="TextBody"/>
        <w:bidi w:val="0"/>
        <w:spacing w:before="0" w:after="0"/>
        <w:jc w:val="left"/>
        <w:rPr/>
      </w:pPr>
      <w:r>
        <w:rPr/>
        <w:t> </w:t>
      </w:r>
    </w:p>
    <w:tbl>
      <w:tblPr>
        <w:tblW w:w="10700" w:type="dxa"/>
        <w:jc w:val="left"/>
        <w:tblInd w:w="0" w:type="dxa"/>
        <w:tblLayout w:type="fixed"/>
        <w:tblCellMar>
          <w:top w:w="0" w:type="dxa"/>
          <w:left w:w="0" w:type="dxa"/>
          <w:bottom w:w="0" w:type="dxa"/>
          <w:right w:w="0" w:type="dxa"/>
        </w:tblCellMar>
      </w:tblPr>
      <w:tblGrid>
        <w:gridCol w:w="845"/>
        <w:gridCol w:w="60"/>
        <w:gridCol w:w="295"/>
        <w:gridCol w:w="1180"/>
        <w:gridCol w:w="155"/>
        <w:gridCol w:w="60"/>
        <w:gridCol w:w="283"/>
        <w:gridCol w:w="1132"/>
        <w:gridCol w:w="155"/>
        <w:gridCol w:w="60"/>
        <w:gridCol w:w="283"/>
        <w:gridCol w:w="1132"/>
        <w:gridCol w:w="155"/>
        <w:gridCol w:w="60"/>
        <w:gridCol w:w="283"/>
        <w:gridCol w:w="1132"/>
        <w:gridCol w:w="155"/>
        <w:gridCol w:w="60"/>
        <w:gridCol w:w="283"/>
        <w:gridCol w:w="1132"/>
        <w:gridCol w:w="155"/>
        <w:gridCol w:w="60"/>
        <w:gridCol w:w="283"/>
        <w:gridCol w:w="1132"/>
        <w:gridCol w:w="170"/>
      </w:tblGrid>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Nine Months</w:t>
              <w:br/>
              <w:t>Ended</w:t>
              <w:br/>
              <w:t>September 30,</w:t>
              <w:b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2018</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Per Share Data(8)</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asset value, beginning of period</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16.48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16.84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17.16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16.83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16.25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16.09</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investment income(1)</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2.25</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realized and unrealized gains (losses)(1)</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0.35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(0.39</w:t>
            </w:r>
          </w:p>
        </w:tc>
        <w:tc>
          <w:tcPr>
            <w:tcW w:w="17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pBdr>
                <w:top w:val="single" w:sz="2" w:space="1" w:color="000000"/>
              </w:pBdr>
              <w:bidi w:val="0"/>
              <w:spacing w:before="0" w:after="0"/>
              <w:jc w:val="left"/>
              <w:rPr/>
            </w:pPr>
            <w:r>
              <w:rPr/>
              <w:t> </w:t>
            </w:r>
          </w:p>
        </w:tc>
        <w:tc>
          <w:tcPr>
            <w:tcW w:w="11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Total from operations</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1.86</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Issuance of common stock, net of offering costs(2)</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0.03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0.08</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Settlement of 2022 Convertible Notes(2)</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0.08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0.03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Repurchase of common stock(2)</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Repurchase of debt(2)</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(0.01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Dividends declared from net investment income(2)</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(2.80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(2.07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(1.77</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Dividends declared from realized gains(2)</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(0.25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(0.79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(0.23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(0.01</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pBdr>
                <w:top w:val="single" w:sz="2" w:space="1" w:color="000000"/>
              </w:pBdr>
              <w:bidi w:val="0"/>
              <w:spacing w:before="0" w:after="0"/>
              <w:jc w:val="left"/>
              <w:rPr/>
            </w:pPr>
            <w:r>
              <w:rPr/>
              <w:t> </w:t>
            </w:r>
          </w:p>
        </w:tc>
        <w:tc>
          <w:tcPr>
            <w:tcW w:w="11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 increase/(decrease) in net assets</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0.49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0.16</w:t>
            </w:r>
          </w:p>
        </w:tc>
        <w:tc>
          <w:tcPr>
            <w:tcW w:w="17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pBdr>
                <w:top w:val="single" w:sz="2" w:space="1" w:color="000000"/>
              </w:pBdr>
              <w:bidi w:val="0"/>
              <w:spacing w:before="0" w:after="0"/>
              <w:jc w:val="left"/>
              <w:rPr/>
            </w:pPr>
            <w:r>
              <w:rPr/>
              <w:t> </w:t>
            </w:r>
          </w:p>
        </w:tc>
        <w:tc>
          <w:tcPr>
            <w:tcW w:w="11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Net Asset Value, End of Period</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16.97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16.48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16.84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17.16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16.83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16.25</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pBdr>
                <w:top w:val="single" w:sz="2" w:space="1" w:color="000000"/>
              </w:pBdr>
              <w:bidi w:val="0"/>
              <w:spacing w:before="0" w:after="0"/>
              <w:jc w:val="left"/>
              <w:rPr/>
            </w:pPr>
            <w:r>
              <w:rPr/>
              <w:t> </w:t>
            </w:r>
          </w:p>
        </w:tc>
        <w:tc>
          <w:tcPr>
            <w:tcW w:w="11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040"/>
        <w:gridCol w:w="60"/>
        <w:gridCol w:w="283"/>
        <w:gridCol w:w="1132"/>
        <w:gridCol w:w="155"/>
        <w:gridCol w:w="60"/>
        <w:gridCol w:w="283"/>
        <w:gridCol w:w="1132"/>
        <w:gridCol w:w="155"/>
        <w:gridCol w:w="60"/>
        <w:gridCol w:w="283"/>
        <w:gridCol w:w="1132"/>
        <w:gridCol w:w="155"/>
        <w:gridCol w:w="60"/>
        <w:gridCol w:w="283"/>
        <w:gridCol w:w="1132"/>
        <w:gridCol w:w="155"/>
        <w:gridCol w:w="60"/>
        <w:gridCol w:w="283"/>
        <w:gridCol w:w="1132"/>
        <w:gridCol w:w="170"/>
      </w:tblGrid>
      <w:tr>
        <w:trPr/>
        <w:tc>
          <w:tcPr>
            <w:tcW w:w="2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2013</w:t>
            </w:r>
          </w:p>
        </w:tc>
        <w:tc>
          <w:tcPr>
            <w:tcW w:w="170" w:type="dxa"/>
            <w:tcBorders/>
            <w:vAlign w:val="center"/>
          </w:tcPr>
          <w:p>
            <w:pPr>
              <w:pStyle w:val="TableContents"/>
              <w:bidi w:val="0"/>
              <w:spacing w:before="0" w:after="283"/>
              <w:jc w:val="left"/>
              <w:rPr/>
            </w:pPr>
            <w:r>
              <w:rPr/>
              <w:t> </w:t>
            </w:r>
          </w:p>
        </w:tc>
      </w:tr>
      <w:tr>
        <w:trPr/>
        <w:tc>
          <w:tcPr>
            <w:tcW w:w="204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Per Share Data(8)</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asset value, beginning of period</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15.95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15.15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15.53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15.52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15.19</w:t>
            </w:r>
          </w:p>
        </w:tc>
        <w:tc>
          <w:tcPr>
            <w:tcW w:w="170" w:type="dxa"/>
            <w:tcBorders/>
            <w:vAlign w:val="center"/>
          </w:tcPr>
          <w:p>
            <w:pPr>
              <w:pStyle w:val="TableContents"/>
              <w:bidi w:val="0"/>
              <w:spacing w:before="0" w:after="283"/>
              <w:jc w:val="left"/>
              <w:rPr/>
            </w:pPr>
            <w:r>
              <w:rPr/>
              <w:t> </w:t>
            </w:r>
          </w:p>
        </w:tc>
      </w:tr>
      <w:tr>
        <w:trPr/>
        <w:tc>
          <w:tcPr>
            <w:tcW w:w="20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investment income(1)</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1.66</w:t>
            </w:r>
          </w:p>
        </w:tc>
        <w:tc>
          <w:tcPr>
            <w:tcW w:w="170" w:type="dxa"/>
            <w:tcBorders/>
            <w:shd w:fill="CCEEFF" w:val="clear"/>
            <w:vAlign w:val="center"/>
          </w:tcPr>
          <w:p>
            <w:pPr>
              <w:pStyle w:val="TableContents"/>
              <w:bidi w:val="0"/>
              <w:spacing w:before="0" w:after="283"/>
              <w:jc w:val="left"/>
              <w:rPr/>
            </w:pPr>
            <w:r>
              <w:rPr/>
              <w:t> </w:t>
            </w:r>
          </w:p>
        </w:tc>
      </w:tr>
      <w:tr>
        <w:trPr/>
        <w:tc>
          <w:tcPr>
            <w:tcW w:w="20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realized and unrealized gains (losses)(1)</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0.23</w:t>
            </w:r>
          </w:p>
        </w:tc>
        <w:tc>
          <w:tcPr>
            <w:tcW w:w="170" w:type="dxa"/>
            <w:tcBorders/>
            <w:vAlign w:val="center"/>
          </w:tcPr>
          <w:p>
            <w:pPr>
              <w:pStyle w:val="TableContents"/>
              <w:bidi w:val="0"/>
              <w:spacing w:before="0" w:after="283"/>
              <w:jc w:val="left"/>
              <w:rPr/>
            </w:pPr>
            <w:r>
              <w:rPr/>
              <w:t> </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0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Total from operations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1.89</w:t>
            </w:r>
          </w:p>
        </w:tc>
        <w:tc>
          <w:tcPr>
            <w:tcW w:w="170" w:type="dxa"/>
            <w:tcBorders/>
            <w:shd w:fill="CCEEFF" w:val="clear"/>
            <w:vAlign w:val="center"/>
          </w:tcPr>
          <w:p>
            <w:pPr>
              <w:pStyle w:val="TableContents"/>
              <w:bidi w:val="0"/>
              <w:spacing w:before="0" w:after="283"/>
              <w:jc w:val="left"/>
              <w:rPr/>
            </w:pPr>
            <w:r>
              <w:rPr/>
              <w:t> </w:t>
            </w:r>
          </w:p>
        </w:tc>
      </w:tr>
      <w:tr>
        <w:trPr/>
        <w:tc>
          <w:tcPr>
            <w:tcW w:w="20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Issuance of common stock, net of offering costs(2)</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0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Settlement of 2022 Convertible Notes(2)</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0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Repurchase of common stock(2)</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0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Repurchase of debt(2)</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0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Dividends declared from net investment income(2)</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(1.36</w:t>
            </w:r>
          </w:p>
        </w:tc>
        <w:tc>
          <w:tcPr>
            <w:tcW w:w="170" w:type="dxa"/>
            <w:tcBorders/>
            <w:vAlign w:val="center"/>
          </w:tcPr>
          <w:p>
            <w:pPr>
              <w:pStyle w:val="TableContents"/>
              <w:bidi w:val="0"/>
              <w:spacing w:before="0" w:after="283"/>
              <w:jc w:val="left"/>
              <w:rPr/>
            </w:pPr>
            <w:r>
              <w:rPr/>
              <w:t>) </w:t>
            </w:r>
          </w:p>
        </w:tc>
      </w:tr>
      <w:tr>
        <w:trPr/>
        <w:tc>
          <w:tcPr>
            <w:tcW w:w="20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Dividends declared from realized gains(2)</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(0.22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(0.17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(0.41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(0.02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(0.20</w:t>
            </w:r>
          </w:p>
        </w:tc>
        <w:tc>
          <w:tcPr>
            <w:tcW w:w="170" w:type="dxa"/>
            <w:tcBorders/>
            <w:shd w:fill="CCEEFF" w:val="clear"/>
            <w:vAlign w:val="center"/>
          </w:tcPr>
          <w:p>
            <w:pPr>
              <w:pStyle w:val="TableContents"/>
              <w:bidi w:val="0"/>
              <w:spacing w:before="0" w:after="283"/>
              <w:jc w:val="left"/>
              <w:rPr/>
            </w:pPr>
            <w:r>
              <w:rPr/>
              <w:t>) </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0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 increase/(decrease) in net assets</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0.33</w:t>
            </w:r>
          </w:p>
        </w:tc>
        <w:tc>
          <w:tcPr>
            <w:tcW w:w="170" w:type="dxa"/>
            <w:tcBorders/>
            <w:vAlign w:val="center"/>
          </w:tcPr>
          <w:p>
            <w:pPr>
              <w:pStyle w:val="TableContents"/>
              <w:bidi w:val="0"/>
              <w:spacing w:before="0" w:after="283"/>
              <w:jc w:val="left"/>
              <w:rPr/>
            </w:pPr>
            <w:r>
              <w:rPr/>
              <w:t> </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04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Net Asset Value, End of Period</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16.09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15.95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15.15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15.53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15.52</w:t>
            </w:r>
          </w:p>
        </w:tc>
        <w:tc>
          <w:tcPr>
            <w:tcW w:w="170" w:type="dxa"/>
            <w:tcBorders/>
            <w:shd w:fill="CCEEFF" w:val="clear"/>
            <w:vAlign w:val="center"/>
          </w:tcPr>
          <w:p>
            <w:pPr>
              <w:pStyle w:val="TableContents"/>
              <w:bidi w:val="0"/>
              <w:spacing w:before="0" w:after="283"/>
              <w:jc w:val="left"/>
              <w:rPr/>
            </w:pPr>
            <w:r>
              <w:rPr/>
              <w:t> </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tbl>
      <w:tblPr>
        <w:tblW w:w="11675" w:type="dxa"/>
        <w:jc w:val="left"/>
        <w:tblInd w:w="0" w:type="dxa"/>
        <w:tblLayout w:type="fixed"/>
        <w:tblCellMar>
          <w:top w:w="0" w:type="dxa"/>
          <w:left w:w="0" w:type="dxa"/>
          <w:bottom w:w="0" w:type="dxa"/>
          <w:right w:w="0" w:type="dxa"/>
        </w:tblCellMar>
      </w:tblPr>
      <w:tblGrid>
        <w:gridCol w:w="1100"/>
        <w:gridCol w:w="60"/>
        <w:gridCol w:w="166"/>
        <w:gridCol w:w="1309"/>
        <w:gridCol w:w="275"/>
        <w:gridCol w:w="60"/>
        <w:gridCol w:w="159"/>
        <w:gridCol w:w="1256"/>
        <w:gridCol w:w="275"/>
        <w:gridCol w:w="60"/>
        <w:gridCol w:w="159"/>
        <w:gridCol w:w="1256"/>
        <w:gridCol w:w="275"/>
        <w:gridCol w:w="60"/>
        <w:gridCol w:w="159"/>
        <w:gridCol w:w="1256"/>
        <w:gridCol w:w="275"/>
        <w:gridCol w:w="60"/>
        <w:gridCol w:w="159"/>
        <w:gridCol w:w="1256"/>
        <w:gridCol w:w="275"/>
        <w:gridCol w:w="60"/>
        <w:gridCol w:w="159"/>
        <w:gridCol w:w="1256"/>
        <w:gridCol w:w="290"/>
      </w:tblGrid>
      <w:tr>
        <w:trPr/>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Nine Months</w:t>
              <w:br/>
              <w:t>Ended</w:t>
              <w:br/>
              <w:t>September 30,</w:t>
              <w:b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2019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2018</w:t>
            </w:r>
          </w:p>
        </w:tc>
        <w:tc>
          <w:tcPr>
            <w:tcW w:w="29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Per share market value at end of period</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20.44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17.80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23.39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20.75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21.47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18.09</w:t>
            </w:r>
          </w:p>
        </w:tc>
        <w:tc>
          <w:tcPr>
            <w:tcW w:w="29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 return based on market value with reinvestment of dividends(3)</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23.65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(15.78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32.80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11.24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30.57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4.24</w:t>
            </w:r>
          </w:p>
        </w:tc>
        <w:tc>
          <w:tcPr>
            <w:tcW w:w="29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Total return based on market value(4)</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25.14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(16.03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30.02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7.36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28.69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0.35</w:t>
            </w:r>
          </w:p>
        </w:tc>
        <w:tc>
          <w:tcPr>
            <w:tcW w:w="29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 return based on net asset value(5)</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12.49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8.79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19.06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15.63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14.71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12.06</w:t>
            </w:r>
          </w:p>
        </w:tc>
        <w:tc>
          <w:tcPr>
            <w:tcW w:w="29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Shares Outstanding, End of Period</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87,546,498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81,389,287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75,771,542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67,684,209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66,524,591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65,412,817</w:t>
            </w:r>
          </w:p>
        </w:tc>
        <w:tc>
          <w:tcPr>
            <w:tcW w:w="29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Ratios / Supplemental Data(6)</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Ratio of net expenses to average net assets(7)</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16.71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11.05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11.17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11.10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11.27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11.32</w:t>
            </w:r>
          </w:p>
        </w:tc>
        <w:tc>
          <w:tcPr>
            <w:tcW w:w="29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Ratio of net investment income to average net assets</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13.39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12.85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11.67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13.26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11.73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13.80</w:t>
            </w:r>
          </w:p>
        </w:tc>
        <w:tc>
          <w:tcPr>
            <w:tcW w:w="29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Portfolio turnover</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16.12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26.67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44.23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41.88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30.89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44.57</w:t>
            </w:r>
          </w:p>
        </w:tc>
        <w:tc>
          <w:tcPr>
            <w:tcW w:w="29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assets, end of period</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1,485,822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1,341,569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1,275,848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1,161,315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1,119,297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1,063,202</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40"/>
        <w:gridCol w:w="60"/>
        <w:gridCol w:w="159"/>
        <w:gridCol w:w="1256"/>
        <w:gridCol w:w="275"/>
        <w:gridCol w:w="60"/>
        <w:gridCol w:w="159"/>
        <w:gridCol w:w="1256"/>
        <w:gridCol w:w="275"/>
        <w:gridCol w:w="60"/>
        <w:gridCol w:w="159"/>
        <w:gridCol w:w="1256"/>
        <w:gridCol w:w="275"/>
        <w:gridCol w:w="60"/>
        <w:gridCol w:w="159"/>
        <w:gridCol w:w="1256"/>
        <w:gridCol w:w="275"/>
        <w:gridCol w:w="60"/>
        <w:gridCol w:w="159"/>
        <w:gridCol w:w="1256"/>
        <w:gridCol w:w="290"/>
      </w:tblGrid>
      <w:tr>
        <w:trPr/>
        <w:tc>
          <w:tcPr>
            <w:tcW w:w="1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2017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2013</w:t>
            </w:r>
          </w:p>
        </w:tc>
        <w:tc>
          <w:tcPr>
            <w:tcW w:w="290" w:type="dxa"/>
            <w:tcBorders/>
            <w:vAlign w:val="center"/>
          </w:tcPr>
          <w:p>
            <w:pPr>
              <w:pStyle w:val="TableContents"/>
              <w:bidi w:val="0"/>
              <w:spacing w:before="0" w:after="283"/>
              <w:jc w:val="left"/>
              <w:rPr/>
            </w:pPr>
            <w:r>
              <w:rPr/>
              <w:t> </w:t>
            </w:r>
          </w:p>
        </w:tc>
      </w:tr>
      <w:tr>
        <w:trPr/>
        <w:tc>
          <w:tcPr>
            <w:tcW w:w="14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Per share market value at end of period</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19.80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18.68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16.22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16.82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4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 return based on market value with reinvestment of dividends(3)</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15.75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26.74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5.75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12.28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4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Total return based on market value(4)</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15.36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24.78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5.71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14.69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4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 return based on net asset value(5)</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11.87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15.54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7.62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9.92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12.44</w:t>
            </w:r>
          </w:p>
        </w:tc>
        <w:tc>
          <w:tcPr>
            <w:tcW w:w="290" w:type="dxa"/>
            <w:tcBorders/>
            <w:vAlign w:val="center"/>
          </w:tcPr>
          <w:p>
            <w:pPr>
              <w:pStyle w:val="TableContents"/>
              <w:bidi w:val="0"/>
              <w:spacing w:before="0" w:after="283"/>
              <w:jc w:val="left"/>
              <w:rPr/>
            </w:pPr>
            <w:r>
              <w:rPr/>
              <w:t>% </w:t>
            </w:r>
          </w:p>
        </w:tc>
      </w:tr>
      <w:tr>
        <w:trPr/>
        <w:tc>
          <w:tcPr>
            <w:tcW w:w="14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Shares Outstanding, End of Period</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60,247,201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59,716,205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54,163,960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53,797,358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37,026,023</w:t>
            </w:r>
          </w:p>
        </w:tc>
        <w:tc>
          <w:tcPr>
            <w:tcW w:w="290" w:type="dxa"/>
            <w:tcBorders/>
            <w:shd w:fill="CCEEFF" w:val="clear"/>
            <w:vAlign w:val="center"/>
          </w:tcPr>
          <w:p>
            <w:pPr>
              <w:pStyle w:val="TableContents"/>
              <w:bidi w:val="0"/>
              <w:spacing w:before="0" w:after="283"/>
              <w:jc w:val="left"/>
              <w:rPr/>
            </w:pPr>
            <w:r>
              <w:rPr/>
              <w:t> </w:t>
            </w:r>
          </w:p>
        </w:tc>
      </w:tr>
      <w:tr>
        <w:trPr/>
        <w:tc>
          <w:tcPr>
            <w:tcW w:w="144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Ratios / Supplemental Data(6)</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4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Ratio of net expenses to average net assets(7)</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9.41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9.39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9.31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7.56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6.60</w:t>
            </w:r>
          </w:p>
        </w:tc>
        <w:tc>
          <w:tcPr>
            <w:tcW w:w="290" w:type="dxa"/>
            <w:tcBorders/>
            <w:shd w:fill="CCEEFF" w:val="clear"/>
            <w:vAlign w:val="center"/>
          </w:tcPr>
          <w:p>
            <w:pPr>
              <w:pStyle w:val="TableContents"/>
              <w:bidi w:val="0"/>
              <w:spacing w:before="0" w:after="283"/>
              <w:jc w:val="left"/>
              <w:rPr/>
            </w:pPr>
            <w:r>
              <w:rPr/>
              <w:t>% </w:t>
            </w:r>
          </w:p>
        </w:tc>
      </w:tr>
      <w:tr>
        <w:trPr/>
        <w:tc>
          <w:tcPr>
            <w:tcW w:w="14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Ratio of net investment income to average net assets</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12.49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11.84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11.35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13.42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10.80</w:t>
            </w:r>
          </w:p>
        </w:tc>
        <w:tc>
          <w:tcPr>
            <w:tcW w:w="290" w:type="dxa"/>
            <w:tcBorders/>
            <w:vAlign w:val="center"/>
          </w:tcPr>
          <w:p>
            <w:pPr>
              <w:pStyle w:val="TableContents"/>
              <w:bidi w:val="0"/>
              <w:spacing w:before="0" w:after="283"/>
              <w:jc w:val="left"/>
              <w:rPr/>
            </w:pPr>
            <w:r>
              <w:rPr/>
              <w:t>% </w:t>
            </w:r>
          </w:p>
        </w:tc>
      </w:tr>
      <w:tr>
        <w:trPr/>
        <w:tc>
          <w:tcPr>
            <w:tcW w:w="14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Portfolio turnover</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58.08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37.40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34.51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53.16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26.97</w:t>
            </w:r>
          </w:p>
        </w:tc>
        <w:tc>
          <w:tcPr>
            <w:tcW w:w="290" w:type="dxa"/>
            <w:tcBorders/>
            <w:shd w:fill="CCEEFF" w:val="clear"/>
            <w:vAlign w:val="center"/>
          </w:tcPr>
          <w:p>
            <w:pPr>
              <w:pStyle w:val="TableContents"/>
              <w:bidi w:val="0"/>
              <w:spacing w:before="0" w:after="283"/>
              <w:jc w:val="left"/>
              <w:rPr/>
            </w:pPr>
            <w:r>
              <w:rPr/>
              <w:t>% </w:t>
            </w:r>
          </w:p>
        </w:tc>
      </w:tr>
      <w:tr>
        <w:trPr/>
        <w:tc>
          <w:tcPr>
            <w:tcW w:w="14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assets, end of period</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969,284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952,212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820,741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835,405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574,696</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305"/>
        <w:gridCol w:w="7010"/>
      </w:tblGrid>
      <w:tr>
        <w:trPr/>
        <w:tc>
          <w:tcPr>
            <w:tcW w:w="305" w:type="dxa"/>
            <w:tcBorders/>
            <w:vAlign w:val="center"/>
          </w:tcPr>
          <w:p>
            <w:pPr>
              <w:pStyle w:val="TableContents"/>
              <w:bidi w:val="0"/>
              <w:spacing w:before="0" w:after="283"/>
              <w:jc w:val="left"/>
              <w:rPr/>
            </w:pPr>
            <w:r>
              <w:rPr/>
              <w:t>(1)</w:t>
            </w:r>
          </w:p>
        </w:tc>
        <w:tc>
          <w:tcPr>
            <w:tcW w:w="70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per share data was derived by using the weighted average shares outstanding during the period. </w:t>
            </w:r>
          </w:p>
        </w:tc>
      </w:tr>
    </w:tbl>
    <w:tbl>
      <w:tblPr>
        <w:tblW w:w="7900" w:type="dxa"/>
        <w:jc w:val="left"/>
        <w:tblInd w:w="0" w:type="dxa"/>
        <w:tblLayout w:type="fixed"/>
        <w:tblCellMar>
          <w:top w:w="0" w:type="dxa"/>
          <w:left w:w="0" w:type="dxa"/>
          <w:bottom w:w="0" w:type="dxa"/>
          <w:right w:w="0" w:type="dxa"/>
        </w:tblCellMar>
      </w:tblPr>
      <w:tblGrid>
        <w:gridCol w:w="305"/>
        <w:gridCol w:w="7595"/>
      </w:tblGrid>
      <w:tr>
        <w:trPr/>
        <w:tc>
          <w:tcPr>
            <w:tcW w:w="305" w:type="dxa"/>
            <w:tcBorders/>
            <w:vAlign w:val="center"/>
          </w:tcPr>
          <w:p>
            <w:pPr>
              <w:pStyle w:val="TableContents"/>
              <w:bidi w:val="0"/>
              <w:spacing w:before="0" w:after="283"/>
              <w:jc w:val="left"/>
              <w:rPr/>
            </w:pPr>
            <w:r>
              <w:rPr/>
              <w:t>(2)</w:t>
            </w:r>
          </w:p>
        </w:tc>
        <w:tc>
          <w:tcPr>
            <w:tcW w:w="75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per share data was derived by using the actual shares outstanding at the date of the relevant transactions.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Total return based on market value with dividends reinvested is calculated as the change in market value per share during the period plus declared dividends per share, assuming reinvestment of dividends, divided by the beginning market value per share.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(4)</w:t>
            </w:r>
          </w:p>
        </w:tc>
        <w:tc>
          <w:tcPr>
            <w:tcW w:w="992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Total return based on market value is calculated as the change in market value per share during the period plus declared dividends per share, divided by the beginning market value per share.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(5)</w:t>
            </w:r>
          </w:p>
        </w:tc>
        <w:tc>
          <w:tcPr>
            <w:tcW w:w="992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Total return based on net asset value is calculated as the change in net asset value per share during the period plus declared dividends per share, divided by the beginning net asset value per share. </w:t>
            </w:r>
          </w:p>
        </w:tc>
      </w:tr>
    </w:tbl>
    <w:tbl>
      <w:tblPr>
        <w:tblW w:w="3175" w:type="dxa"/>
        <w:jc w:val="left"/>
        <w:tblInd w:w="0" w:type="dxa"/>
        <w:tblLayout w:type="fixed"/>
        <w:tblCellMar>
          <w:top w:w="0" w:type="dxa"/>
          <w:left w:w="0" w:type="dxa"/>
          <w:bottom w:w="0" w:type="dxa"/>
          <w:right w:w="0" w:type="dxa"/>
        </w:tblCellMar>
      </w:tblPr>
      <w:tblGrid>
        <w:gridCol w:w="305"/>
        <w:gridCol w:w="2870"/>
      </w:tblGrid>
      <w:tr>
        <w:trPr/>
        <w:tc>
          <w:tcPr>
            <w:tcW w:w="305" w:type="dxa"/>
            <w:tcBorders/>
            <w:vAlign w:val="center"/>
          </w:tcPr>
          <w:p>
            <w:pPr>
              <w:pStyle w:val="TableContents"/>
              <w:bidi w:val="0"/>
              <w:spacing w:before="0" w:after="283"/>
              <w:jc w:val="left"/>
              <w:rPr/>
            </w:pPr>
            <w:r>
              <w:rPr/>
              <w:t>(6)</w:t>
            </w:r>
          </w:p>
        </w:tc>
        <w:tc>
          <w:tcPr>
            <w:tcW w:w="28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ratios reflect an annualized amount.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(7)</w:t>
            </w:r>
          </w:p>
        </w:tc>
        <w:tc>
          <w:tcPr>
            <w:tcW w:w="997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ratio of net expenses to average net assets in the table above reflects the Adviser’s waivers of its right to receive a portion of the Management Fee pursuant to the Leverage Waiver for the nine months ended September 30, 2023. Excluding the effects of the waivers, the ratio of net expenses to average net assets would have been 16.79%, for the nine months ended September 30, 2023. The ratio of net expenses to average net assets in the table above reflects the Adviser’s waivers of its right to receive a portion of the Management Fee pursuant to the Leverage Waiver for the years ended December 31, 2022 and 2021 and the Adviser’s waivers of its right to receive a portion of the Management and Incentive Fees with respect to the Company’s ownership of shares of common stock of Oxford Square Capital Corp. and Triangle Capital Corp for the year ended December 31, 2018. Excluding the effects of the waivers, the ratio of net expenses to average net assets would have been 11.08%, 11.19% and 11.33% for the years ended December 31, 2022, 2021 and 2018, respectively. The Adviser did not waive any Management Fees or Incentive Fees for the years ended December 31, 2020 and 2019. Excluding the effects of the waivers, the ratio of net expenses to average net assets would have been 9.42%, 9.43% and 9.33% for the years ended December 31, 2017, 2016 and 2015, respectively. For the years ended December 31, 2014 and 2013, the Company did not own any shares of common stock of TICC Capital Corp. or Triangle Capital Corp. For the years ended December 31, 2014 and 2013, the ratio of net expenses to average net assets in the table above reflects the Adviser’s waivers of its right to receive a portion of the Management Fee prior to the Company’s IPO. Excluding the effects of the waiver, the ratio of net expenses to average net assets would have been 7.88%, and 7.94% for the years ended December 31, 2014 and 2013, respectively. </w:t>
            </w:r>
          </w:p>
        </w:tc>
      </w:tr>
    </w:tbl>
    <w:tbl>
      <w:tblPr>
        <w:tblW w:w="2935" w:type="dxa"/>
        <w:jc w:val="left"/>
        <w:tblInd w:w="0" w:type="dxa"/>
        <w:tblLayout w:type="fixed"/>
        <w:tblCellMar>
          <w:top w:w="0" w:type="dxa"/>
          <w:left w:w="0" w:type="dxa"/>
          <w:bottom w:w="0" w:type="dxa"/>
          <w:right w:w="0" w:type="dxa"/>
        </w:tblCellMar>
      </w:tblPr>
      <w:tblGrid>
        <w:gridCol w:w="305"/>
        <w:gridCol w:w="2630"/>
      </w:tblGrid>
      <w:tr>
        <w:trPr/>
        <w:tc>
          <w:tcPr>
            <w:tcW w:w="305" w:type="dxa"/>
            <w:tcBorders/>
            <w:vAlign w:val="center"/>
          </w:tcPr>
          <w:p>
            <w:pPr>
              <w:pStyle w:val="TableContents"/>
              <w:bidi w:val="0"/>
              <w:spacing w:before="0" w:after="283"/>
              <w:jc w:val="left"/>
              <w:rPr/>
            </w:pPr>
            <w:r>
              <w:rPr/>
              <w:t>(8)</w:t>
            </w:r>
          </w:p>
        </w:tc>
        <w:tc>
          <w:tcPr>
            <w:tcW w:w="26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Table may not sum due to rounding.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7" w:name="toc570824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number of significant risks. You should carefully consider the risks set out below and described in Part I, Item 1A, “Risk Factors,” in our 2022 Annual Report and Part I, Item IA, “Risk Factors,” in our quarterly report on Form 10-Q for the three months ended March 31, 2023 (the “1Q 2023 Quarterly Report”), in our quarterly report on Form 10-Q for the three months ended June 30, 2023 (the “2Q 2023 Quarterly Report”), and in our 3Q 2023 Quarterly Report, which are incorporated by reference in this prospectus, together with the other information set forth in this prospectus or in any prospectus supplement and in the other documents that we include or incorporate by reference into this prospectus before making a decision about investing in our securities. The risks and uncertainties set out below and discussed in our 2022 Annual Report, 1Q 2023 Quarterly Report, 2Q 2023 Quarterly Report, and 3Q 2023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Offerings Pursuant to This Prospectus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will have broad discretion over the use of proceeds of any offering made pursuant to this prospectus, to the extent it is successful. </w:t>
      </w:r>
    </w:p>
    <w:p>
      <w:pPr>
        <w:pStyle w:val="TextBody"/>
        <w:bidi w:val="0"/>
        <w:spacing w:before="120" w:after="0"/>
        <w:jc w:val="left"/>
        <w:rPr>
          <w:rFonts w:ascii="Times New Roman" w:hAnsi="Times New Roman"/>
          <w:sz w:val="20"/>
        </w:rPr>
      </w:pPr>
      <w:r>
        <w:rPr>
          <w:rFonts w:ascii="Times New Roman" w:hAnsi="Times New Roman"/>
          <w:sz w:val="20"/>
        </w:rPr>
        <w:t xml:space="preserve">We will have significant flexibility in applying the proceeds of any offering made pursuant to this prospectus. For example, we may pay operating expenses from net proceeds, which could limit our ability to achieve our investment objective.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net asset value per share of our common stock may be diluted if we sell or otherwise issue shares of our common stock at prices below the then-current net asset value per share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Pursuant to approval granted at a special meeting of stockholders held on May 25, 2023, we are currently permitted to sell or otherwise issue shares of our common stock at a price below our then-current net asset value per share, subject to the approval of our Board and certain other conditions. Such stockholder approval expires on May 25, 2024. We intend to propose the extension of this approval in future years. </w:t>
      </w:r>
    </w:p>
    <w:p>
      <w:pPr>
        <w:pStyle w:val="TextBody"/>
        <w:bidi w:val="0"/>
        <w:spacing w:before="240" w:after="0"/>
        <w:jc w:val="left"/>
        <w:rPr>
          <w:rFonts w:ascii="Times New Roman" w:hAnsi="Times New Roman"/>
          <w:sz w:val="20"/>
        </w:rPr>
      </w:pPr>
      <w:r>
        <w:rPr>
          <w:rFonts w:ascii="Times New Roman" w:hAnsi="Times New Roman"/>
          <w:sz w:val="20"/>
        </w:rPr>
        <w:t xml:space="preserve">Any decision to sell or otherwise issue shares of our common stock below our then-current net asset value per share would be subject to the determination by our board of directors that such issuance or sale is in our and our stockholders’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 </w:t>
      </w:r>
    </w:p>
    <w:p>
      <w:pPr>
        <w:pStyle w:val="TextBody"/>
        <w:bidi w:val="0"/>
        <w:spacing w:before="240" w:after="0"/>
        <w:jc w:val="left"/>
        <w:rPr>
          <w:rFonts w:ascii="Times New Roman" w:hAnsi="Times New Roman"/>
          <w:sz w:val="20"/>
        </w:rPr>
      </w:pPr>
      <w:r>
        <w:rPr>
          <w:rFonts w:ascii="Times New Roman" w:hAnsi="Times New Roman"/>
          <w:sz w:val="20"/>
        </w:rPr>
        <w:t xml:space="preserve">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 </w:t>
      </w:r>
    </w:p>
    <w:p>
      <w:pPr>
        <w:pStyle w:val="TextBody"/>
        <w:bidi w:val="0"/>
        <w:spacing w:before="120" w:after="0"/>
        <w:jc w:val="left"/>
        <w:rPr>
          <w:rFonts w:ascii="Times New Roman" w:hAnsi="Times New Roman"/>
          <w:sz w:val="20"/>
        </w:rPr>
      </w:pPr>
      <w:r>
        <w:rPr>
          <w:rFonts w:ascii="Times New Roman" w:hAnsi="Times New Roman"/>
          <w:sz w:val="20"/>
        </w:rPr>
        <w:t xml:space="preserve">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 the future determine to issue preferred stock, which could adversely affect the market value of our common stock and cause the net asset value and market value of our common stock to be more volatile. </w:t>
      </w:r>
    </w:p>
    <w:p>
      <w:pPr>
        <w:pStyle w:val="TextBody"/>
        <w:bidi w:val="0"/>
        <w:spacing w:before="120" w:after="0"/>
        <w:jc w:val="left"/>
        <w:rPr>
          <w:rFonts w:ascii="Times New Roman" w:hAnsi="Times New Roman"/>
          <w:sz w:val="20"/>
        </w:rPr>
      </w:pPr>
      <w:r>
        <w:rPr>
          <w:rFonts w:ascii="Times New Roman" w:hAnsi="Times New Roman"/>
          <w:sz w:val="20"/>
        </w:rPr>
        <w:t xml:space="preserve">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any preferred stock we might issue would have the right to elect members of the board of directors and class voting rights on certain matters. </w:t>
      </w:r>
    </w:p>
    <w:p>
      <w:pPr>
        <w:pStyle w:val="TextBody"/>
        <w:bidi w:val="0"/>
        <w:spacing w:before="120" w:after="0"/>
        <w:jc w:val="left"/>
        <w:rPr>
          <w:rFonts w:ascii="Times New Roman" w:hAnsi="Times New Roman"/>
          <w:sz w:val="20"/>
        </w:rPr>
      </w:pPr>
      <w:r>
        <w:rPr>
          <w:rFonts w:ascii="Times New Roman" w:hAnsi="Times New Roman"/>
          <w:sz w:val="20"/>
        </w:rPr>
        <w:t xml:space="preserve">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tax purposes. While we would intend to redeem our preferred stock to the extent necessary to enable us to distribute our income as required to maintain our qualification as a RIC, there can be no assurance that such actions could be effected in time to meet the tax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8" w:name="toc570824_6"/>
      <w:bookmarkEnd w:id="8"/>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factors identified elsewhere in this prospectus and the documents incorporated by reference herein, the following factors, among others, could cause actual results to differ materially from forward-looking statements or historical performance: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economic downturn could impair our portfolio companies’ abilities to continue to operate, which could lead to the loss of some or all of our investments in those portfolio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tc>
      </w:tr>
    </w:tbl>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75"/>
        <w:gridCol w:w="110"/>
        <w:gridCol w:w="60"/>
        <w:gridCol w:w="7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an economic downturn could also impact availability and pricing of our financing; </w:t>
            </w:r>
          </w:p>
        </w:tc>
      </w:tr>
    </w:tbl>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75"/>
        <w:gridCol w:w="110"/>
        <w:gridCol w:w="60"/>
        <w:gridCol w:w="9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access the capital markets could impair our ability to raise capital and our investment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inflation could negatively impact our business, including our ability to access the debt markets on favorable terms, or could negatively impact our portfolio companies;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risks, uncertainties and other factors we identify in the section entitled “Risk Factors” in this prospectus and in Part I, Item 1A of our 2022 Annual Report and Part II, Item 1A of our 3Q 2023 Quarterly Report, and those discussed in other documents we file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and Part II, Item 1A of our 3Q 2023 Quarterly Report, and in our 2022 Annual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“TSLX” and “TAO” marks are marks of Sixth Street.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9" w:name="toc570824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it will take less than three months for us to substantially invest the net proceeds of any offering made pursuant to this prospectus, depending on the availability of attractive opportunities, market conditions and the amount raised. </w:t>
      </w:r>
    </w:p>
    <w:p>
      <w:pPr>
        <w:pStyle w:val="TextBody"/>
        <w:bidi w:val="0"/>
        <w:spacing w:before="240" w:after="0"/>
        <w:jc w:val="left"/>
        <w:rPr>
          <w:rFonts w:ascii="Times New Roman" w:hAnsi="Times New Roman"/>
          <w:sz w:val="20"/>
        </w:rPr>
      </w:pPr>
      <w:r>
        <w:rPr>
          <w:rFonts w:ascii="Times New Roman" w:hAnsi="Times New Roman"/>
          <w:sz w:val="20"/>
        </w:rPr>
        <w:t xml:space="preserve">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0" w:name="toc570824_8"/>
      <w:bookmarkEnd w:id="10"/>
      <w:r>
        <w:rPr>
          <w:rFonts w:ascii="Times New Roman" w:hAnsi="Times New Roman"/>
          <w:b/>
          <w:sz w:val="20"/>
        </w:rPr>
        <w:t xml:space="preserve">PRICE RANGE OF COMMON STOCK AND DISTRIBUTIONS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2023, and for the years ended December 31, 2022 and December 31, 2021. On December 20, 2023, the last reported closing sales price of our common stock on the NYSE was $21.08 per share, which represented a premium of approximately 24.2% to the net asset value per share reported by us as of September 30, 2023, the last date prior to the date of this prospectus for which we reported net asset value.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99"/>
        <w:gridCol w:w="120"/>
        <w:gridCol w:w="162"/>
        <w:gridCol w:w="649"/>
        <w:gridCol w:w="60"/>
        <w:gridCol w:w="120"/>
        <w:gridCol w:w="140"/>
        <w:gridCol w:w="560"/>
        <w:gridCol w:w="60"/>
        <w:gridCol w:w="120"/>
        <w:gridCol w:w="140"/>
        <w:gridCol w:w="560"/>
        <w:gridCol w:w="60"/>
        <w:gridCol w:w="120"/>
        <w:gridCol w:w="146"/>
        <w:gridCol w:w="1074"/>
        <w:gridCol w:w="275"/>
        <w:gridCol w:w="60"/>
        <w:gridCol w:w="126"/>
        <w:gridCol w:w="929"/>
        <w:gridCol w:w="339"/>
        <w:gridCol w:w="60"/>
        <w:gridCol w:w="229"/>
        <w:gridCol w:w="721"/>
        <w:gridCol w:w="76"/>
      </w:tblGrid>
      <w:tr>
        <w:trPr/>
        <w:tc>
          <w:tcPr>
            <w:tcW w:w="32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3299"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Price Range</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22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High Sales</w:t>
              <w:br/>
              <w:t>Price to Net</w:t>
              <w:br/>
              <w:t>Asset</w:t>
              <w:br/>
              <w:t>Value(2)</w:t>
            </w:r>
          </w:p>
        </w:tc>
        <w:tc>
          <w:tcPr>
            <w:tcW w:w="27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55"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Low Sales</w:t>
              <w:br/>
              <w:t>Price to</w:t>
              <w:br/>
              <w:t>Net Asset</w:t>
              <w:br/>
              <w:t>Value</w:t>
            </w:r>
          </w:p>
        </w:tc>
        <w:tc>
          <w:tcPr>
            <w:tcW w:w="339"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95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Cash</w:t>
              <w:br/>
              <w:t>Dividend</w:t>
              <w:br/>
              <w:t>Per</w:t>
              <w:br/>
              <w:t>Share(3)</w:t>
            </w:r>
          </w:p>
        </w:tc>
        <w:tc>
          <w:tcPr>
            <w:tcW w:w="76" w:type="dxa"/>
            <w:vMerge w:val="restart"/>
            <w:tcBorders/>
            <w:vAlign w:val="center"/>
          </w:tcPr>
          <w:p>
            <w:pPr>
              <w:pStyle w:val="TableContents"/>
              <w:bidi w:val="0"/>
              <w:spacing w:before="0" w:after="283"/>
              <w:jc w:val="left"/>
              <w:rPr/>
            </w:pPr>
            <w:r>
              <w:rPr/>
              <w:t> </w:t>
            </w:r>
          </w:p>
        </w:tc>
      </w:tr>
      <w:tr>
        <w:trPr/>
        <w:tc>
          <w:tcPr>
            <w:tcW w:w="329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NAV(1)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High</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Low</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220" w:type="dxa"/>
            <w:gridSpan w:val="2"/>
            <w:vMerge w:val="continue"/>
            <w:tcBorders>
              <w:bottom w:val="single" w:sz="8" w:space="0" w:color="000000"/>
            </w:tcBorders>
            <w:tcMar>
              <w:bottom w:w="28" w:type="dxa"/>
            </w:tcMar>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055" w:type="dxa"/>
            <w:gridSpan w:val="2"/>
            <w:vMerge w:val="continue"/>
            <w:tcBorders/>
            <w:vAlign w:val="center"/>
          </w:tcPr>
          <w:p>
            <w:pPr>
              <w:pStyle w:val="Normal"/>
              <w:bidi w:val="0"/>
              <w:jc w:val="left"/>
              <w:rPr/>
            </w:pPr>
            <w:r>
              <w:rPr/>
            </w:r>
          </w:p>
        </w:tc>
        <w:tc>
          <w:tcPr>
            <w:tcW w:w="339"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50" w:type="dxa"/>
            <w:gridSpan w:val="2"/>
            <w:vMerge w:val="continue"/>
            <w:tcBorders>
              <w:bottom w:val="single" w:sz="8" w:space="0" w:color="000000"/>
            </w:tcBorders>
            <w:tcMar>
              <w:bottom w:w="28" w:type="dxa"/>
            </w:tcMar>
            <w:vAlign w:val="center"/>
          </w:tcPr>
          <w:p>
            <w:pPr>
              <w:pStyle w:val="Normal"/>
              <w:bidi w:val="0"/>
              <w:jc w:val="left"/>
              <w:rPr/>
            </w:pPr>
            <w:r>
              <w:rPr/>
            </w:r>
          </w:p>
        </w:tc>
        <w:tc>
          <w:tcPr>
            <w:tcW w:w="76" w:type="dxa"/>
            <w:vMerge w:val="continue"/>
            <w:tcBorders/>
            <w:vAlign w:val="center"/>
          </w:tcPr>
          <w:p>
            <w:pPr>
              <w:pStyle w:val="Normal"/>
              <w:bidi w:val="0"/>
              <w:jc w:val="left"/>
              <w:rPr/>
            </w:pPr>
            <w:r>
              <w:rPr/>
            </w:r>
          </w:p>
        </w:tc>
      </w:tr>
      <w:tr>
        <w:trPr/>
        <w:tc>
          <w:tcPr>
            <w:tcW w:w="329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Year ended December 31, 2021</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6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929" w:type="dxa"/>
            <w:tcBorders/>
            <w:shd w:fill="CCEEFF" w:val="clear"/>
            <w:vAlign w:val="center"/>
          </w:tcPr>
          <w:p>
            <w:pPr>
              <w:pStyle w:val="TableContents"/>
              <w:bidi w:val="0"/>
              <w:spacing w:before="0" w:after="283"/>
              <w:jc w:val="left"/>
              <w:rPr>
                <w:sz w:val="4"/>
                <w:szCs w:val="4"/>
              </w:rPr>
            </w:pPr>
            <w:r>
              <w:rPr>
                <w:sz w:val="4"/>
                <w:szCs w:val="4"/>
              </w:rPr>
            </w:r>
          </w:p>
        </w:tc>
        <w:tc>
          <w:tcPr>
            <w:tcW w:w="3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32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649" w:type="dxa"/>
            <w:tcBorders/>
            <w:vAlign w:val="center"/>
          </w:tcPr>
          <w:p>
            <w:pPr>
              <w:pStyle w:val="TableContents"/>
              <w:bidi w:val="0"/>
              <w:spacing w:before="0" w:after="283"/>
              <w:jc w:val="right"/>
              <w:rPr/>
            </w:pPr>
            <w:r>
              <w:rPr/>
              <w:t>16.47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22.76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20.46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38.2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24.2</w:t>
            </w:r>
          </w:p>
        </w:tc>
        <w:tc>
          <w:tcPr>
            <w:tcW w:w="3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1.71</w:t>
            </w:r>
          </w:p>
        </w:tc>
        <w:tc>
          <w:tcPr>
            <w:tcW w:w="76" w:type="dxa"/>
            <w:tcBorders/>
            <w:vAlign w:val="center"/>
          </w:tcPr>
          <w:p>
            <w:pPr>
              <w:pStyle w:val="TableContents"/>
              <w:bidi w:val="0"/>
              <w:spacing w:before="0" w:after="283"/>
              <w:jc w:val="left"/>
              <w:rPr/>
            </w:pPr>
            <w:r>
              <w:rPr/>
              <w:t> </w:t>
            </w:r>
          </w:p>
        </w:tc>
      </w:tr>
      <w:tr>
        <w:trPr/>
        <w:tc>
          <w:tcPr>
            <w:tcW w:w="329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16.85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35.2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23.4</w:t>
            </w:r>
          </w:p>
        </w:tc>
        <w:tc>
          <w:tcPr>
            <w:tcW w:w="3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0.47</w:t>
            </w:r>
          </w:p>
        </w:tc>
        <w:tc>
          <w:tcPr>
            <w:tcW w:w="76" w:type="dxa"/>
            <w:tcBorders/>
            <w:shd w:fill="CCEEFF" w:val="clear"/>
            <w:vAlign w:val="center"/>
          </w:tcPr>
          <w:p>
            <w:pPr>
              <w:pStyle w:val="TableContents"/>
              <w:bidi w:val="0"/>
              <w:spacing w:before="0" w:after="283"/>
              <w:jc w:val="left"/>
              <w:rPr/>
            </w:pPr>
            <w:r>
              <w:rPr/>
              <w:t> </w:t>
            </w:r>
          </w:p>
        </w:tc>
      </w:tr>
      <w:tr>
        <w:trPr/>
        <w:tc>
          <w:tcPr>
            <w:tcW w:w="32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17.18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23.97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21.13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39.5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23.0</w:t>
            </w:r>
          </w:p>
        </w:tc>
        <w:tc>
          <w:tcPr>
            <w:tcW w:w="3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0.43</w:t>
            </w:r>
          </w:p>
        </w:tc>
        <w:tc>
          <w:tcPr>
            <w:tcW w:w="76" w:type="dxa"/>
            <w:tcBorders/>
            <w:vAlign w:val="center"/>
          </w:tcPr>
          <w:p>
            <w:pPr>
              <w:pStyle w:val="TableContents"/>
              <w:bidi w:val="0"/>
              <w:spacing w:before="0" w:after="283"/>
              <w:jc w:val="left"/>
              <w:rPr/>
            </w:pPr>
            <w:r>
              <w:rPr/>
              <w:t> </w:t>
            </w:r>
          </w:p>
        </w:tc>
      </w:tr>
      <w:tr>
        <w:trPr/>
        <w:tc>
          <w:tcPr>
            <w:tcW w:w="329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16.84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24.74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21.97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47.0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30.5</w:t>
            </w:r>
          </w:p>
        </w:tc>
        <w:tc>
          <w:tcPr>
            <w:tcW w:w="3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0.98</w:t>
            </w:r>
          </w:p>
        </w:tc>
        <w:tc>
          <w:tcPr>
            <w:tcW w:w="76" w:type="dxa"/>
            <w:tcBorders/>
            <w:shd w:fill="CCEEFF" w:val="clear"/>
            <w:vAlign w:val="center"/>
          </w:tcPr>
          <w:p>
            <w:pPr>
              <w:pStyle w:val="TableContents"/>
              <w:bidi w:val="0"/>
              <w:spacing w:before="0" w:after="283"/>
              <w:jc w:val="left"/>
              <w:rPr/>
            </w:pPr>
            <w:r>
              <w:rPr/>
              <w:t> </w:t>
            </w:r>
          </w:p>
        </w:tc>
      </w:tr>
      <w:tr>
        <w:trPr/>
        <w:tc>
          <w:tcPr>
            <w:tcW w:w="329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Year ended December 31, 2022</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329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649" w:type="dxa"/>
            <w:tcBorders/>
            <w:shd w:fill="CCEEFF" w:val="clear"/>
            <w:vAlign w:val="center"/>
          </w:tcPr>
          <w:p>
            <w:pPr>
              <w:pStyle w:val="TableContents"/>
              <w:bidi w:val="0"/>
              <w:spacing w:before="0" w:after="283"/>
              <w:jc w:val="right"/>
              <w:rPr/>
            </w:pPr>
            <w:r>
              <w:rPr/>
              <w:t>16.88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24.27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22.40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43.8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23.0</w:t>
            </w:r>
          </w:p>
        </w:tc>
        <w:tc>
          <w:tcPr>
            <w:tcW w:w="3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721" w:type="dxa"/>
            <w:tcBorders/>
            <w:shd w:fill="CCEEFF" w:val="clear"/>
            <w:vAlign w:val="center"/>
          </w:tcPr>
          <w:p>
            <w:pPr>
              <w:pStyle w:val="TableContents"/>
              <w:bidi w:val="0"/>
              <w:spacing w:before="0" w:after="283"/>
              <w:jc w:val="right"/>
              <w:rPr/>
            </w:pPr>
            <w:r>
              <w:rPr/>
              <w:t>0.52</w:t>
            </w:r>
          </w:p>
        </w:tc>
        <w:tc>
          <w:tcPr>
            <w:tcW w:w="76" w:type="dxa"/>
            <w:tcBorders/>
            <w:shd w:fill="CCEEFF" w:val="clear"/>
            <w:vAlign w:val="center"/>
          </w:tcPr>
          <w:p>
            <w:pPr>
              <w:pStyle w:val="TableContents"/>
              <w:bidi w:val="0"/>
              <w:spacing w:before="0" w:after="283"/>
              <w:jc w:val="left"/>
              <w:rPr/>
            </w:pPr>
            <w:r>
              <w:rPr/>
              <w:t> </w:t>
            </w:r>
          </w:p>
        </w:tc>
      </w:tr>
      <w:tr>
        <w:trPr/>
        <w:tc>
          <w:tcPr>
            <w:tcW w:w="32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16.27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23.64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18.09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45.3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11.2</w:t>
            </w:r>
          </w:p>
        </w:tc>
        <w:tc>
          <w:tcPr>
            <w:tcW w:w="3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0.45</w:t>
            </w:r>
          </w:p>
        </w:tc>
        <w:tc>
          <w:tcPr>
            <w:tcW w:w="76" w:type="dxa"/>
            <w:tcBorders/>
            <w:vAlign w:val="center"/>
          </w:tcPr>
          <w:p>
            <w:pPr>
              <w:pStyle w:val="TableContents"/>
              <w:bidi w:val="0"/>
              <w:spacing w:before="0" w:after="283"/>
              <w:jc w:val="left"/>
              <w:rPr/>
            </w:pPr>
            <w:r>
              <w:rPr/>
              <w:t> </w:t>
            </w:r>
          </w:p>
        </w:tc>
      </w:tr>
      <w:tr>
        <w:trPr/>
        <w:tc>
          <w:tcPr>
            <w:tcW w:w="329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16.36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19.9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(1.4</w:t>
            </w:r>
          </w:p>
        </w:tc>
        <w:tc>
          <w:tcPr>
            <w:tcW w:w="3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0.42</w:t>
            </w:r>
          </w:p>
        </w:tc>
        <w:tc>
          <w:tcPr>
            <w:tcW w:w="76" w:type="dxa"/>
            <w:tcBorders/>
            <w:shd w:fill="CCEEFF" w:val="clear"/>
            <w:vAlign w:val="center"/>
          </w:tcPr>
          <w:p>
            <w:pPr>
              <w:pStyle w:val="TableContents"/>
              <w:bidi w:val="0"/>
              <w:spacing w:before="0" w:after="283"/>
              <w:jc w:val="left"/>
              <w:rPr/>
            </w:pPr>
            <w:r>
              <w:rPr/>
              <w:t> </w:t>
            </w:r>
          </w:p>
        </w:tc>
      </w:tr>
      <w:tr>
        <w:trPr/>
        <w:tc>
          <w:tcPr>
            <w:tcW w:w="32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16.48</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19.14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16.56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16.1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0.5</w:t>
            </w:r>
          </w:p>
        </w:tc>
        <w:tc>
          <w:tcPr>
            <w:tcW w:w="3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0.45</w:t>
            </w:r>
          </w:p>
        </w:tc>
        <w:tc>
          <w:tcPr>
            <w:tcW w:w="76" w:type="dxa"/>
            <w:tcBorders/>
            <w:vAlign w:val="center"/>
          </w:tcPr>
          <w:p>
            <w:pPr>
              <w:pStyle w:val="TableContents"/>
              <w:bidi w:val="0"/>
              <w:spacing w:before="0" w:after="283"/>
              <w:jc w:val="left"/>
              <w:rPr/>
            </w:pPr>
            <w:r>
              <w:rPr/>
              <w:t> </w:t>
            </w:r>
          </w:p>
        </w:tc>
      </w:tr>
      <w:tr>
        <w:trPr/>
        <w:tc>
          <w:tcPr>
            <w:tcW w:w="329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Year ending December 31, 2023</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6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929" w:type="dxa"/>
            <w:tcBorders/>
            <w:shd w:fill="CCEEFF" w:val="clear"/>
            <w:vAlign w:val="center"/>
          </w:tcPr>
          <w:p>
            <w:pPr>
              <w:pStyle w:val="TableContents"/>
              <w:bidi w:val="0"/>
              <w:spacing w:before="0" w:after="283"/>
              <w:jc w:val="left"/>
              <w:rPr>
                <w:sz w:val="4"/>
                <w:szCs w:val="4"/>
              </w:rPr>
            </w:pPr>
            <w:r>
              <w:rPr>
                <w:sz w:val="4"/>
                <w:szCs w:val="4"/>
              </w:rPr>
            </w:r>
          </w:p>
        </w:tc>
        <w:tc>
          <w:tcPr>
            <w:tcW w:w="3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32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649" w:type="dxa"/>
            <w:tcBorders/>
            <w:vAlign w:val="center"/>
          </w:tcPr>
          <w:p>
            <w:pPr>
              <w:pStyle w:val="TableContents"/>
              <w:bidi w:val="0"/>
              <w:spacing w:before="0" w:after="283"/>
              <w:jc w:val="right"/>
              <w:rPr/>
            </w:pPr>
            <w:r>
              <w:rPr/>
              <w:t>16.59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19.83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16.86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19.5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1.6</w:t>
            </w:r>
          </w:p>
        </w:tc>
        <w:tc>
          <w:tcPr>
            <w:tcW w:w="3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0.55</w:t>
            </w:r>
          </w:p>
        </w:tc>
        <w:tc>
          <w:tcPr>
            <w:tcW w:w="76" w:type="dxa"/>
            <w:tcBorders/>
            <w:vAlign w:val="center"/>
          </w:tcPr>
          <w:p>
            <w:pPr>
              <w:pStyle w:val="TableContents"/>
              <w:bidi w:val="0"/>
              <w:spacing w:before="0" w:after="283"/>
              <w:jc w:val="left"/>
              <w:rPr/>
            </w:pPr>
            <w:r>
              <w:rPr/>
              <w:t> </w:t>
            </w:r>
          </w:p>
        </w:tc>
      </w:tr>
      <w:tr>
        <w:trPr/>
        <w:tc>
          <w:tcPr>
            <w:tcW w:w="329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16.74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20.0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3.4</w:t>
            </w:r>
          </w:p>
        </w:tc>
        <w:tc>
          <w:tcPr>
            <w:tcW w:w="3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0.50</w:t>
            </w:r>
          </w:p>
        </w:tc>
        <w:tc>
          <w:tcPr>
            <w:tcW w:w="76" w:type="dxa"/>
            <w:tcBorders/>
            <w:shd w:fill="CCEEFF" w:val="clear"/>
            <w:vAlign w:val="center"/>
          </w:tcPr>
          <w:p>
            <w:pPr>
              <w:pStyle w:val="TableContents"/>
              <w:bidi w:val="0"/>
              <w:spacing w:before="0" w:after="283"/>
              <w:jc w:val="left"/>
              <w:rPr/>
            </w:pPr>
            <w:r>
              <w:rPr/>
              <w:t> </w:t>
            </w:r>
          </w:p>
        </w:tc>
      </w:tr>
      <w:tr>
        <w:trPr/>
        <w:tc>
          <w:tcPr>
            <w:tcW w:w="32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16.97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20.97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19.02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23.6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12.1</w:t>
            </w:r>
          </w:p>
        </w:tc>
        <w:tc>
          <w:tcPr>
            <w:tcW w:w="3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0.52</w:t>
            </w:r>
          </w:p>
        </w:tc>
        <w:tc>
          <w:tcPr>
            <w:tcW w:w="76" w:type="dxa"/>
            <w:tcBorders/>
            <w:vAlign w:val="center"/>
          </w:tcPr>
          <w:p>
            <w:pPr>
              <w:pStyle w:val="TableContents"/>
              <w:bidi w:val="0"/>
              <w:spacing w:before="0" w:after="283"/>
              <w:jc w:val="left"/>
              <w:rPr/>
            </w:pPr>
            <w:r>
              <w:rPr/>
              <w:t> </w:t>
            </w:r>
          </w:p>
        </w:tc>
      </w:tr>
      <w:tr>
        <w:trPr/>
        <w:tc>
          <w:tcPr>
            <w:tcW w:w="329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Fourth Quarter (through December 20, 2023)</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21.49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w:t>
            </w:r>
          </w:p>
        </w:tc>
        <w:tc>
          <w:tcPr>
            <w:tcW w:w="3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0.53</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Calculated as the respective high or low closing sales price less net asset value, divided by net asset value (in each case, as of the applicable quarter). Does not reflect intraday trading prices. </w:t>
            </w:r>
          </w:p>
        </w:tc>
      </w:tr>
    </w:tbl>
    <w:p>
      <w:pPr>
        <w:pStyle w:val="TextBody"/>
        <w:bidi w:val="0"/>
        <w:spacing w:before="0" w:after="0"/>
        <w:jc w:val="left"/>
        <w:rPr/>
      </w:pPr>
      <w:r>
        <w:rPr/>
        <w:t> </w:t>
      </w:r>
    </w:p>
    <w:tbl>
      <w:tblPr>
        <w:tblW w:w="5035" w:type="dxa"/>
        <w:jc w:val="left"/>
        <w:tblInd w:w="0" w:type="dxa"/>
        <w:tblLayout w:type="fixed"/>
        <w:tblCellMar>
          <w:top w:w="0" w:type="dxa"/>
          <w:left w:w="0" w:type="dxa"/>
          <w:bottom w:w="0" w:type="dxa"/>
          <w:right w:w="0" w:type="dxa"/>
        </w:tblCellMar>
      </w:tblPr>
      <w:tblGrid>
        <w:gridCol w:w="305"/>
        <w:gridCol w:w="4730"/>
      </w:tblGrid>
      <w:tr>
        <w:trPr/>
        <w:tc>
          <w:tcPr>
            <w:tcW w:w="305" w:type="dxa"/>
            <w:tcBorders/>
            <w:vAlign w:val="center"/>
          </w:tcPr>
          <w:p>
            <w:pPr>
              <w:pStyle w:val="TableContents"/>
              <w:bidi w:val="0"/>
              <w:spacing w:before="0" w:after="283"/>
              <w:jc w:val="left"/>
              <w:rPr/>
            </w:pPr>
            <w:r>
              <w:rPr/>
              <w:t>(3)</w:t>
            </w:r>
          </w:p>
        </w:tc>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dividends declared in the relevant quarter. </w:t>
            </w:r>
          </w:p>
        </w:tc>
      </w:tr>
    </w:tbl>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155"/>
        <w:gridCol w:w="4610"/>
      </w:tblGrid>
      <w:tr>
        <w:trPr/>
        <w:tc>
          <w:tcPr>
            <w:tcW w:w="155"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asset value has not yet been reported for this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tables summarize dividends declared during the nine months ended September 30, 2023 and years ended December 31, 2022 and 2021: </w:t>
      </w:r>
    </w:p>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2195"/>
        <w:gridCol w:w="120"/>
        <w:gridCol w:w="60"/>
        <w:gridCol w:w="1310"/>
        <w:gridCol w:w="60"/>
        <w:gridCol w:w="120"/>
        <w:gridCol w:w="60"/>
        <w:gridCol w:w="1925"/>
        <w:gridCol w:w="60"/>
        <w:gridCol w:w="120"/>
        <w:gridCol w:w="60"/>
        <w:gridCol w:w="1925"/>
        <w:gridCol w:w="60"/>
        <w:gridCol w:w="120"/>
        <w:gridCol w:w="247"/>
        <w:gridCol w:w="778"/>
        <w:gridCol w:w="75"/>
      </w:tblGrid>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0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 2023</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b/>
              </w:rPr>
            </w:pPr>
            <w:r>
              <w:rPr>
                <w:b/>
              </w:rPr>
              <w:t>Date Declared</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Dividend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Record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Payment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Dividend</w:t>
              <w:br/>
              <w:t>per Share</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February 16,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Supplemental</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February 28, 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March 20, 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0.09</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February 16,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Base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March 15,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March 31,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0.46</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May 8,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Supplemental</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May 31, 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June 20, 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0.04</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May 8,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Base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June 15,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June 30,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0.46</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August 3,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Supplemental</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August 31, 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September 20, 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0.06</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August 3,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Base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September 15,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September 29,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0.46</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single" w:sz="2" w:space="1" w:color="000000"/>
              </w:pBdr>
              <w:bidi w:val="0"/>
              <w:spacing w:before="0" w:after="0"/>
              <w:jc w:val="left"/>
              <w:rPr/>
            </w:pPr>
            <w:r>
              <w:rPr/>
              <w:t> </w:t>
            </w:r>
          </w:p>
        </w:tc>
        <w:tc>
          <w:tcPr>
            <w:tcW w:w="778"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Dividends Declared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9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9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1.57</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double" w:sz="6" w:space="1" w:color="000000"/>
              </w:pBdr>
              <w:bidi w:val="0"/>
              <w:spacing w:before="0" w:after="0"/>
              <w:jc w:val="left"/>
              <w:rPr/>
            </w:pPr>
            <w:r>
              <w:rPr/>
              <w:t> </w:t>
            </w:r>
          </w:p>
        </w:tc>
        <w:tc>
          <w:tcPr>
            <w:tcW w:w="778"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2195"/>
        <w:gridCol w:w="120"/>
        <w:gridCol w:w="60"/>
        <w:gridCol w:w="1310"/>
        <w:gridCol w:w="60"/>
        <w:gridCol w:w="120"/>
        <w:gridCol w:w="60"/>
        <w:gridCol w:w="1925"/>
        <w:gridCol w:w="60"/>
        <w:gridCol w:w="120"/>
        <w:gridCol w:w="60"/>
        <w:gridCol w:w="1925"/>
        <w:gridCol w:w="60"/>
        <w:gridCol w:w="120"/>
        <w:gridCol w:w="247"/>
        <w:gridCol w:w="778"/>
        <w:gridCol w:w="75"/>
      </w:tblGrid>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0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 December 31, 2022</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b/>
              </w:rPr>
            </w:pPr>
            <w:r>
              <w:rPr>
                <w:b/>
              </w:rPr>
              <w:t>Date Declared</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Dividend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Record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Payment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Dividend</w:t>
              <w:br/>
              <w:t>per Share</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February 17,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Supplemental</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February 28, 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March 31, 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0.11</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February 17,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Base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March 15, 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April 18, 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0.41</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May 3,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Supplemental</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May 31, 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September 30, 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0.04</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May 3,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Base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June 15, 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July 15, 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0.41</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August 2,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Base</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September 15, 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September 30, 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0.42</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November 1,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Base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December 15, 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December 30, 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0.45</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single" w:sz="2" w:space="1" w:color="000000"/>
              </w:pBdr>
              <w:bidi w:val="0"/>
              <w:spacing w:before="0" w:after="0"/>
              <w:jc w:val="left"/>
              <w:rPr/>
            </w:pPr>
            <w:r>
              <w:rPr/>
              <w:t> </w:t>
            </w:r>
          </w:p>
        </w:tc>
        <w:tc>
          <w:tcPr>
            <w:tcW w:w="778"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Dividends Declared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9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9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1.84</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double" w:sz="6" w:space="1" w:color="000000"/>
              </w:pBdr>
              <w:bidi w:val="0"/>
              <w:spacing w:before="0" w:after="0"/>
              <w:jc w:val="left"/>
              <w:rPr/>
            </w:pPr>
            <w:r>
              <w:rPr/>
              <w:t> </w:t>
            </w:r>
          </w:p>
        </w:tc>
        <w:tc>
          <w:tcPr>
            <w:tcW w:w="778"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2195"/>
        <w:gridCol w:w="120"/>
        <w:gridCol w:w="60"/>
        <w:gridCol w:w="1310"/>
        <w:gridCol w:w="60"/>
        <w:gridCol w:w="120"/>
        <w:gridCol w:w="60"/>
        <w:gridCol w:w="1925"/>
        <w:gridCol w:w="60"/>
        <w:gridCol w:w="120"/>
        <w:gridCol w:w="60"/>
        <w:gridCol w:w="1925"/>
        <w:gridCol w:w="60"/>
        <w:gridCol w:w="120"/>
        <w:gridCol w:w="247"/>
        <w:gridCol w:w="778"/>
        <w:gridCol w:w="75"/>
      </w:tblGrid>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0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 December 31, 2021</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b/>
              </w:rPr>
            </w:pPr>
            <w:r>
              <w:rPr>
                <w:b/>
              </w:rPr>
              <w:t>Date Declared</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Dividend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Record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Payment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Dividend</w:t>
              <w:br/>
              <w:t>per Share</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February 17, 2021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Supplemental</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February 26,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March 31,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0.05</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February 17, 2021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Base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March 15,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April 15,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0.41</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February 17, 2021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Special</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March 25,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April 8,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1.25</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May 4, 2021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Supplemental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May 28,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June 30,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0.06</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May 4, 2021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Base</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June 15,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July 15,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0.41</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August 3, 2021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Supplemental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August 31,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September 30,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0.02</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August 3, 2021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Base</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September 15,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October 15,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0.41</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November 2, 2021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Supplemental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November 30,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December 31,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0.07</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November 2, 2021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Special</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December 7,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December 20,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0.50</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November 2, 2021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Base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December 15,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January 14, 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0.41</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single" w:sz="2" w:space="1" w:color="000000"/>
              </w:pBdr>
              <w:bidi w:val="0"/>
              <w:spacing w:before="0" w:after="0"/>
              <w:jc w:val="left"/>
              <w:rPr/>
            </w:pPr>
            <w:r>
              <w:rPr/>
              <w:t> </w:t>
            </w:r>
          </w:p>
        </w:tc>
        <w:tc>
          <w:tcPr>
            <w:tcW w:w="778"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Dividends Declared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9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9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3.59</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double" w:sz="6" w:space="1" w:color="000000"/>
              </w:pBdr>
              <w:bidi w:val="0"/>
              <w:spacing w:before="0" w:after="0"/>
              <w:jc w:val="left"/>
              <w:rPr/>
            </w:pPr>
            <w:r>
              <w:rPr/>
              <w:t> </w:t>
            </w:r>
          </w:p>
        </w:tc>
        <w:tc>
          <w:tcPr>
            <w:tcW w:w="778"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dividends declared during the nine months ended September 30, 2023 were derived from net investment income, determined on a tax basis. The dividends declared during the year ended December 31, 2022 were derived from net investment income and net realized capital gains, determined on a tax basis.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 </w:t>
      </w:r>
    </w:p>
    <w:p>
      <w:pPr>
        <w:pStyle w:val="TextBody"/>
        <w:bidi w:val="0"/>
        <w:spacing w:before="240" w:after="0"/>
        <w:jc w:val="left"/>
        <w:rPr>
          <w:rFonts w:ascii="Times New Roman" w:hAnsi="Times New Roman"/>
          <w:sz w:val="20"/>
        </w:rPr>
      </w:pPr>
      <w:r>
        <w:rPr>
          <w:rFonts w:ascii="Times New Roman" w:hAnsi="Times New Roman"/>
          <w:sz w:val="20"/>
        </w:rPr>
        <w:t xml:space="preserve">To be treated as a regulated investment company, or a RIC, for U.S. federal income tax purposes and therefore to avoid being subject to corporate-level U.S. federal income taxation of our earnings, we must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 </w:t>
      </w:r>
    </w:p>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75"/>
        <w:gridCol w:w="110"/>
        <w:gridCol w:w="6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98% of our net ordinary income, excluding certain ordinary gains and losses, recognized during such calendar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98.2% of our capital gain net income, adjusted for certain ordinary gains and losses, recognized for the twelve-month period ending on October 31 of such calendar year; and </w:t>
            </w:r>
          </w:p>
        </w:tc>
      </w:tr>
    </w:tbl>
    <w:p>
      <w:pPr>
        <w:pStyle w:val="TextBody"/>
        <w:bidi w:val="0"/>
        <w:spacing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75"/>
        <w:gridCol w:w="110"/>
        <w:gridCol w:w="60"/>
        <w:gridCol w:w="6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100% of income or gains recognized, but not distributed, in preceding years.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nine months ended September 30, 2023 and for calendar years ended December 31, 2022 and 2021 for purposes of additional liquidity and we recorded a net expense of $1.8 million for the nine months ended September 30, 2023 and $2.2 million and $0.7 million for the years ended December 31, 2022, and December 31, 2021,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2022 Annual Report. </w:t>
      </w:r>
    </w:p>
    <w:p>
      <w:pPr>
        <w:pStyle w:val="TextBody"/>
        <w:bidi w:val="0"/>
        <w:spacing w:before="240" w:after="0"/>
        <w:jc w:val="left"/>
        <w:rPr>
          <w:rFonts w:ascii="Times New Roman" w:hAnsi="Times New Roman"/>
          <w:sz w:val="20"/>
        </w:rPr>
      </w:pPr>
      <w:r>
        <w:rPr>
          <w:rFonts w:ascii="Times New Roman" w:hAnsi="Times New Roman"/>
          <w:sz w:val="20"/>
        </w:rPr>
        <w:t xml:space="preserve">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 </w:t>
      </w:r>
    </w:p>
    <w:p>
      <w:pPr>
        <w:pStyle w:val="TextBody"/>
        <w:bidi w:val="0"/>
        <w:spacing w:before="240" w:after="0"/>
        <w:jc w:val="left"/>
        <w:rPr>
          <w:rFonts w:ascii="Times New Roman" w:hAnsi="Times New Roman"/>
          <w:sz w:val="20"/>
        </w:rPr>
      </w:pPr>
      <w:r>
        <w:rPr>
          <w:rFonts w:ascii="Times New Roman" w:hAnsi="Times New Roman"/>
          <w:sz w:val="20"/>
        </w:rPr>
        <w:t xml:space="preserve">Unless our common stockholders elect to receive their dividends in cash, we intend to make such distributions in additional shares of our common stock under our dividend reinvestment plan. See “Dividend Reinvestment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1" w:name="toc570824_9"/>
      <w:bookmarkEnd w:id="11"/>
      <w:r>
        <w:rPr>
          <w:rFonts w:ascii="Times New Roman" w:hAnsi="Times New Roman"/>
          <w:b/>
          <w:sz w:val="20"/>
        </w:rPr>
        <w:t xml:space="preserve">SENIOR SECURITIES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our senior securities is shown as of the dates indicated in the below table. The report of our independent registered public accounting firm, KPMG LLP, on the senior securities table as of December 31, 2022 is included in our 2022 Annual Report and is incorporated by reference to the registration statement of which this prospectus is a part. </w:t>
      </w:r>
    </w:p>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3560"/>
        <w:gridCol w:w="120"/>
        <w:gridCol w:w="292"/>
        <w:gridCol w:w="1168"/>
        <w:gridCol w:w="60"/>
        <w:gridCol w:w="120"/>
        <w:gridCol w:w="158"/>
        <w:gridCol w:w="837"/>
        <w:gridCol w:w="60"/>
        <w:gridCol w:w="120"/>
        <w:gridCol w:w="231"/>
        <w:gridCol w:w="1004"/>
        <w:gridCol w:w="60"/>
        <w:gridCol w:w="120"/>
        <w:gridCol w:w="166"/>
        <w:gridCol w:w="724"/>
        <w:gridCol w:w="75"/>
      </w:tblGrid>
      <w:tr>
        <w:trPr/>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Class and Year/Period</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Amount</w:t>
              <w:br/>
              <w:t>Outstanding</w:t>
              <w:br/>
              <w:t>Exclusive of</w:t>
              <w:br/>
              <w:t>Treasury</w:t>
              <w:br/>
              <w:t>Securities (1)</w:t>
              <w:br/>
              <w:t>($ in millions)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Asset</w:t>
              <w:br/>
              <w:t>Coverage</w:t>
              <w:br/>
              <w:t>Per Unit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Involuntary</w:t>
              <w:br/>
              <w:t>Liquidating</w:t>
              <w:br/>
              <w:t>Preference</w:t>
              <w:br/>
              <w:t>Per Unit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w:t>
              <w:br/>
              <w:t>Market</w:t>
              <w:br/>
              <w:t>Value</w:t>
              <w:br/>
              <w:t>Per Unit</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b/>
                <w:u w:val="single"/>
              </w:rPr>
            </w:pPr>
            <w:r>
              <w:rPr>
                <w:b/>
                <w:u w:val="single"/>
              </w:rPr>
              <w:t>Revolving Credit Facilities</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sz w:val="4"/>
                <w:szCs w:val="4"/>
              </w:rPr>
            </w:pPr>
            <w:r>
              <w:rPr>
                <w:sz w:val="4"/>
                <w:szCs w:val="4"/>
              </w:rPr>
            </w:r>
          </w:p>
        </w:tc>
        <w:tc>
          <w:tcPr>
            <w:tcW w:w="11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10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7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September 30, 2023 (unaudited)</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758.2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1,872.8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719.3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1,885.7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2021</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316.4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2,053.6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2020</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472.3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2,045.4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2019</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495.7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2,004.1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2018</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187.5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2,705.2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2017</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486.8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2,355.3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2016</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578.7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2,376.6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2015</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540.3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2,257.3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2014</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283.9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3,110.3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2013</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432.3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2,329.5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b/>
                <w:u w:val="single"/>
              </w:rPr>
            </w:pPr>
            <w:r>
              <w:rPr>
                <w:b/>
                <w:u w:val="single"/>
              </w:rPr>
              <w:t>Convertible Senior Notes due 2019</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sz w:val="4"/>
                <w:szCs w:val="4"/>
              </w:rPr>
            </w:pPr>
            <w:r>
              <w:rPr>
                <w:sz w:val="4"/>
                <w:szCs w:val="4"/>
              </w:rPr>
            </w:r>
          </w:p>
        </w:tc>
        <w:tc>
          <w:tcPr>
            <w:tcW w:w="11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10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7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September 30, 2023 (unaudited)</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2021</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2020</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2019</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2018</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114.3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2,705.2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2017</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113.7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2,355.3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2016</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113.1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2,376.6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2015</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112.5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2,257.3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2014</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111.9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3,110.3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b/>
                <w:u w:val="single"/>
              </w:rPr>
            </w:pPr>
            <w:r>
              <w:rPr>
                <w:b/>
                <w:u w:val="single"/>
              </w:rPr>
              <w:t>Convertible Senior Notes due 2022</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September 30, 2023 (unaudited)</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2021</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2,053.6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2020</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142.5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2,045.4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2019</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171.9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2,004.1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2018</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171.7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2,705.2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2017</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114.7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2,355.3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b/>
                <w:u w:val="single"/>
              </w:rPr>
            </w:pPr>
            <w:r>
              <w:rPr>
                <w:b/>
                <w:u w:val="single"/>
              </w:rPr>
              <w:t>2023 Notes</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September 30, 2023 (unaudited)</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1,885.7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2021</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2,053.6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2020</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2,045.4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2019</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2,004.1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2018</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2,705.2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tbl>
      <w:tblPr>
        <w:tblW w:w="7960" w:type="dxa"/>
        <w:jc w:val="left"/>
        <w:tblInd w:w="0" w:type="dxa"/>
        <w:tblLayout w:type="fixed"/>
        <w:tblCellMar>
          <w:top w:w="0" w:type="dxa"/>
          <w:left w:w="0" w:type="dxa"/>
          <w:bottom w:w="0" w:type="dxa"/>
          <w:right w:w="0" w:type="dxa"/>
        </w:tblCellMar>
      </w:tblPr>
      <w:tblGrid>
        <w:gridCol w:w="2645"/>
        <w:gridCol w:w="120"/>
        <w:gridCol w:w="292"/>
        <w:gridCol w:w="1168"/>
        <w:gridCol w:w="60"/>
        <w:gridCol w:w="120"/>
        <w:gridCol w:w="158"/>
        <w:gridCol w:w="837"/>
        <w:gridCol w:w="60"/>
        <w:gridCol w:w="120"/>
        <w:gridCol w:w="231"/>
        <w:gridCol w:w="1004"/>
        <w:gridCol w:w="60"/>
        <w:gridCol w:w="120"/>
        <w:gridCol w:w="166"/>
        <w:gridCol w:w="724"/>
        <w:gridCol w:w="75"/>
      </w:tblGrid>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Class and Year/Period</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Amount</w:t>
              <w:br/>
              <w:t>Outstanding</w:t>
              <w:br/>
              <w:t>Exclusive of</w:t>
              <w:br/>
              <w:t>Treasury</w:t>
              <w:br/>
              <w:t>Securities (1)</w:t>
              <w:br/>
              <w:t>($ in millions)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Asset</w:t>
              <w:br/>
              <w:t>Coverage</w:t>
              <w:br/>
              <w:t>Per Unit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Involuntary</w:t>
              <w:br/>
              <w:t>Liquidating</w:t>
              <w:br/>
              <w:t>Preference</w:t>
              <w:br/>
              <w:t>Per Unit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w:t>
              <w:br/>
              <w:t>Market</w:t>
              <w:br/>
              <w:t>Value</w:t>
              <w:br/>
              <w:t>Per Unit</w:t>
            </w:r>
          </w:p>
        </w:tc>
        <w:tc>
          <w:tcPr>
            <w:tcW w:w="7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2024 Notes</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sz w:val="4"/>
                <w:szCs w:val="4"/>
              </w:rPr>
            </w:pPr>
            <w:r>
              <w:rPr>
                <w:sz w:val="4"/>
                <w:szCs w:val="4"/>
              </w:rPr>
            </w:r>
          </w:p>
        </w:tc>
        <w:tc>
          <w:tcPr>
            <w:tcW w:w="11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10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7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September 30, 2023 (unaudited)</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347.1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1,872.8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346.8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1,885.7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2021</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346.4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2,053.6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2020</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346.1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2,045.4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2019</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297.2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2,004.1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b/>
                <w:u w:val="single"/>
              </w:rPr>
            </w:pPr>
            <w:r>
              <w:rPr>
                <w:b/>
                <w:u w:val="single"/>
              </w:rPr>
              <w:t>2026 Notes</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sz w:val="4"/>
                <w:szCs w:val="4"/>
              </w:rPr>
            </w:pPr>
            <w:r>
              <w:rPr>
                <w:sz w:val="4"/>
                <w:szCs w:val="4"/>
              </w:rPr>
            </w:r>
          </w:p>
        </w:tc>
        <w:tc>
          <w:tcPr>
            <w:tcW w:w="11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10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7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September 30, 2023 (unaudited)</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298.8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1,872.8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298.5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1,885.7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2021</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298.1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2,053.6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2028 Notes</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sz w:val="4"/>
                <w:szCs w:val="4"/>
              </w:rPr>
            </w:pPr>
            <w:r>
              <w:rPr>
                <w:sz w:val="4"/>
                <w:szCs w:val="4"/>
              </w:rPr>
            </w:r>
          </w:p>
        </w:tc>
        <w:tc>
          <w:tcPr>
            <w:tcW w:w="11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10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7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September 30, 2023 (unaudited)</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298.2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1,872.8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amount of each class of senior securities outstanding at carrying value, excluding the impact of deferred financing costs and hedge accounting relationships, at the end of the period presented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2" w:name="toc570824_10"/>
      <w:bookmarkEnd w:id="12"/>
      <w:r>
        <w:rPr>
          <w:rFonts w:ascii="Times New Roman" w:hAnsi="Times New Roman"/>
          <w:b/>
          <w:sz w:val="20"/>
        </w:rPr>
        <w:t xml:space="preserve">PORTFOLIO COMPANIES </w:t>
      </w:r>
    </w:p>
    <w:p>
      <w:pPr>
        <w:pStyle w:val="TextBody"/>
        <w:bidi w:val="0"/>
        <w:spacing w:before="240" w:after="0"/>
        <w:jc w:val="left"/>
        <w:rPr>
          <w:rFonts w:ascii="Times New Roman" w:hAnsi="Times New Roman"/>
          <w:sz w:val="20"/>
        </w:rPr>
      </w:pPr>
      <w:r>
        <w:rPr>
          <w:rFonts w:ascii="Times New Roman" w:hAnsi="Times New Roman"/>
          <w:sz w:val="20"/>
        </w:rPr>
        <w:t xml:space="preserve">The table set forth below contains certain information as of September 30, 2023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such as first-lien or second-lien loans, unsecured notes, or bonds, or they are Equity or Other Investments such as common equity, preferred equity, or equity warrants. We either originated or purchased in the secondary market the Debt Investments and Equity or Other Investments in our current portfolio. </w:t>
      </w:r>
    </w:p>
    <w:p>
      <w:pPr>
        <w:pStyle w:val="TextBody"/>
        <w:bidi w:val="0"/>
        <w:spacing w:before="0" w:after="0"/>
        <w:jc w:val="left"/>
        <w:rPr/>
      </w:pPr>
      <w:r>
        <w:rPr/>
        <w:t> </w:t>
      </w:r>
    </w:p>
    <w:tbl>
      <w:tblPr>
        <w:tblW w:w="12005" w:type="dxa"/>
        <w:jc w:val="left"/>
        <w:tblInd w:w="0" w:type="dxa"/>
        <w:tblLayout w:type="fixed"/>
        <w:tblCellMar>
          <w:top w:w="0" w:type="dxa"/>
          <w:left w:w="0" w:type="dxa"/>
          <w:bottom w:w="0" w:type="dxa"/>
          <w:right w:w="0" w:type="dxa"/>
        </w:tblCellMar>
      </w:tblPr>
      <w:tblGrid>
        <w:gridCol w:w="1115"/>
        <w:gridCol w:w="60"/>
        <w:gridCol w:w="695"/>
        <w:gridCol w:w="60"/>
        <w:gridCol w:w="125"/>
        <w:gridCol w:w="1050"/>
        <w:gridCol w:w="60"/>
        <w:gridCol w:w="60"/>
        <w:gridCol w:w="60"/>
        <w:gridCol w:w="1310"/>
        <w:gridCol w:w="275"/>
        <w:gridCol w:w="60"/>
        <w:gridCol w:w="129"/>
        <w:gridCol w:w="1211"/>
        <w:gridCol w:w="275"/>
        <w:gridCol w:w="60"/>
        <w:gridCol w:w="187"/>
        <w:gridCol w:w="913"/>
        <w:gridCol w:w="60"/>
        <w:gridCol w:w="60"/>
        <w:gridCol w:w="141"/>
        <w:gridCol w:w="974"/>
        <w:gridCol w:w="125"/>
        <w:gridCol w:w="60"/>
        <w:gridCol w:w="209"/>
        <w:gridCol w:w="1116"/>
        <w:gridCol w:w="275"/>
        <w:gridCol w:w="60"/>
        <w:gridCol w:w="572"/>
        <w:gridCol w:w="573"/>
        <w:gridCol w:w="7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 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w:t>
              <w:br/>
              <w:t>Class Held</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Debt Investments</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974"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111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Automotive</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1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Bestpass, Inc. (3)(5) </w:t>
              <w:br/>
              <w:t xml:space="preserve">500 New Karner Road </w:t>
              <w:br/>
              <w:t xml:space="preserve">Albany, NY 12205 </w:t>
              <w:br/>
              <w:t>USA</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($39,900 par, due 5/2029)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5/26/2023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+ 5.75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11.07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38,810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974" w:type="dxa"/>
            <w:tcBorders/>
            <w:shd w:fill="CCEEFF" w:val="clear"/>
            <w:vAlign w:val="center"/>
          </w:tcPr>
          <w:p>
            <w:pPr>
              <w:pStyle w:val="TableContents"/>
              <w:bidi w:val="0"/>
              <w:spacing w:before="0" w:after="283"/>
              <w:jc w:val="right"/>
              <w:rPr/>
            </w:pPr>
            <w:r>
              <w:rPr/>
              <w:t>39,202</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2.6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Carlstar Group, LLC (3) </w:t>
              <w:br/>
              <w:t xml:space="preserve">725 Cool Springs Boulevard </w:t>
              <w:br/>
              <w:t xml:space="preserve">Suite 500 </w:t>
              <w:br/>
              <w:t xml:space="preserve">Franklin, TN 37067 </w:t>
              <w:br/>
              <w:t>USA</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($26,118 par, due 7/2027)</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7/8/2022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+ 6.60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11.92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25,508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26,378</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91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974"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64,318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65,580</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91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974"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Business Services</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1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Acceo Solutions, Inc. (3)(4)(5) </w:t>
              <w:br/>
              <w:t xml:space="preserve">75, Queen Street </w:t>
              <w:br/>
              <w:t xml:space="preserve">Suite 6100 </w:t>
              <w:br/>
              <w:t xml:space="preserve">Montreal, Quebec H3C 2N6 </w:t>
              <w:br/>
              <w:t>Canada</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(CAD 57,353 par, due 10/2025)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7/6/2018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C + 4.75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10.14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43,340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jc w:val="right"/>
              <w:rPr/>
            </w:pPr>
            <w:r>
              <w:rPr/>
              <w:t>42,633</w:t>
            </w:r>
          </w:p>
          <w:p>
            <w:pPr>
              <w:pStyle w:val="TableContents"/>
              <w:bidi w:val="0"/>
              <w:spacing w:before="0" w:after="20"/>
              <w:jc w:val="right"/>
              <w:rPr>
                <w:rFonts w:ascii="Times New Roman" w:hAnsi="Times New Roman"/>
                <w:sz w:val="16"/>
              </w:rPr>
            </w:pPr>
            <w:r>
              <w:rPr>
                <w:rFonts w:ascii="Times New Roman" w:hAnsi="Times New Roman"/>
                <w:sz w:val="16"/>
              </w:rPr>
              <w:t>(CAD 57,640</w:t>
            </w:r>
          </w:p>
        </w:tc>
        <w:tc>
          <w:tcPr>
            <w:tcW w:w="125" w:type="dxa"/>
            <w:tcBorders/>
            <w:shd w:fill="CCEEFF" w:val="clear"/>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2.9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Alpha Midco, Inc. (3)(5) 3933 Lake Washington Blvd NE </w:t>
              <w:br/>
              <w:t xml:space="preserve">#350 </w:t>
              <w:br/>
              <w:t xml:space="preserve">Kirkland, WA 98033 </w:t>
              <w:br/>
              <w:t>USA</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($68,794 par, due 8/2025)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8/15/2019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+ 7.65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12.99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68,125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69,660</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1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BCTO Ignition Purchaser, Inc. (3) </w:t>
              <w:br/>
              <w:t xml:space="preserve">1801 West End Ave </w:t>
              <w:br/>
              <w:t xml:space="preserve">Suite 300 </w:t>
              <w:br/>
              <w:t xml:space="preserve">Nashville, TN 37203 </w:t>
              <w:br/>
              <w:t>USA</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holdco loan ($30,913 par, due 10/2030)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4/18/2023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+ 9.00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jc w:val="right"/>
              <w:rPr/>
            </w:pPr>
            <w:r>
              <w:rPr/>
              <w:t>14.31</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30,045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30,449</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Dye &amp; Durham Corp. (3)(4) </w:t>
              <w:br/>
              <w:t xml:space="preserve">25 York Street </w:t>
              <w:br/>
              <w:t xml:space="preserve">Suite 1100 </w:t>
              <w:br/>
              <w:t xml:space="preserve">Toronto, Ontario M5J 2V5 </w:t>
              <w:br/>
              <w:t>Canada</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(CAD 36,778 par, due 12/2027)</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12/3/2021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C + 5.75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11.26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28,026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jc w:val="right"/>
              <w:rPr/>
            </w:pPr>
            <w:r>
              <w:rPr/>
              <w:t>27,483</w:t>
            </w:r>
          </w:p>
          <w:p>
            <w:pPr>
              <w:pStyle w:val="TableContents"/>
              <w:bidi w:val="0"/>
              <w:spacing w:before="0" w:after="20"/>
              <w:jc w:val="right"/>
              <w:rPr>
                <w:rFonts w:ascii="Times New Roman" w:hAnsi="Times New Roman"/>
                <w:sz w:val="16"/>
              </w:rPr>
            </w:pPr>
            <w:r>
              <w:rPr>
                <w:rFonts w:ascii="Times New Roman" w:hAnsi="Times New Roman"/>
                <w:sz w:val="16"/>
              </w:rPr>
              <w:t>(CAD 37,157</w:t>
            </w:r>
          </w:p>
        </w:tc>
        <w:tc>
          <w:tcPr>
            <w:tcW w:w="125" w:type="dxa"/>
            <w:tcBorders/>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revolving loan (CAD 1,086 par, due 12/2026)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12/3/2021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C + 5.75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11.26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jc w:val="right"/>
              <w:rPr/>
            </w:pPr>
            <w:r>
              <w:rPr/>
              <w:t>804</w:t>
            </w:r>
          </w:p>
          <w:p>
            <w:pPr>
              <w:pStyle w:val="TableContents"/>
              <w:bidi w:val="0"/>
              <w:spacing w:before="0" w:after="20"/>
              <w:jc w:val="right"/>
              <w:rPr>
                <w:rFonts w:ascii="Times New Roman" w:hAnsi="Times New Roman"/>
                <w:sz w:val="16"/>
              </w:rPr>
            </w:pPr>
            <w:r>
              <w:rPr>
                <w:rFonts w:ascii="Times New Roman" w:hAnsi="Times New Roman"/>
                <w:sz w:val="16"/>
              </w:rPr>
              <w:t>(CAD 1,086</w:t>
            </w:r>
          </w:p>
        </w:tc>
        <w:tc>
          <w:tcPr>
            <w:tcW w:w="125" w:type="dxa"/>
            <w:tcBorders/>
            <w:shd w:fill="CCEEFF" w:val="clear"/>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tbl>
      <w:tblPr>
        <w:tblW w:w="12125" w:type="dxa"/>
        <w:jc w:val="left"/>
        <w:tblInd w:w="0" w:type="dxa"/>
        <w:tblLayout w:type="fixed"/>
        <w:tblCellMar>
          <w:top w:w="0" w:type="dxa"/>
          <w:left w:w="0" w:type="dxa"/>
          <w:bottom w:w="0" w:type="dxa"/>
          <w:right w:w="0" w:type="dxa"/>
        </w:tblCellMar>
      </w:tblPr>
      <w:tblGrid>
        <w:gridCol w:w="1070"/>
        <w:gridCol w:w="60"/>
        <w:gridCol w:w="695"/>
        <w:gridCol w:w="60"/>
        <w:gridCol w:w="125"/>
        <w:gridCol w:w="1050"/>
        <w:gridCol w:w="60"/>
        <w:gridCol w:w="60"/>
        <w:gridCol w:w="60"/>
        <w:gridCol w:w="1310"/>
        <w:gridCol w:w="275"/>
        <w:gridCol w:w="60"/>
        <w:gridCol w:w="60"/>
        <w:gridCol w:w="1190"/>
        <w:gridCol w:w="275"/>
        <w:gridCol w:w="60"/>
        <w:gridCol w:w="89"/>
        <w:gridCol w:w="1011"/>
        <w:gridCol w:w="60"/>
        <w:gridCol w:w="60"/>
        <w:gridCol w:w="89"/>
        <w:gridCol w:w="1281"/>
        <w:gridCol w:w="125"/>
        <w:gridCol w:w="60"/>
        <w:gridCol w:w="209"/>
        <w:gridCol w:w="1116"/>
        <w:gridCol w:w="275"/>
        <w:gridCol w:w="60"/>
        <w:gridCol w:w="572"/>
        <w:gridCol w:w="573"/>
        <w:gridCol w:w="75"/>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 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w:t>
              <w:br/>
              <w:t>Class Held</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ExtraHop Networks, Inc. (3)(5) </w:t>
              <w:br/>
              <w:t xml:space="preserve">520 Pike St </w:t>
              <w:br/>
              <w:t xml:space="preserve">Suite 1600 </w:t>
              <w:br/>
              <w:t>Seattle, WA 98101 USA</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($64,162 par, due 7/2027)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7/22/2021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12.92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63,157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63,681</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4.3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ForeScout Technologies, Inc. (3) 300 Santana Row </w:t>
              <w:br/>
              <w:t xml:space="preserve">Suite 400 </w:t>
              <w:br/>
              <w:t>San Jose, CA 95128 USA</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($2,788 par, due 8/2026)</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7/1/2022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+ 9.10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jc w:val="right"/>
              <w:rPr/>
            </w:pPr>
            <w:r>
              <w:rPr/>
              <w:t>14.49</w:t>
            </w:r>
          </w:p>
          <w:p>
            <w:pPr>
              <w:pStyle w:val="TableContents"/>
              <w:bidi w:val="0"/>
              <w:spacing w:before="0" w:after="20"/>
              <w:jc w:val="right"/>
              <w:rPr>
                <w:rFonts w:ascii="Times New Roman" w:hAnsi="Times New Roman"/>
                <w:sz w:val="16"/>
              </w:rPr>
            </w:pPr>
            <w:r>
              <w:rPr>
                <w:rFonts w:ascii="Times New Roman" w:hAnsi="Times New Roman"/>
                <w:sz w:val="16"/>
              </w:rPr>
              <w:t>(incl. 9.00% PIK)</w:t>
            </w:r>
          </w:p>
        </w:tc>
        <w:tc>
          <w:tcPr>
            <w:tcW w:w="275"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2,737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2,803</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($2,566 par, due 8/2026)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8/17/2020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+ 9.10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jc w:val="right"/>
              <w:rPr/>
            </w:pPr>
            <w:r>
              <w:rPr/>
              <w:t>14.49</w:t>
            </w:r>
          </w:p>
          <w:p>
            <w:pPr>
              <w:pStyle w:val="TableContents"/>
              <w:bidi w:val="0"/>
              <w:spacing w:before="0" w:after="20"/>
              <w:jc w:val="right"/>
              <w:rPr>
                <w:rFonts w:ascii="Times New Roman" w:hAnsi="Times New Roman"/>
                <w:sz w:val="16"/>
              </w:rPr>
            </w:pPr>
            <w:r>
              <w:rPr>
                <w:rFonts w:ascii="Times New Roman" w:hAnsi="Times New Roman"/>
                <w:sz w:val="16"/>
              </w:rPr>
              <w:t>(incl. 9.00% PIK)</w:t>
            </w:r>
          </w:p>
        </w:tc>
        <w:tc>
          <w:tcPr>
            <w:tcW w:w="275"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2,572</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Galileo Parent, Inc. (3) </w:t>
              <w:br/>
              <w:t xml:space="preserve">Prudential Tower, 800 Boylston Street Boston, MA 02199 </w:t>
              <w:br/>
              <w:t>USA</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($64,904 par, due 5/2030)</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5/3/2023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+ 7.25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12.64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63,030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63,930</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4.3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revolving loan ($4,471 par, due 5/2029)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5/3/2023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12.64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4,189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4,320</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Hornetsecurity Holding GmbH (3)(4) Am Listholze 78 </w:t>
              <w:br/>
              <w:t xml:space="preserve">30177 Hanover </w:t>
              <w:br/>
              <w:t>Germany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(EUR 3,335 par, due 11/2029)</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11/14/2022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E + 6.50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10.30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3,150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jc w:val="right"/>
              <w:rPr/>
            </w:pPr>
            <w:r>
              <w:rPr/>
              <w:t>3,335</w:t>
            </w:r>
          </w:p>
          <w:p>
            <w:pPr>
              <w:pStyle w:val="TableContents"/>
              <w:bidi w:val="0"/>
              <w:spacing w:before="0" w:after="20"/>
              <w:jc w:val="right"/>
              <w:rPr>
                <w:rFonts w:ascii="Times New Roman" w:hAnsi="Times New Roman"/>
                <w:sz w:val="16"/>
              </w:rPr>
            </w:pPr>
            <w:r>
              <w:rPr>
                <w:rFonts w:ascii="Times New Roman" w:hAnsi="Times New Roman"/>
                <w:sz w:val="16"/>
              </w:rPr>
              <w:t>(EUR 3,150</w:t>
            </w:r>
          </w:p>
        </w:tc>
        <w:tc>
          <w:tcPr>
            <w:tcW w:w="125" w:type="dxa"/>
            <w:tcBorders/>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Information Clearinghouse, LLC and MS Market Service, LLC (3)(5) </w:t>
              <w:br/>
              <w:t xml:space="preserve">310 East Shore Road </w:t>
              <w:br/>
              <w:t>Great Neck, NY 11023 USA</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($17,685 par, due 12/2026)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12/20/2021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+ 6.65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12.05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17,361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17,596</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Mitnick Corporate Purchaser, Inc. (3)(9) </w:t>
              <w:br/>
              <w:t xml:space="preserve">197 East University Drive </w:t>
              <w:br/>
              <w:t>Auburn, AL 36832 USA</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($330 par, due 5/2029)</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5/2/2022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+ 4.60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9.97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330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317</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Netwrix Corp. (3) </w:t>
              <w:br/>
              <w:t xml:space="preserve">6160 Warren Parkway </w:t>
              <w:br/>
              <w:t xml:space="preserve">Suite 100 </w:t>
              <w:br/>
              <w:t xml:space="preserve">Frisco, TX 75034 </w:t>
              <w:br/>
              <w:t>USA</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($36,456 par, due 6/2029)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6/9/2022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+ 5.00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10.30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35,952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36,456</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revolving loan ($718 par, due 6/2029)</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6/9/2022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+ 5.00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682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718</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OutSystems Luxco SARL(3)(4)(5) </w:t>
              <w:br/>
              <w:t xml:space="preserve">55 Thomson Place </w:t>
              <w:br/>
              <w:t xml:space="preserve">2nd Floor </w:t>
              <w:br/>
              <w:t>Boston, MA 02210 USA</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(EUR 3,180 par, due 12/2028)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12/8/2022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E + 5.75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9.72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3,083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jc w:val="right"/>
              <w:rPr/>
            </w:pPr>
            <w:r>
              <w:rPr/>
              <w:t>3,180</w:t>
            </w:r>
          </w:p>
          <w:p>
            <w:pPr>
              <w:pStyle w:val="TableContents"/>
              <w:bidi w:val="0"/>
              <w:spacing w:before="0" w:after="20"/>
              <w:jc w:val="right"/>
              <w:rPr>
                <w:rFonts w:ascii="Times New Roman" w:hAnsi="Times New Roman"/>
                <w:sz w:val="16"/>
              </w:rPr>
            </w:pPr>
            <w:r>
              <w:rPr>
                <w:rFonts w:ascii="Times New Roman" w:hAnsi="Times New Roman"/>
                <w:sz w:val="16"/>
              </w:rPr>
              <w:t>(EUR 3,004</w:t>
            </w:r>
          </w:p>
        </w:tc>
        <w:tc>
          <w:tcPr>
            <w:tcW w:w="125" w:type="dxa"/>
            <w:tcBorders/>
            <w:shd w:fill="CCEEFF" w:val="clear"/>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tbl>
      <w:tblPr>
        <w:tblW w:w="12170" w:type="dxa"/>
        <w:jc w:val="left"/>
        <w:tblInd w:w="0" w:type="dxa"/>
        <w:tblLayout w:type="fixed"/>
        <w:tblCellMar>
          <w:top w:w="0" w:type="dxa"/>
          <w:left w:w="0" w:type="dxa"/>
          <w:bottom w:w="0" w:type="dxa"/>
          <w:right w:w="0" w:type="dxa"/>
        </w:tblCellMar>
      </w:tblPr>
      <w:tblGrid>
        <w:gridCol w:w="1250"/>
        <w:gridCol w:w="60"/>
        <w:gridCol w:w="845"/>
        <w:gridCol w:w="60"/>
        <w:gridCol w:w="125"/>
        <w:gridCol w:w="1050"/>
        <w:gridCol w:w="60"/>
        <w:gridCol w:w="60"/>
        <w:gridCol w:w="60"/>
        <w:gridCol w:w="1310"/>
        <w:gridCol w:w="275"/>
        <w:gridCol w:w="60"/>
        <w:gridCol w:w="129"/>
        <w:gridCol w:w="1211"/>
        <w:gridCol w:w="275"/>
        <w:gridCol w:w="60"/>
        <w:gridCol w:w="76"/>
        <w:gridCol w:w="1024"/>
        <w:gridCol w:w="60"/>
        <w:gridCol w:w="60"/>
        <w:gridCol w:w="60"/>
        <w:gridCol w:w="935"/>
        <w:gridCol w:w="125"/>
        <w:gridCol w:w="60"/>
        <w:gridCol w:w="159"/>
        <w:gridCol w:w="1166"/>
        <w:gridCol w:w="275"/>
        <w:gridCol w:w="60"/>
        <w:gridCol w:w="572"/>
        <w:gridCol w:w="573"/>
        <w:gridCol w:w="75"/>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 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w:t>
              <w:br/>
              <w:t>Class Held</w:t>
            </w:r>
          </w:p>
        </w:tc>
        <w:tc>
          <w:tcPr>
            <w:tcW w:w="75"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ReliaQuest Holdings, LLC (3)(5) </w:t>
              <w:br/>
              <w:t xml:space="preserve">777 South Harbour Island Boulevard </w:t>
              <w:br/>
              <w:t xml:space="preserve">Suite 500 </w:t>
              <w:br/>
              <w:t xml:space="preserve">Tampa, FL 33602 </w:t>
              <w:br/>
              <w:t>USA</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($76,220 par, due 10/2026)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10/8/2020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12.62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75,271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77,172</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5.2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Wrangler TopCo, LLC (3) </w:t>
              <w:br/>
              <w:t xml:space="preserve">555 California Street </w:t>
              <w:br/>
              <w:t xml:space="preserve">Suite 2900 </w:t>
              <w:br/>
              <w:t xml:space="preserve">San Francisco, CA 94104 </w:t>
              <w:br/>
              <w:t>USA</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($4,153 par, due 7/2029)</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7/7/2023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+ 7.50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12.88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4,041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4,095</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35"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445,788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451,204</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35"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Chemicals</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Erling Lux Bidco SARL(3)(4) </w:t>
              <w:br/>
              <w:t xml:space="preserve">1-3 Boulevard De La Foire </w:t>
              <w:br/>
              <w:t xml:space="preserve">1528 Luxembourg </w:t>
              <w:br/>
              <w:t>Luxembourg</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(EUR 9,625 par, due 9/2028)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9/6/2022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E + 6.75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10.61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9,514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jc w:val="right"/>
              <w:rPr/>
            </w:pPr>
            <w:r>
              <w:rPr/>
              <w:t>10,257</w:t>
            </w:r>
          </w:p>
          <w:p>
            <w:pPr>
              <w:pStyle w:val="TableContents"/>
              <w:bidi w:val="0"/>
              <w:spacing w:before="0" w:after="20"/>
              <w:jc w:val="right"/>
              <w:rPr>
                <w:rFonts w:ascii="Times New Roman" w:hAnsi="Times New Roman"/>
                <w:sz w:val="16"/>
              </w:rPr>
            </w:pPr>
            <w:r>
              <w:rPr>
                <w:rFonts w:ascii="Times New Roman" w:hAnsi="Times New Roman"/>
                <w:sz w:val="16"/>
              </w:rPr>
              <w:t>(EUR 9,688</w:t>
            </w:r>
          </w:p>
        </w:tc>
        <w:tc>
          <w:tcPr>
            <w:tcW w:w="125" w:type="dxa"/>
            <w:tcBorders/>
            <w:shd w:fill="CCEEFF" w:val="clear"/>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(GBP 10,217 par, due 9/2028)</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9/6/2022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 + 6.75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11.94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11,276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jc w:val="right"/>
              <w:rPr/>
            </w:pPr>
            <w:r>
              <w:rPr/>
              <w:t>12,533</w:t>
            </w:r>
          </w:p>
          <w:p>
            <w:pPr>
              <w:pStyle w:val="TableContents"/>
              <w:bidi w:val="0"/>
              <w:spacing w:before="0" w:after="20"/>
              <w:jc w:val="right"/>
              <w:rPr>
                <w:rFonts w:ascii="Times New Roman" w:hAnsi="Times New Roman"/>
                <w:sz w:val="16"/>
              </w:rPr>
            </w:pPr>
            <w:r>
              <w:rPr>
                <w:rFonts w:ascii="Times New Roman" w:hAnsi="Times New Roman"/>
                <w:sz w:val="16"/>
              </w:rPr>
              <w:t>(GBP 10,269</w:t>
            </w:r>
          </w:p>
        </w:tc>
        <w:tc>
          <w:tcPr>
            <w:tcW w:w="125" w:type="dxa"/>
            <w:tcBorders/>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revolving loan (GBP 312 par, due 9/2028)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9/6/2022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 + 6.75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11.94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jc w:val="right"/>
              <w:rPr/>
            </w:pPr>
            <w:r>
              <w:rPr/>
              <w:t>382</w:t>
            </w:r>
          </w:p>
          <w:p>
            <w:pPr>
              <w:pStyle w:val="TableContents"/>
              <w:bidi w:val="0"/>
              <w:spacing w:before="0" w:after="20"/>
              <w:jc w:val="right"/>
              <w:rPr>
                <w:rFonts w:ascii="Times New Roman" w:hAnsi="Times New Roman"/>
                <w:sz w:val="16"/>
              </w:rPr>
            </w:pPr>
            <w:r>
              <w:rPr>
                <w:rFonts w:ascii="Times New Roman" w:hAnsi="Times New Roman"/>
                <w:sz w:val="16"/>
              </w:rPr>
              <w:t>(GBP 313</w:t>
            </w:r>
          </w:p>
        </w:tc>
        <w:tc>
          <w:tcPr>
            <w:tcW w:w="125" w:type="dxa"/>
            <w:tcBorders/>
            <w:shd w:fill="CCEEFF" w:val="clear"/>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35"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21,190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23,172</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35"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Communications</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3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Banyan Software Holdings, LLC (3)(4) </w:t>
              <w:br/>
              <w:t xml:space="preserve">303 Perimeter Center North </w:t>
              <w:br/>
              <w:t xml:space="preserve">Suite 450 </w:t>
              <w:br/>
              <w:t xml:space="preserve">Atlanta, GA 30346 </w:t>
              <w:br/>
              <w:t>USA</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($19,850 par, due 10/2026)</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1/27/2023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+ 7.35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12.67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18,803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19,651</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Celtra Technologies, Inc. (3)(5) </w:t>
              <w:br/>
              <w:t xml:space="preserve">545 Boylston Street </w:t>
              <w:br/>
              <w:t xml:space="preserve">11th Floor </w:t>
              <w:br/>
              <w:t xml:space="preserve">Boston, MA 02116 </w:t>
              <w:br/>
              <w:t>USA</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($34,256 par, due 11/2026)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11/19/2021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12.42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33,521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33,742</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IntelePeer Holdings, Inc. </w:t>
              <w:br/>
              <w:t xml:space="preserve">155 Bovet Rd. </w:t>
              <w:br/>
              <w:t xml:space="preserve">Suite 405 </w:t>
              <w:br/>
              <w:t xml:space="preserve">San Mateo, CA 94402 </w:t>
              <w:br/>
              <w:t>USA</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($33,925 par, due 12/2024) (3)</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12/2/2019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+ 8.40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13.79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33,899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33,586</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Convertible note ($4,619 par, due 5/2028)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5/12/2021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7.00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jc w:val="right"/>
              <w:rPr/>
            </w:pPr>
            <w:r>
              <w:rPr/>
              <w:t>7.00</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4,803</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35"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90,813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91,782</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35"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Education</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3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Astra Acquisition Corp. (3) </w:t>
              <w:br/>
              <w:t xml:space="preserve">5201 Congress Ave. </w:t>
              <w:br/>
              <w:t>Boca Raton, FL 33487</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Second-lien loan ($43,479 par, due 10/2029)</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10/25/2021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+ 8.99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14.53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42,796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34,566</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Destiny Solutions Parent Holding Company (3)(5) </w:t>
              <w:br/>
              <w:t xml:space="preserve">1320 Flynn Road, Suite 100 </w:t>
              <w:br/>
              <w:t>Camarillo, CA 93012</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($59,700 par, due 6/2026)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6/8/2021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+ 5.85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11.17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58,941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59,103</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tbl>
      <w:tblPr>
        <w:tblW w:w="12005" w:type="dxa"/>
        <w:jc w:val="left"/>
        <w:tblInd w:w="0" w:type="dxa"/>
        <w:tblLayout w:type="fixed"/>
        <w:tblCellMar>
          <w:top w:w="0" w:type="dxa"/>
          <w:left w:w="0" w:type="dxa"/>
          <w:bottom w:w="0" w:type="dxa"/>
          <w:right w:w="0" w:type="dxa"/>
        </w:tblCellMar>
      </w:tblPr>
      <w:tblGrid>
        <w:gridCol w:w="1310"/>
        <w:gridCol w:w="60"/>
        <w:gridCol w:w="695"/>
        <w:gridCol w:w="60"/>
        <w:gridCol w:w="125"/>
        <w:gridCol w:w="1050"/>
        <w:gridCol w:w="60"/>
        <w:gridCol w:w="60"/>
        <w:gridCol w:w="60"/>
        <w:gridCol w:w="1310"/>
        <w:gridCol w:w="275"/>
        <w:gridCol w:w="60"/>
        <w:gridCol w:w="60"/>
        <w:gridCol w:w="1190"/>
        <w:gridCol w:w="275"/>
        <w:gridCol w:w="60"/>
        <w:gridCol w:w="76"/>
        <w:gridCol w:w="1024"/>
        <w:gridCol w:w="60"/>
        <w:gridCol w:w="60"/>
        <w:gridCol w:w="60"/>
        <w:gridCol w:w="950"/>
        <w:gridCol w:w="125"/>
        <w:gridCol w:w="60"/>
        <w:gridCol w:w="159"/>
        <w:gridCol w:w="1166"/>
        <w:gridCol w:w="275"/>
        <w:gridCol w:w="60"/>
        <w:gridCol w:w="572"/>
        <w:gridCol w:w="573"/>
        <w:gridCol w:w="7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 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w:t>
              <w:br/>
              <w:t>Class Held</w:t>
            </w:r>
          </w:p>
        </w:tc>
        <w:tc>
          <w:tcPr>
            <w:tcW w:w="75"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EMS Linq, Inc. (3) </w:t>
              <w:br/>
              <w:t xml:space="preserve">2528 INDEPENDENCE BLVD STE 200 </w:t>
              <w:br/>
              <w:t>WILMINGTON NC 28412-2591</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($56,216 par, due 12/2027)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12/22/2021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+ 6.35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11.67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55,240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54,916</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5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156,977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148,585</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5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1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Financial Services</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Alaska Bidco Oy (3)(4) </w:t>
              <w:br/>
              <w:t xml:space="preserve">Linnoitustie 6 </w:t>
              <w:br/>
              <w:t>02600, Norway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(EUR 727 par, due 5/2030)</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5/30/2023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E + 6.25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10.39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754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jc w:val="right"/>
              <w:rPr/>
            </w:pPr>
            <w:r>
              <w:rPr/>
              <w:t>763</w:t>
            </w:r>
          </w:p>
          <w:p>
            <w:pPr>
              <w:pStyle w:val="TableContents"/>
              <w:bidi w:val="0"/>
              <w:spacing w:before="0" w:after="20"/>
              <w:jc w:val="right"/>
              <w:rPr>
                <w:rFonts w:ascii="Times New Roman" w:hAnsi="Times New Roman"/>
                <w:sz w:val="16"/>
              </w:rPr>
            </w:pPr>
            <w:r>
              <w:rPr>
                <w:rFonts w:ascii="Times New Roman" w:hAnsi="Times New Roman"/>
                <w:sz w:val="16"/>
              </w:rPr>
              <w:t>(EUR 720</w:t>
            </w:r>
          </w:p>
        </w:tc>
        <w:tc>
          <w:tcPr>
            <w:tcW w:w="125" w:type="dxa"/>
            <w:tcBorders/>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BCTO Bluebill Buyer, Inc. (3)(5) </w:t>
              <w:br/>
              <w:t xml:space="preserve">6100 W. 96th Street, Suite 100 </w:t>
              <w:br/>
              <w:t>Indianapolis, IN 46278</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($28,164 par, due 7/2029)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7/20/2023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12.64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27,122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27,319</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BTRS Holdings, Inc.(3) 1009 Lenox Drive, Suite 101 </w:t>
              <w:br/>
              <w:t>Lawrenceville, NJ 08648</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($46,580 par, due 12/2028)</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12/16/2022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+ 8.00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13.41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45,277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46,323</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Bear OpCo, LLC (3)(5) </w:t>
              <w:br/>
              <w:t xml:space="preserve">5435 Corporate Drive, Suite 300 </w:t>
              <w:br/>
              <w:t>Troy, MI 48098</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($21,082 par, due 10/2024)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10/10/2019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+ 7.65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12.97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20,953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21,345</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BlueSnap, Inc. (3)(5) </w:t>
              <w:br/>
              <w:t xml:space="preserve">800 South Street </w:t>
              <w:br/>
              <w:t xml:space="preserve">Suite 640 </w:t>
              <w:br/>
              <w:t>Waltham, MA 02453</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($42,000 par, due 10/2024)</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10/25/2019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+ 7.15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12.54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41,786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42,223</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Ibis Intermediate Co. (3)(5) </w:t>
              <w:br/>
              <w:t xml:space="preserve">485 Lexington Ave, 20th Floor </w:t>
              <w:br/>
              <w:t>New York, NY 10017</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($1,514 par, due 5/2027)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5/28/2021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+ 4.65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10.07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1,593</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Ibis US Blocker Co. (3) 485 Lexington Ave, 20th Floor </w:t>
              <w:br/>
              <w:t>New York, NY 10017</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($15,419 par, due 5/2028)</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5/28/2021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+ 8.40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jc w:val="right"/>
              <w:rPr/>
            </w:pPr>
            <w:r>
              <w:rPr/>
              <w:t>13.82</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15,196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15,342</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Kyriba Corp.(3) </w:t>
              <w:br/>
              <w:t xml:space="preserve">4435 Eastgate Mall, Suite 200 </w:t>
              <w:br/>
              <w:t>San Diego, CA 92121</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($20,382 par, due 4/2025)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4/9/2019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+ 9.25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jc w:val="right"/>
              <w:rPr/>
            </w:pPr>
            <w:r>
              <w:rPr/>
              <w:t>14.72</w:t>
            </w:r>
          </w:p>
          <w:p>
            <w:pPr>
              <w:pStyle w:val="TableContents"/>
              <w:bidi w:val="0"/>
              <w:spacing w:before="0" w:after="20"/>
              <w:jc w:val="right"/>
              <w:rPr>
                <w:rFonts w:ascii="Times New Roman" w:hAnsi="Times New Roman"/>
                <w:sz w:val="16"/>
              </w:rPr>
            </w:pPr>
            <w:r>
              <w:rPr>
                <w:rFonts w:ascii="Times New Roman" w:hAnsi="Times New Roman"/>
                <w:sz w:val="16"/>
              </w:rPr>
              <w:t>(incl. 9.00% PIK)</w:t>
            </w:r>
          </w:p>
        </w:tc>
        <w:tc>
          <w:tcPr>
            <w:tcW w:w="275"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20,255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20,433</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(EUR 10,617 par, due 4/2025)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4/9/2019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E + 9.00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jc w:val="right"/>
              <w:rPr/>
            </w:pPr>
            <w:r>
              <w:rPr/>
              <w:t>13.14</w:t>
            </w:r>
          </w:p>
          <w:p>
            <w:pPr>
              <w:pStyle w:val="TableContents"/>
              <w:bidi w:val="0"/>
              <w:spacing w:before="0" w:after="20"/>
              <w:jc w:val="right"/>
              <w:rPr>
                <w:rFonts w:ascii="Times New Roman" w:hAnsi="Times New Roman"/>
                <w:sz w:val="16"/>
              </w:rPr>
            </w:pPr>
            <w:r>
              <w:rPr>
                <w:rFonts w:ascii="Times New Roman" w:hAnsi="Times New Roman"/>
                <w:sz w:val="16"/>
              </w:rPr>
              <w:t>(incl. 9.00% PIK)</w:t>
            </w:r>
          </w:p>
        </w:tc>
        <w:tc>
          <w:tcPr>
            <w:tcW w:w="275"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11,782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jc w:val="right"/>
              <w:rPr/>
            </w:pPr>
            <w:r>
              <w:rPr/>
              <w:t>11,269</w:t>
            </w:r>
          </w:p>
          <w:p>
            <w:pPr>
              <w:pStyle w:val="TableContents"/>
              <w:bidi w:val="0"/>
              <w:spacing w:before="0" w:after="20"/>
              <w:jc w:val="right"/>
              <w:rPr>
                <w:rFonts w:ascii="Times New Roman" w:hAnsi="Times New Roman"/>
                <w:sz w:val="16"/>
              </w:rPr>
            </w:pPr>
            <w:r>
              <w:rPr>
                <w:rFonts w:ascii="Times New Roman" w:hAnsi="Times New Roman"/>
                <w:sz w:val="16"/>
              </w:rPr>
              <w:t>(EUR 10,644</w:t>
            </w:r>
          </w:p>
        </w:tc>
        <w:tc>
          <w:tcPr>
            <w:tcW w:w="125" w:type="dxa"/>
            <w:tcBorders/>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revolving loan ($1,411 par, due 4/2025)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4/9/2019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12.97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1,415</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revolving loan (EUR 336 par, due 4/2025)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4/9/2019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E + 7.25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11.39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374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jc w:val="right"/>
              <w:rPr/>
            </w:pPr>
            <w:r>
              <w:rPr/>
              <w:t>356</w:t>
            </w:r>
          </w:p>
          <w:p>
            <w:pPr>
              <w:pStyle w:val="TableContents"/>
              <w:bidi w:val="0"/>
              <w:spacing w:before="0" w:after="20"/>
              <w:jc w:val="right"/>
              <w:rPr>
                <w:rFonts w:ascii="Times New Roman" w:hAnsi="Times New Roman"/>
                <w:sz w:val="16"/>
              </w:rPr>
            </w:pPr>
            <w:r>
              <w:rPr>
                <w:rFonts w:ascii="Times New Roman" w:hAnsi="Times New Roman"/>
                <w:sz w:val="16"/>
              </w:rPr>
              <w:t>(EUR 336</w:t>
            </w:r>
          </w:p>
        </w:tc>
        <w:tc>
          <w:tcPr>
            <w:tcW w:w="125" w:type="dxa"/>
            <w:tcBorders/>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tbl>
      <w:tblPr>
        <w:tblW w:w="12425" w:type="dxa"/>
        <w:jc w:val="left"/>
        <w:tblInd w:w="0" w:type="dxa"/>
        <w:tblLayout w:type="fixed"/>
        <w:tblCellMar>
          <w:top w:w="0" w:type="dxa"/>
          <w:left w:w="0" w:type="dxa"/>
          <w:bottom w:w="0" w:type="dxa"/>
          <w:right w:w="0" w:type="dxa"/>
        </w:tblCellMar>
      </w:tblPr>
      <w:tblGrid>
        <w:gridCol w:w="1100"/>
        <w:gridCol w:w="60"/>
        <w:gridCol w:w="845"/>
        <w:gridCol w:w="60"/>
        <w:gridCol w:w="125"/>
        <w:gridCol w:w="1050"/>
        <w:gridCol w:w="60"/>
        <w:gridCol w:w="60"/>
        <w:gridCol w:w="60"/>
        <w:gridCol w:w="1430"/>
        <w:gridCol w:w="275"/>
        <w:gridCol w:w="60"/>
        <w:gridCol w:w="60"/>
        <w:gridCol w:w="1190"/>
        <w:gridCol w:w="275"/>
        <w:gridCol w:w="60"/>
        <w:gridCol w:w="76"/>
        <w:gridCol w:w="1024"/>
        <w:gridCol w:w="60"/>
        <w:gridCol w:w="60"/>
        <w:gridCol w:w="89"/>
        <w:gridCol w:w="1281"/>
        <w:gridCol w:w="125"/>
        <w:gridCol w:w="60"/>
        <w:gridCol w:w="159"/>
        <w:gridCol w:w="1166"/>
        <w:gridCol w:w="275"/>
        <w:gridCol w:w="60"/>
        <w:gridCol w:w="572"/>
        <w:gridCol w:w="573"/>
        <w:gridCol w:w="75"/>
      </w:tblGrid>
      <w:tr>
        <w:trPr/>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 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w:t>
              <w:br/>
              <w:t>Class Held</w:t>
            </w:r>
          </w:p>
        </w:tc>
        <w:tc>
          <w:tcPr>
            <w:tcW w:w="75"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Passport Labs, Inc. </w:t>
              <w:br/>
              <w:t xml:space="preserve">128 S Tryon St, Ste 1000 </w:t>
              <w:br/>
              <w:t>Charlotte, NC 28202</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($24,349 par, due 4/2026) (3)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4/28/2021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SOFR + 8.40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13.79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24,174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24,294</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Convertible Promissory Note A ($694 par, due 9/2024)</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3/2/2023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8.00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8.00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694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943</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Ping Identity Holding Corp. (3) </w:t>
              <w:br/>
              <w:t xml:space="preserve">1001 17th Street, Suite 100 </w:t>
              <w:br/>
              <w:t>Denver, CO 80202</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($22,727 par, due 10/2029)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10/17/2022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SOFR + 7.00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12.32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22,165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23,040</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PrimeRevenue, Inc. (3) </w:t>
              <w:br/>
              <w:t xml:space="preserve">600 Peachtree St NE, Suite 4400 </w:t>
              <w:br/>
              <w:t>Atlanta, GA 30308</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($15,007 par, due 12/2024)</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12/31/2018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SOFR + 7.15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12.55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14,997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15,113</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TradingScreen, Inc. (3)(5) </w:t>
              <w:br/>
              <w:t xml:space="preserve">1 Penn Plaza, 49th Fl </w:t>
              <w:br/>
              <w:t>New York, NY 10119</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($47,318 par, due 4/2027)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4/30/2021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SOFR + 6.35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11.72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46,421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47,081</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Volante Technologies, Inc. </w:t>
              <w:br/>
              <w:t xml:space="preserve">Harborside 5 </w:t>
              <w:br/>
              <w:t xml:space="preserve">185 Hudson Street, #1605 </w:t>
              <w:br/>
              <w:t>Jersey City, NJ 07311</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($2,500 par, due 9/2028)</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9/29/2023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16.50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jc w:val="right"/>
              <w:rPr/>
            </w:pPr>
            <w:r>
              <w:rPr/>
              <w:t>16.50</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2,438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2,438</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281"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297,146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301,290</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281"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Healthcare</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BCTO Ace Purchaser, Inc. (3) </w:t>
              <w:br/>
              <w:t xml:space="preserve">3675 Mt. Diablo Boulevard, Suite 100B </w:t>
              <w:br/>
              <w:t>Lafayette, CA 94549</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($69,231 par, due 11/2027) (5)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11/23/2020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SOFR + 8.45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13.87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68,271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69,577</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Second-lien loan ($5,401 par, due 1/2030)</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1/23/2023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SOFR + 10.70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jc w:val="right"/>
              <w:rPr/>
            </w:pPr>
            <w:r>
              <w:rPr/>
              <w:t>16.05</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5,266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5,374</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Edge Bidco B.V (3)(4)(5) De Lairessestraat 145 </w:t>
              <w:br/>
              <w:t>1075 HJ Amsterdam</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(EUR 3,520 par, due 2/2029)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2/24/2023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E + 7.00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jc w:val="right"/>
              <w:rPr/>
            </w:pPr>
            <w:r>
              <w:rPr/>
              <w:t>10.97</w:t>
            </w:r>
          </w:p>
          <w:p>
            <w:pPr>
              <w:pStyle w:val="TableContents"/>
              <w:bidi w:val="0"/>
              <w:spacing w:before="0" w:after="20"/>
              <w:jc w:val="right"/>
              <w:rPr>
                <w:rFonts w:ascii="Times New Roman" w:hAnsi="Times New Roman"/>
                <w:sz w:val="16"/>
              </w:rPr>
            </w:pPr>
            <w:r>
              <w:rPr>
                <w:rFonts w:ascii="Times New Roman" w:hAnsi="Times New Roman"/>
                <w:sz w:val="16"/>
              </w:rPr>
              <w:t>(incl. 3.25% PIK)</w:t>
            </w:r>
          </w:p>
        </w:tc>
        <w:tc>
          <w:tcPr>
            <w:tcW w:w="275"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jc w:val="right"/>
              <w:rPr/>
            </w:pPr>
            <w:r>
              <w:rPr/>
              <w:t>3,727</w:t>
            </w:r>
          </w:p>
          <w:p>
            <w:pPr>
              <w:pStyle w:val="TableContents"/>
              <w:bidi w:val="0"/>
              <w:spacing w:before="0" w:after="20"/>
              <w:jc w:val="right"/>
              <w:rPr>
                <w:rFonts w:ascii="Times New Roman" w:hAnsi="Times New Roman"/>
                <w:sz w:val="16"/>
              </w:rPr>
            </w:pPr>
            <w:r>
              <w:rPr>
                <w:rFonts w:ascii="Times New Roman" w:hAnsi="Times New Roman"/>
                <w:sz w:val="16"/>
              </w:rPr>
              <w:t>(EUR 3,520</w:t>
            </w:r>
          </w:p>
        </w:tc>
        <w:tc>
          <w:tcPr>
            <w:tcW w:w="125" w:type="dxa"/>
            <w:tcBorders/>
            <w:shd w:fill="CCEEFF" w:val="clear"/>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Homecare Software Solutions, LLC (3)(5) </w:t>
              <w:br/>
              <w:t xml:space="preserve">130 West 42nd Street </w:t>
              <w:br/>
              <w:t xml:space="preserve">2nd Floor </w:t>
              <w:br/>
              <w:t>New York, NY 10036</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($65,000 par, due 10/2026)</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10/6/2021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SOFR + 5.70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11.03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63,942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64,675</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tbl>
      <w:tblPr>
        <w:tblW w:w="11750" w:type="dxa"/>
        <w:jc w:val="left"/>
        <w:tblInd w:w="0" w:type="dxa"/>
        <w:tblLayout w:type="fixed"/>
        <w:tblCellMar>
          <w:top w:w="0" w:type="dxa"/>
          <w:left w:w="0" w:type="dxa"/>
          <w:bottom w:w="0" w:type="dxa"/>
          <w:right w:w="0" w:type="dxa"/>
        </w:tblCellMar>
      </w:tblPr>
      <w:tblGrid>
        <w:gridCol w:w="935"/>
        <w:gridCol w:w="60"/>
        <w:gridCol w:w="695"/>
        <w:gridCol w:w="60"/>
        <w:gridCol w:w="125"/>
        <w:gridCol w:w="1050"/>
        <w:gridCol w:w="60"/>
        <w:gridCol w:w="60"/>
        <w:gridCol w:w="60"/>
        <w:gridCol w:w="1310"/>
        <w:gridCol w:w="275"/>
        <w:gridCol w:w="60"/>
        <w:gridCol w:w="129"/>
        <w:gridCol w:w="1211"/>
        <w:gridCol w:w="275"/>
        <w:gridCol w:w="60"/>
        <w:gridCol w:w="76"/>
        <w:gridCol w:w="1024"/>
        <w:gridCol w:w="60"/>
        <w:gridCol w:w="60"/>
        <w:gridCol w:w="60"/>
        <w:gridCol w:w="980"/>
        <w:gridCol w:w="125"/>
        <w:gridCol w:w="60"/>
        <w:gridCol w:w="159"/>
        <w:gridCol w:w="1166"/>
        <w:gridCol w:w="275"/>
        <w:gridCol w:w="60"/>
        <w:gridCol w:w="572"/>
        <w:gridCol w:w="573"/>
        <w:gridCol w:w="75"/>
      </w:tblGrid>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 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w:t>
              <w:br/>
              <w:t>Class Held</w:t>
            </w:r>
          </w:p>
        </w:tc>
        <w:tc>
          <w:tcPr>
            <w:tcW w:w="75"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Merative L.P. (3)(5) </w:t>
              <w:br/>
              <w:t xml:space="preserve">100 Phoenix Drive </w:t>
              <w:br/>
              <w:t>Ann Arbor, MI 48108</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($70,103 par, due 6/2028)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6/30/2022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12.65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68,127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69,052</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Raptor US Buyer II Corp. (3) 205 West Wacker Drive, Suite 1800 </w:t>
              <w:br/>
              <w:t>Chicago, IL 60606</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($15,609 par, due 3/2029)</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3/24/2023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12.14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15,083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15,413</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SL Buyer Corp. (3)(5) </w:t>
              <w:br/>
              <w:t>111 South Wood Avenue Iselin, NJ 08830</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($31,475 par, due 7/2029)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7/7/2023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12.32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30,096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30,520</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254,375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258,338</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Hotel, Gaming and Leisure</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ASG II, LLC (3)(5) </w:t>
              <w:br/>
              <w:t>Walnut Creek, CA 94596 USA</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($60,693 par, due 5/2028)</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5/25/2022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+ 6.40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11.77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59,414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60,693</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IRGSE Holding Corp. (3)(6) </w:t>
              <w:br/>
              <w:t xml:space="preserve">1555 Palm Beach Lake Blvd </w:t>
              <w:br/>
              <w:t xml:space="preserve">Unit 1105 </w:t>
              <w:br/>
              <w:t xml:space="preserve">West Palm Beach, FL 33401 </w:t>
              <w:br/>
              <w:t>USA</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($30,261 par, due 6/2024)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9/29/2015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+ 9.65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15.04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28,594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30,034</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revolving loan ($24,752 par, due 6/2024)</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9/29/2015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+ 9.65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15.04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24,752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24,564</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112,760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115,291</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7.8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Human Resource Support Services</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Axonify, Inc. (3)(4)(5) </w:t>
              <w:br/>
              <w:t xml:space="preserve">450 Phillip St </w:t>
              <w:br/>
              <w:t xml:space="preserve">Waterloo, Ontario N2L 5J2 </w:t>
              <w:br/>
              <w:t>Canada</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($40,920 par, due 5/2027)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5/5/2021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+ 7.65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13.02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40,312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40,920</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bswift, LLC (3)(5) </w:t>
              <w:br/>
              <w:t xml:space="preserve">500 W. Monroe </w:t>
              <w:br/>
              <w:t xml:space="preserve">Suite 3800 </w:t>
              <w:br/>
              <w:t xml:space="preserve">Chicago, IL 60661 </w:t>
              <w:br/>
              <w:t>USA</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($44,470 par, due 11/2028)</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11/7/2022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+ 6.63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11.91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43,287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44,582</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Elysian Finco Ltd. (3)(4)(5) </w:t>
              <w:br/>
              <w:t xml:space="preserve">27-28 Clements Lane </w:t>
              <w:br/>
              <w:t xml:space="preserve">London EC4N 7AE </w:t>
              <w:br/>
              <w:t>United Kingdom</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($18,955 par, due 1/2028)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1/31/2022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+ 6.65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11.95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18,528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19,356</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Employment Hero Holdings Pty Ltd. (3)(4) </w:t>
              <w:br/>
              <w:t xml:space="preserve">Level 2, 441 Kent Street </w:t>
              <w:br/>
              <w:t xml:space="preserve">Sydney, New South Wales 2000 </w:t>
              <w:br/>
              <w:t>Australia</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(AUD 32,270 par, due 12/2026)</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12/6/2021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B + 6.50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10.72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34,791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jc w:val="right"/>
              <w:rPr/>
            </w:pPr>
            <w:r>
              <w:rPr/>
              <w:t>32,067</w:t>
            </w:r>
          </w:p>
          <w:p>
            <w:pPr>
              <w:pStyle w:val="TableContents"/>
              <w:bidi w:val="0"/>
              <w:spacing w:before="0" w:after="20"/>
              <w:jc w:val="right"/>
              <w:rPr>
                <w:rFonts w:ascii="Times New Roman" w:hAnsi="Times New Roman"/>
                <w:sz w:val="16"/>
              </w:rPr>
            </w:pPr>
            <w:r>
              <w:rPr>
                <w:rFonts w:ascii="Times New Roman" w:hAnsi="Times New Roman"/>
                <w:sz w:val="16"/>
              </w:rPr>
              <w:t>(AUD 49,685</w:t>
            </w:r>
          </w:p>
        </w:tc>
        <w:tc>
          <w:tcPr>
            <w:tcW w:w="125" w:type="dxa"/>
            <w:tcBorders/>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HireVue, Inc.(3) </w:t>
              <w:br/>
              <w:t xml:space="preserve">10876 South River Front Parkway </w:t>
              <w:br/>
              <w:t xml:space="preserve">Suite 500 </w:t>
              <w:br/>
              <w:t xml:space="preserve">South Jordan, UT 84095 </w:t>
              <w:br/>
              <w:t>USA</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($54,113 par, due 5/2029)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5/3/2023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12.34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52,422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53,350</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tbl>
      <w:tblPr>
        <w:tblW w:w="11825" w:type="dxa"/>
        <w:jc w:val="left"/>
        <w:tblInd w:w="0" w:type="dxa"/>
        <w:tblLayout w:type="fixed"/>
        <w:tblCellMar>
          <w:top w:w="0" w:type="dxa"/>
          <w:left w:w="0" w:type="dxa"/>
          <w:bottom w:w="0" w:type="dxa"/>
          <w:right w:w="0" w:type="dxa"/>
        </w:tblCellMar>
      </w:tblPr>
      <w:tblGrid>
        <w:gridCol w:w="1010"/>
        <w:gridCol w:w="60"/>
        <w:gridCol w:w="695"/>
        <w:gridCol w:w="60"/>
        <w:gridCol w:w="125"/>
        <w:gridCol w:w="1050"/>
        <w:gridCol w:w="60"/>
        <w:gridCol w:w="60"/>
        <w:gridCol w:w="60"/>
        <w:gridCol w:w="1310"/>
        <w:gridCol w:w="275"/>
        <w:gridCol w:w="60"/>
        <w:gridCol w:w="129"/>
        <w:gridCol w:w="1211"/>
        <w:gridCol w:w="275"/>
        <w:gridCol w:w="60"/>
        <w:gridCol w:w="76"/>
        <w:gridCol w:w="1024"/>
        <w:gridCol w:w="60"/>
        <w:gridCol w:w="60"/>
        <w:gridCol w:w="60"/>
        <w:gridCol w:w="980"/>
        <w:gridCol w:w="125"/>
        <w:gridCol w:w="60"/>
        <w:gridCol w:w="159"/>
        <w:gridCol w:w="1166"/>
        <w:gridCol w:w="275"/>
        <w:gridCol w:w="60"/>
        <w:gridCol w:w="572"/>
        <w:gridCol w:w="573"/>
        <w:gridCol w:w="75"/>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 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w:t>
              <w:br/>
              <w:t>Class Held</w:t>
            </w:r>
          </w:p>
        </w:tc>
        <w:tc>
          <w:tcPr>
            <w:tcW w:w="75"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PageUp People, Ltd. (3)(4)(5) </w:t>
              <w:br/>
              <w:t xml:space="preserve">Suite S5051, Level 5, 447 Collins Street </w:t>
              <w:br/>
              <w:t xml:space="preserve">Melbourne, Victoria 3000 </w:t>
              <w:br/>
              <w:t>Australia</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(AUD 13,916 par, due 12/2025)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1/11/2018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B + 5.25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9.36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jc w:val="right"/>
              <w:rPr/>
            </w:pPr>
            <w:r>
              <w:rPr/>
              <w:t>8,982</w:t>
            </w:r>
          </w:p>
          <w:p>
            <w:pPr>
              <w:pStyle w:val="TableContents"/>
              <w:bidi w:val="0"/>
              <w:spacing w:before="0" w:after="20"/>
              <w:jc w:val="right"/>
              <w:rPr>
                <w:rFonts w:ascii="Times New Roman" w:hAnsi="Times New Roman"/>
                <w:sz w:val="16"/>
              </w:rPr>
            </w:pPr>
            <w:r>
              <w:rPr>
                <w:rFonts w:ascii="Times New Roman" w:hAnsi="Times New Roman"/>
                <w:sz w:val="16"/>
              </w:rPr>
              <w:t>(AUD 13,916</w:t>
            </w:r>
          </w:p>
        </w:tc>
        <w:tc>
          <w:tcPr>
            <w:tcW w:w="125" w:type="dxa"/>
            <w:tcBorders/>
            <w:shd w:fill="CCEEFF" w:val="clear"/>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(GBP 3,258 par, due 12/2025)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10/28/2021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 + 5.28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10.47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4,487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jc w:val="right"/>
              <w:rPr/>
            </w:pPr>
            <w:r>
              <w:rPr/>
              <w:t>3,976</w:t>
            </w:r>
          </w:p>
          <w:p>
            <w:pPr>
              <w:pStyle w:val="TableContents"/>
              <w:bidi w:val="0"/>
              <w:spacing w:before="0" w:after="20"/>
              <w:jc w:val="right"/>
              <w:rPr>
                <w:rFonts w:ascii="Times New Roman" w:hAnsi="Times New Roman"/>
                <w:sz w:val="16"/>
              </w:rPr>
            </w:pPr>
            <w:r>
              <w:rPr>
                <w:rFonts w:ascii="Times New Roman" w:hAnsi="Times New Roman"/>
                <w:sz w:val="16"/>
              </w:rPr>
              <w:t>(GBP 3,258</w:t>
            </w:r>
          </w:p>
        </w:tc>
        <w:tc>
          <w:tcPr>
            <w:tcW w:w="125" w:type="dxa"/>
            <w:tcBorders/>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($11,441 par, due 12/2025)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10/28/2021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+ 5.35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10.67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11,431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11,441</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PayScale Holdings, Inc. (3)(5) </w:t>
              <w:br/>
              <w:t xml:space="preserve">255 S King Street </w:t>
              <w:br/>
              <w:t xml:space="preserve">Ste 800 </w:t>
              <w:br/>
              <w:t xml:space="preserve">Seattle, WA 98104 </w:t>
              <w:br/>
              <w:t>USA</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($71,379 par, due 5/2027)</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5/3/2019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11.74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70,985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71,379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PrimePay Intermediate, LLC (3)(5) </w:t>
              <w:br/>
              <w:t>1487 Dunwoody Drive West Chester, PA 19380 USA</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($34,462 par, due 12/2026)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12/17/2021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12.54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33,697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34,290</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320,440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320,343</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1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Insurance</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Disco Parent, Inc. (3) </w:t>
              <w:br/>
              <w:t xml:space="preserve">22 Boston Wharf Road Boston, MA 02210 </w:t>
              <w:br/>
              <w:t>USA</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($4,545 par, due 3/2029)</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3/30/2023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+ 7.50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12.92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4,431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4,495</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1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Internet Services</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Arrow Buyer, Inc. (3) </w:t>
              <w:br/>
              <w:t xml:space="preserve">12 East 49th Street </w:t>
              <w:br/>
              <w:t xml:space="preserve">Tower 49 </w:t>
              <w:br/>
              <w:t xml:space="preserve">New York, NY 10017 </w:t>
              <w:br/>
              <w:t>USA</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($33,125 par, due 7/2030)</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6/30/2023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11.89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32,225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32,514</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Bayshore Intermediate #2, L.P. (3) </w:t>
              <w:br/>
              <w:t xml:space="preserve">1400 Liberty Ridge Drive </w:t>
              <w:br/>
              <w:t>Chesterbrook, PA 19087 USA</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($35,464 par, due 10/2028)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jc w:val="right"/>
              <w:rPr/>
            </w:pPr>
            <w:r>
              <w:rPr/>
              <w:t>13.00</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shd w:fill="CCEEFF" w:val="clear"/>
            <w:vAlign w:val="center"/>
          </w:tcPr>
          <w:p>
            <w:pPr>
              <w:pStyle w:val="TableContents"/>
              <w:bidi w:val="0"/>
              <w:jc w:val="left"/>
              <w:rPr/>
            </w:pPr>
            <w:r>
              <w:rPr/>
              <w:t>%</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34,947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35,198</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revolving loan ($480 par, due 10/2027)</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10/1/2021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+ 6.60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11.87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444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461</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Coupa Holdings, LLC (3) </w:t>
              <w:br/>
              <w:t xml:space="preserve">1855 S. Grant Street </w:t>
              <w:br/>
              <w:t xml:space="preserve">San Mateo, CA 94402 </w:t>
              <w:br/>
              <w:t>USA</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($43,191 par, due 2/2030)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2/27/2023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12.82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42,092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43,066</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CrunchTime Information, Systems, Inc. (3)(5) </w:t>
              <w:br/>
              <w:t xml:space="preserve">129 Portland Street </w:t>
              <w:br/>
              <w:t xml:space="preserve">Boston, MA 02114 </w:t>
              <w:br/>
              <w:t>USA</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($59,651 par, due 6/2028)</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6/17/2022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11.32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58,579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59,651</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EDB Parent, LLC (3)(5) </w:t>
              <w:br/>
              <w:t xml:space="preserve">34 Crosby Drive </w:t>
              <w:br/>
              <w:t xml:space="preserve">Suite 201, CORPORATION TRUST CENTER 1209 ORANGE ST </w:t>
              <w:br/>
              <w:t xml:space="preserve">Bedford, MA 01730 </w:t>
              <w:br/>
              <w:t>USA</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($61,858 par, due 7/2028)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7/7/2022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+ 6.75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12.14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60,612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61,394</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tbl>
      <w:tblPr>
        <w:tblW w:w="12245" w:type="dxa"/>
        <w:jc w:val="left"/>
        <w:tblInd w:w="0" w:type="dxa"/>
        <w:tblLayout w:type="fixed"/>
        <w:tblCellMar>
          <w:top w:w="0" w:type="dxa"/>
          <w:left w:w="0" w:type="dxa"/>
          <w:bottom w:w="0" w:type="dxa"/>
          <w:right w:w="0" w:type="dxa"/>
        </w:tblCellMar>
      </w:tblPr>
      <w:tblGrid>
        <w:gridCol w:w="1130"/>
        <w:gridCol w:w="60"/>
        <w:gridCol w:w="755"/>
        <w:gridCol w:w="60"/>
        <w:gridCol w:w="125"/>
        <w:gridCol w:w="1050"/>
        <w:gridCol w:w="60"/>
        <w:gridCol w:w="60"/>
        <w:gridCol w:w="60"/>
        <w:gridCol w:w="1310"/>
        <w:gridCol w:w="275"/>
        <w:gridCol w:w="60"/>
        <w:gridCol w:w="60"/>
        <w:gridCol w:w="1190"/>
        <w:gridCol w:w="275"/>
        <w:gridCol w:w="60"/>
        <w:gridCol w:w="76"/>
        <w:gridCol w:w="1024"/>
        <w:gridCol w:w="60"/>
        <w:gridCol w:w="60"/>
        <w:gridCol w:w="95"/>
        <w:gridCol w:w="1275"/>
        <w:gridCol w:w="125"/>
        <w:gridCol w:w="60"/>
        <w:gridCol w:w="159"/>
        <w:gridCol w:w="1166"/>
        <w:gridCol w:w="275"/>
        <w:gridCol w:w="60"/>
        <w:gridCol w:w="572"/>
        <w:gridCol w:w="573"/>
        <w:gridCol w:w="75"/>
      </w:tblGrid>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 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w:t>
              <w:br/>
              <w:t>Class Held</w:t>
            </w:r>
          </w:p>
        </w:tc>
        <w:tc>
          <w:tcPr>
            <w:tcW w:w="75"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Higher Logic, LLC (3)(5)</w:t>
              <w:br/>
              <w:t xml:space="preserve">1919 North Lynn Street </w:t>
              <w:br/>
              <w:t xml:space="preserve">Suite 500 </w:t>
              <w:br/>
              <w:t xml:space="preserve">Arlington, VA 22209 </w:t>
              <w:br/>
              <w:t>USA</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($53,658 par, due 1/2025)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6/18/2018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+ 6.75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12.14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53,464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53,792</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LeanTaaS Holdings, Inc. (3)(5) </w:t>
              <w:br/>
              <w:t xml:space="preserve">471 El Camino Real Suite 230 </w:t>
              <w:br/>
              <w:t xml:space="preserve">Santa Clara, CA 95050 </w:t>
              <w:br/>
              <w:t>USA</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($35,413 par, due 7/2028)</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7/12/2022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+ 7.50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12.89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34,602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35,556</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Lithium Technologies, LLC (3) </w:t>
              <w:br/>
              <w:t xml:space="preserve">One World Trade Center </w:t>
              <w:br/>
              <w:t xml:space="preserve">Suite 46D </w:t>
              <w:br/>
              <w:t xml:space="preserve">New York, NY 10007 </w:t>
              <w:br/>
              <w:t>USA</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($57,009 par, due 1/2025)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10/3/2017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+ 9.00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jc w:val="right"/>
              <w:rPr/>
            </w:pPr>
            <w:r>
              <w:rPr/>
              <w:t>14.37</w:t>
            </w:r>
          </w:p>
          <w:p>
            <w:pPr>
              <w:pStyle w:val="TableContents"/>
              <w:bidi w:val="0"/>
              <w:spacing w:before="0" w:after="20"/>
              <w:jc w:val="right"/>
              <w:rPr>
                <w:rFonts w:ascii="Times New Roman" w:hAnsi="Times New Roman"/>
                <w:sz w:val="16"/>
              </w:rPr>
            </w:pPr>
            <w:r>
              <w:rPr>
                <w:rFonts w:ascii="Times New Roman" w:hAnsi="Times New Roman"/>
                <w:sz w:val="16"/>
              </w:rPr>
              <w:t>(incl. 4.50% PIK)</w:t>
            </w:r>
          </w:p>
        </w:tc>
        <w:tc>
          <w:tcPr>
            <w:tcW w:w="275"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56,996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55,726</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Lucidworks, Inc. (3)(5) </w:t>
              <w:br/>
              <w:t xml:space="preserve">235 Montgomery Street </w:t>
              <w:br/>
              <w:t xml:space="preserve">Suite 500 </w:t>
              <w:br/>
              <w:t xml:space="preserve">San Francisco, CA 94104 </w:t>
              <w:br/>
              <w:t>USA</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($8,764 par, due 2/2027)</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2/11/2022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+ 7.50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jc w:val="right"/>
              <w:rPr/>
            </w:pPr>
            <w:r>
              <w:rPr/>
              <w:t>12.82</w:t>
            </w:r>
          </w:p>
          <w:p>
            <w:pPr>
              <w:pStyle w:val="TableContents"/>
              <w:bidi w:val="0"/>
              <w:spacing w:before="0" w:after="20"/>
              <w:jc w:val="right"/>
              <w:rPr>
                <w:rFonts w:ascii="Times New Roman" w:hAnsi="Times New Roman"/>
                <w:sz w:val="16"/>
              </w:rPr>
            </w:pPr>
            <w:r>
              <w:rPr>
                <w:rFonts w:ascii="Times New Roman" w:hAnsi="Times New Roman"/>
                <w:sz w:val="16"/>
              </w:rPr>
              <w:t>(incl. 3.50% PIK)</w:t>
            </w:r>
          </w:p>
        </w:tc>
        <w:tc>
          <w:tcPr>
            <w:tcW w:w="275"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8,763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8,717</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Piano Software, Inc. (3)(5) </w:t>
              <w:br/>
              <w:t xml:space="preserve">One World Trade Center </w:t>
              <w:br/>
              <w:t xml:space="preserve">Suite 46D </w:t>
              <w:br/>
              <w:t xml:space="preserve">New York, NY 10007 </w:t>
              <w:br/>
              <w:t>USA</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($51,218 par, due 2/2026)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2/25/2021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12.42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50,545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50,706</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SMA Technologies Holdings, LLC(3)(5) </w:t>
              <w:br/>
              <w:t xml:space="preserve">14237 East Sam Houston Pawkway N. </w:t>
              <w:br/>
              <w:t xml:space="preserve">Suite 200-314 </w:t>
              <w:br/>
              <w:t>Houston, TX 77044 USA</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($36,833 par, due 10/2028)</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10/31/2022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12.07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35,406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36,649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pBdr>
                <w:top w:val="single" w:sz="2" w:space="1" w:color="000000"/>
              </w:pBdr>
              <w:bidi w:val="0"/>
              <w:spacing w:before="0" w:after="0"/>
              <w:jc w:val="left"/>
              <w:rPr/>
            </w:pPr>
            <w:r>
              <w:rPr/>
              <w:t> </w:t>
            </w:r>
          </w:p>
        </w:tc>
        <w:tc>
          <w:tcPr>
            <w:tcW w:w="1275"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468,675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473,430</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pBdr>
                <w:top w:val="single" w:sz="2" w:space="1" w:color="000000"/>
              </w:pBdr>
              <w:bidi w:val="0"/>
              <w:spacing w:before="0" w:after="0"/>
              <w:jc w:val="left"/>
              <w:rPr/>
            </w:pPr>
            <w:r>
              <w:rPr/>
              <w:t> </w:t>
            </w:r>
          </w:p>
        </w:tc>
        <w:tc>
          <w:tcPr>
            <w:tcW w:w="1275"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Manufacturing</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ASP Unifrax Holdings, Inc. (9) </w:t>
              <w:br/>
              <w:t xml:space="preserve">600 Riverwalk Parkway </w:t>
              <w:br/>
              <w:t xml:space="preserve">Suite 120 </w:t>
              <w:br/>
              <w:t xml:space="preserve">Tonawanda, NY 14150 </w:t>
              <w:br/>
              <w:t>USA</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($1,133 par, due 12/2025) (3)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8/25/2023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+ 3.90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9.29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1,055</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(EUR 364 par, due 12/2025) (3)</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9/14/2023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E + 3.75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7.72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357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jc w:val="right"/>
              <w:rPr/>
            </w:pPr>
            <w:r>
              <w:rPr/>
              <w:t>354</w:t>
            </w:r>
          </w:p>
          <w:p>
            <w:pPr>
              <w:pStyle w:val="TableContents"/>
              <w:bidi w:val="0"/>
              <w:spacing w:before="0" w:after="20"/>
              <w:jc w:val="right"/>
              <w:rPr>
                <w:rFonts w:ascii="Times New Roman" w:hAnsi="Times New Roman"/>
                <w:sz w:val="16"/>
              </w:rPr>
            </w:pPr>
            <w:r>
              <w:rPr>
                <w:rFonts w:ascii="Times New Roman" w:hAnsi="Times New Roman"/>
                <w:sz w:val="16"/>
              </w:rPr>
              <w:t>(EUR 335</w:t>
            </w:r>
          </w:p>
        </w:tc>
        <w:tc>
          <w:tcPr>
            <w:tcW w:w="125" w:type="dxa"/>
            <w:tcBorders/>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Unsecured Note ($227 par, due 9/2029)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8/31/2023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7.50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7.50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123</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tbl>
      <w:tblPr>
        <w:tblW w:w="11750" w:type="dxa"/>
        <w:jc w:val="left"/>
        <w:tblInd w:w="0" w:type="dxa"/>
        <w:tblLayout w:type="fixed"/>
        <w:tblCellMar>
          <w:top w:w="0" w:type="dxa"/>
          <w:left w:w="0" w:type="dxa"/>
          <w:bottom w:w="0" w:type="dxa"/>
          <w:right w:w="0" w:type="dxa"/>
        </w:tblCellMar>
      </w:tblPr>
      <w:tblGrid>
        <w:gridCol w:w="995"/>
        <w:gridCol w:w="60"/>
        <w:gridCol w:w="680"/>
        <w:gridCol w:w="60"/>
        <w:gridCol w:w="125"/>
        <w:gridCol w:w="1050"/>
        <w:gridCol w:w="60"/>
        <w:gridCol w:w="60"/>
        <w:gridCol w:w="60"/>
        <w:gridCol w:w="1310"/>
        <w:gridCol w:w="275"/>
        <w:gridCol w:w="60"/>
        <w:gridCol w:w="60"/>
        <w:gridCol w:w="1280"/>
        <w:gridCol w:w="275"/>
        <w:gridCol w:w="60"/>
        <w:gridCol w:w="76"/>
        <w:gridCol w:w="1024"/>
        <w:gridCol w:w="60"/>
        <w:gridCol w:w="60"/>
        <w:gridCol w:w="60"/>
        <w:gridCol w:w="935"/>
        <w:gridCol w:w="125"/>
        <w:gridCol w:w="60"/>
        <w:gridCol w:w="209"/>
        <w:gridCol w:w="1116"/>
        <w:gridCol w:w="275"/>
        <w:gridCol w:w="60"/>
        <w:gridCol w:w="572"/>
        <w:gridCol w:w="573"/>
        <w:gridCol w:w="75"/>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 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w:t>
              <w:br/>
              <w:t>Class Held</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Avalara, Inc (3) </w:t>
              <w:br/>
              <w:t xml:space="preserve">255 South King Street #1200 </w:t>
              <w:br/>
              <w:t>Seattle, WA 98104</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($38,636 par, due 10/2028)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10/19/2022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12.64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37,701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38,424</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2.6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Skylark UK DebtCo Limited (3)(4) </w:t>
              <w:br/>
              <w:t xml:space="preserve">4th Floor 100 Pall Mall </w:t>
              <w:br/>
              <w:t>London SW1Y 5NQ United Kingdom</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($16,340 par, due 9/2030)</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9/7/2023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11.65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15,705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15,697</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(EUR 4,851 par, due 9/2030)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9/7/2023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E + 6.25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10.08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jc w:val="right"/>
              <w:rPr/>
            </w:pPr>
            <w:r>
              <w:rPr/>
              <w:t>5,021</w:t>
            </w:r>
          </w:p>
          <w:p>
            <w:pPr>
              <w:pStyle w:val="TableContents"/>
              <w:bidi w:val="0"/>
              <w:spacing w:before="0" w:after="20"/>
              <w:jc w:val="right"/>
              <w:rPr>
                <w:rFonts w:ascii="Times New Roman" w:hAnsi="Times New Roman"/>
                <w:sz w:val="16"/>
              </w:rPr>
            </w:pPr>
            <w:r>
              <w:rPr>
                <w:rFonts w:ascii="Times New Roman" w:hAnsi="Times New Roman"/>
                <w:sz w:val="16"/>
              </w:rPr>
              <w:t>(EUR 4,742</w:t>
            </w:r>
          </w:p>
        </w:tc>
        <w:tc>
          <w:tcPr>
            <w:tcW w:w="125" w:type="dxa"/>
            <w:tcBorders/>
            <w:shd w:fill="CCEEFF" w:val="clear"/>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(GBP 16,640 par, due 9/2030)</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9/7/2023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 + 6.25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11.44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20,194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jc w:val="right"/>
              <w:rPr/>
            </w:pPr>
            <w:r>
              <w:rPr/>
              <w:t>19,852</w:t>
            </w:r>
          </w:p>
          <w:p>
            <w:pPr>
              <w:pStyle w:val="TableContents"/>
              <w:bidi w:val="0"/>
              <w:spacing w:before="0" w:after="20"/>
              <w:jc w:val="right"/>
              <w:rPr>
                <w:rFonts w:ascii="Times New Roman" w:hAnsi="Times New Roman"/>
                <w:sz w:val="16"/>
              </w:rPr>
            </w:pPr>
            <w:r>
              <w:rPr>
                <w:rFonts w:ascii="Times New Roman" w:hAnsi="Times New Roman"/>
                <w:sz w:val="16"/>
              </w:rPr>
              <w:t>(GBP 16,265</w:t>
            </w:r>
          </w:p>
        </w:tc>
        <w:tc>
          <w:tcPr>
            <w:tcW w:w="125" w:type="dxa"/>
            <w:tcBorders/>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35"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80,178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80,526</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5.4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35"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Office Products</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USR Parent, Inc. (3)(5) </w:t>
              <w:br/>
              <w:t xml:space="preserve">500 Staples Drive MS: E5A </w:t>
              <w:br/>
              <w:t>Framingham, MA 01702</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ABL FILO term loan ($17,500 par, due 4/2027)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4/25/2022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+ 6.50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11.83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17,185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17,369</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Oil, Gas and Consumable Fuels</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Laramie Energy, LLC (3) </w:t>
              <w:br/>
              <w:t xml:space="preserve">730 17th Street </w:t>
              <w:br/>
              <w:t>Denver, CO 80202</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($27,317 par, due 2/2027)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2/21/2023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12.42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26,724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27,055</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Murchison Oil and Gas, LLC (3) </w:t>
              <w:br/>
              <w:t xml:space="preserve">1100 Mira Vista </w:t>
              <w:br/>
              <w:t>Plano, TX 79093</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($29,478 par, due 6/2026)</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6/30/2022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+ 8.65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14.04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28,986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29,887</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TRP Assets, LLC (3) </w:t>
              <w:br/>
              <w:t xml:space="preserve">1111 Louisiana Street Suite 4550 </w:t>
              <w:br/>
              <w:t>Houston, TX</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($65,000 par, due 12/2025)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12/3/2021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+ 7.76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13.15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64,299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67,310</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4.5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35"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120,009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124,252</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8.3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35"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Other</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3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111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Omnigo Software, LLC (3)(5) </w:t>
              <w:br/>
              <w:t xml:space="preserve">10430 Baur Boulevard </w:t>
              <w:br/>
              <w:t>Saint Louis, MO 63132</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($40,045 par, due 3/2026)</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3/31/2021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+ 6.60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11.92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39,492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39,745</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2.7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Retail and Consumer Products</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3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111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99 Cents Only Stores LLC (3) </w:t>
              <w:br/>
              <w:t xml:space="preserve">4000 Union Pacific Avenue </w:t>
              <w:br/>
              <w:t>Commerce, CA 90023</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ABL FILO term loan ($25,000 par, due 5/2025)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9/6/2017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+ 8.65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14.05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24,845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25,000</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1.7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American Achievement, Corp. (3)(14) </w:t>
              <w:br/>
              <w:t xml:space="preserve">1550 W Mockingbird Lane </w:t>
              <w:br/>
              <w:t>Dallas, TX 75235</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($27,089 par, due 9/2026)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9/30/2015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+ 6.35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jc w:val="right"/>
              <w:rPr/>
            </w:pPr>
            <w:r>
              <w:rPr/>
              <w:t>11.68</w:t>
            </w:r>
          </w:p>
          <w:p>
            <w:pPr>
              <w:pStyle w:val="TableContents"/>
              <w:bidi w:val="0"/>
              <w:spacing w:before="0" w:after="20"/>
              <w:jc w:val="right"/>
              <w:rPr>
                <w:rFonts w:ascii="Times New Roman" w:hAnsi="Times New Roman"/>
                <w:sz w:val="16"/>
              </w:rPr>
            </w:pPr>
            <w:r>
              <w:rPr>
                <w:rFonts w:ascii="Times New Roman" w:hAnsi="Times New Roman"/>
                <w:sz w:val="16"/>
              </w:rPr>
              <w:t>(incl. 11.19% PIK)</w:t>
            </w:r>
          </w:p>
        </w:tc>
        <w:tc>
          <w:tcPr>
            <w:tcW w:w="275"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26,260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20,452</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1.4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tbl>
      <w:tblPr>
        <w:tblW w:w="13360" w:type="dxa"/>
        <w:jc w:val="left"/>
        <w:tblInd w:w="0" w:type="dxa"/>
        <w:tblLayout w:type="fixed"/>
        <w:tblCellMar>
          <w:top w:w="0" w:type="dxa"/>
          <w:left w:w="0" w:type="dxa"/>
          <w:bottom w:w="0" w:type="dxa"/>
          <w:right w:w="0" w:type="dxa"/>
        </w:tblCellMar>
      </w:tblPr>
      <w:tblGrid>
        <w:gridCol w:w="1655"/>
        <w:gridCol w:w="60"/>
        <w:gridCol w:w="1010"/>
        <w:gridCol w:w="60"/>
        <w:gridCol w:w="125"/>
        <w:gridCol w:w="1050"/>
        <w:gridCol w:w="60"/>
        <w:gridCol w:w="60"/>
        <w:gridCol w:w="60"/>
        <w:gridCol w:w="1430"/>
        <w:gridCol w:w="275"/>
        <w:gridCol w:w="60"/>
        <w:gridCol w:w="60"/>
        <w:gridCol w:w="1280"/>
        <w:gridCol w:w="275"/>
        <w:gridCol w:w="60"/>
        <w:gridCol w:w="76"/>
        <w:gridCol w:w="1024"/>
        <w:gridCol w:w="155"/>
        <w:gridCol w:w="60"/>
        <w:gridCol w:w="89"/>
        <w:gridCol w:w="1281"/>
        <w:gridCol w:w="155"/>
        <w:gridCol w:w="60"/>
        <w:gridCol w:w="159"/>
        <w:gridCol w:w="1166"/>
        <w:gridCol w:w="275"/>
        <w:gridCol w:w="60"/>
        <w:gridCol w:w="572"/>
        <w:gridCol w:w="573"/>
        <w:gridCol w:w="75"/>
      </w:tblGrid>
      <w:tr>
        <w:trPr/>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 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 (2)(8)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w:t>
              <w:br/>
              <w:t>Class Held</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($1,355 par, due 9/2026)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6/10/2021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SOFR + 14.10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jc w:val="right"/>
              <w:rPr/>
            </w:pPr>
            <w:r>
              <w:rPr/>
              <w:t>19.43</w:t>
            </w:r>
          </w:p>
          <w:p>
            <w:pPr>
              <w:pStyle w:val="TableContents"/>
              <w:bidi w:val="0"/>
              <w:spacing w:before="0" w:after="20"/>
              <w:jc w:val="right"/>
              <w:rPr>
                <w:rFonts w:ascii="Times New Roman" w:hAnsi="Times New Roman"/>
                <w:sz w:val="16"/>
              </w:rPr>
            </w:pPr>
            <w:r>
              <w:rPr>
                <w:rFonts w:ascii="Times New Roman" w:hAnsi="Times New Roman"/>
                <w:sz w:val="16"/>
              </w:rPr>
              <w:t>(incl. 18.93% PIK)</w:t>
            </w:r>
          </w:p>
        </w:tc>
        <w:tc>
          <w:tcPr>
            <w:tcW w:w="275"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1,355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Subordinated note ($4,740 par, due 9/2026)</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3/16/2021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SOFR + 1.15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jc w:val="right"/>
              <w:rPr/>
            </w:pPr>
            <w:r>
              <w:rPr/>
              <w:t>6.40</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545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Bed Bath and Beyond Inc. (3)(15) </w:t>
              <w:br/>
              <w:t xml:space="preserve">650 Liberty Avenue </w:t>
              <w:br/>
              <w:t>Union, NJ 07083</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ABL FILO term loan ($15,375 par, due 8/2027)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9/2/2022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SOFR + 9.90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15.22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15,055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15,029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Roll Up DIP term loan ($25,914 par, due 9/2024)</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4/24/2023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SOFR + 7.90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jc w:val="right"/>
              <w:rPr/>
            </w:pPr>
            <w:r>
              <w:rPr/>
              <w:t>13.22</w:t>
            </w:r>
          </w:p>
          <w:p>
            <w:pPr>
              <w:pStyle w:val="TableContents"/>
              <w:bidi w:val="0"/>
              <w:spacing w:before="0" w:after="20"/>
              <w:jc w:val="right"/>
              <w:rPr>
                <w:rFonts w:ascii="Times New Roman" w:hAnsi="Times New Roman"/>
                <w:sz w:val="16"/>
              </w:rPr>
            </w:pPr>
            <w:r>
              <w:rPr>
                <w:rFonts w:ascii="Times New Roman" w:hAnsi="Times New Roman"/>
                <w:sz w:val="16"/>
              </w:rPr>
              <w:t>(incl. 13.22% PIK)</w:t>
            </w:r>
          </w:p>
        </w:tc>
        <w:tc>
          <w:tcPr>
            <w:tcW w:w="275"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25,914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25,331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Super-Priority DIP term loan ($4,946 par, due 9/2024)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4/24/2023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SOFR + 7.90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13.22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4,946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4,835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Cordance Operations, LLC (3) </w:t>
              <w:br/>
              <w:t xml:space="preserve">16 W. Martin Street </w:t>
              <w:br/>
              <w:t>Raleigh, NC 27601</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($47,006 par, due 7/2028)</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7/25/2022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SOFR + 9.25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14.62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46,095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47,006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Neuintel, LLC (3)(5) </w:t>
              <w:br/>
              <w:t xml:space="preserve">20 Pacifica Suite 1000 </w:t>
              <w:br/>
              <w:t>Irvine, CA 92618</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($57,701 par, due 12/2026)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12/20/2021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SOFR + 7.65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13.02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56,869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57,990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Project P Intermediate 2, LLC (3) </w:t>
              <w:br/>
              <w:t xml:space="preserve">461 Nott Street </w:t>
              <w:br/>
              <w:t>Schenectady, NY 12308</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ABL FILO term loan ($71,250 par, due 5/2026)</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11/8/2021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SOFR + 8.10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13.42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70,344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72,141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Rapid Data GmbH Unternehmensberatung (3)(4) </w:t>
              <w:br/>
              <w:t xml:space="preserve">Agricolastr. 54 30952 </w:t>
              <w:br/>
              <w:t>Ronnenberg, Germany</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(EUR 4,495 par, due 7/2029)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7/11/2023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E + 6.50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10.15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4,666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jc w:val="right"/>
              <w:rPr/>
            </w:pPr>
            <w:r>
              <w:rPr/>
              <w:t>4,625</w:t>
            </w:r>
          </w:p>
          <w:p>
            <w:pPr>
              <w:pStyle w:val="TableContents"/>
              <w:bidi w:val="0"/>
              <w:spacing w:before="0" w:after="20"/>
              <w:jc w:val="right"/>
              <w:rPr>
                <w:rFonts w:ascii="Times New Roman" w:hAnsi="Times New Roman"/>
                <w:sz w:val="16"/>
              </w:rPr>
            </w:pPr>
            <w:r>
              <w:rPr>
                <w:rFonts w:ascii="Times New Roman" w:hAnsi="Times New Roman"/>
                <w:sz w:val="16"/>
              </w:rPr>
              <w:t>(EUR 4,368</w:t>
            </w:r>
          </w:p>
        </w:tc>
        <w:tc>
          <w:tcPr>
            <w:tcW w:w="155" w:type="dxa"/>
            <w:tcBorders/>
            <w:shd w:fill="CCEEFF" w:val="clear"/>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Tango Management Consulting, LLC (3)(5) </w:t>
              <w:br/>
              <w:t xml:space="preserve">9797 Rombauer Road Suite #450 </w:t>
              <w:br/>
              <w:t>Dallas, TX 75019</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($54,052 par, due 12/2027)</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SOFR + 6.85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12.18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53,318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53,512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3.6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revolving loan ($9 par, due 12/2027)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P + 6.85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28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330,156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326,065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21.9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28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Transportation</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28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Project44, Inc. (3)(5) </w:t>
              <w:br/>
              <w:t xml:space="preserve">222 W Merchandise Mart Plaza Suite 1744 </w:t>
              <w:br/>
              <w:t>Chicago, IL 60654</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($35,139 par, due 11/2027)</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11/12/2021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SOFR + 6.40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11.76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34,210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34,864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Marcura Equities LTD (3)(4) </w:t>
              <w:br/>
              <w:t xml:space="preserve">Highdown House Yeoman Way </w:t>
              <w:br/>
              <w:t xml:space="preserve">Worthing, West Sussex </w:t>
              <w:br/>
              <w:t>BN99 3HH United Kingdom</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loan ($31,667 par, due 8/2029)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8/11/2023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SOFR + 7.75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jc w:val="right"/>
              <w:rPr/>
            </w:pPr>
            <w:r>
              <w:rPr/>
              <w:t>13.14</w:t>
            </w:r>
          </w:p>
          <w:p>
            <w:pPr>
              <w:pStyle w:val="TableContents"/>
              <w:bidi w:val="0"/>
              <w:spacing w:before="0" w:after="20"/>
              <w:jc w:val="right"/>
              <w:rPr>
                <w:rFonts w:ascii="Times New Roman" w:hAnsi="Times New Roman"/>
                <w:sz w:val="16"/>
              </w:rPr>
            </w:pPr>
            <w:r>
              <w:rPr>
                <w:rFonts w:ascii="Times New Roman" w:hAnsi="Times New Roman"/>
                <w:sz w:val="16"/>
              </w:rPr>
              <w:t>(incl. 4.25% PIK)</w:t>
            </w:r>
          </w:p>
        </w:tc>
        <w:tc>
          <w:tcPr>
            <w:tcW w:w="275"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30,641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31,146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tbl>
      <w:tblPr>
        <w:tblW w:w="12475" w:type="dxa"/>
        <w:jc w:val="left"/>
        <w:tblInd w:w="0" w:type="dxa"/>
        <w:tblLayout w:type="fixed"/>
        <w:tblCellMar>
          <w:top w:w="0" w:type="dxa"/>
          <w:left w:w="0" w:type="dxa"/>
          <w:bottom w:w="0" w:type="dxa"/>
          <w:right w:w="0" w:type="dxa"/>
        </w:tblCellMar>
      </w:tblPr>
      <w:tblGrid>
        <w:gridCol w:w="1250"/>
        <w:gridCol w:w="60"/>
        <w:gridCol w:w="890"/>
        <w:gridCol w:w="60"/>
        <w:gridCol w:w="125"/>
        <w:gridCol w:w="1050"/>
        <w:gridCol w:w="60"/>
        <w:gridCol w:w="60"/>
        <w:gridCol w:w="60"/>
        <w:gridCol w:w="1310"/>
        <w:gridCol w:w="275"/>
        <w:gridCol w:w="60"/>
        <w:gridCol w:w="129"/>
        <w:gridCol w:w="1211"/>
        <w:gridCol w:w="275"/>
        <w:gridCol w:w="60"/>
        <w:gridCol w:w="63"/>
        <w:gridCol w:w="1037"/>
        <w:gridCol w:w="60"/>
        <w:gridCol w:w="60"/>
        <w:gridCol w:w="60"/>
        <w:gridCol w:w="980"/>
        <w:gridCol w:w="125"/>
        <w:gridCol w:w="60"/>
        <w:gridCol w:w="128"/>
        <w:gridCol w:w="1197"/>
        <w:gridCol w:w="275"/>
        <w:gridCol w:w="60"/>
        <w:gridCol w:w="137"/>
        <w:gridCol w:w="1008"/>
        <w:gridCol w:w="290"/>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 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w:t>
              <w:br/>
              <w:t>Class Held</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First-lien revolving loan ($1,667 par, due 8/2029)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8/11/2023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12.39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1,625</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0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pBdr>
                <w:top w:val="single" w:sz="2" w:space="1" w:color="000000"/>
              </w:pBdr>
              <w:bidi w:val="0"/>
              <w:spacing w:before="0" w:after="0"/>
              <w:jc w:val="left"/>
              <w:rPr/>
            </w:pPr>
            <w:r>
              <w:rPr/>
              <w:t> </w:t>
            </w:r>
          </w:p>
        </w:tc>
        <w:tc>
          <w:tcPr>
            <w:tcW w:w="1197"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66,436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67,635</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4.5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0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pBdr>
                <w:top w:val="single" w:sz="2" w:space="1" w:color="000000"/>
              </w:pBdr>
              <w:bidi w:val="0"/>
              <w:spacing w:before="0" w:after="0"/>
              <w:jc w:val="left"/>
              <w:rPr/>
            </w:pPr>
            <w:r>
              <w:rPr/>
              <w:t> </w:t>
            </w:r>
          </w:p>
        </w:tc>
        <w:tc>
          <w:tcPr>
            <w:tcW w:w="1197"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Total Debt Investments</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2,890,369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2,909,102</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195.8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0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pBdr>
                <w:top w:val="single" w:sz="2" w:space="1" w:color="000000"/>
              </w:pBdr>
              <w:bidi w:val="0"/>
              <w:spacing w:before="0" w:after="0"/>
              <w:jc w:val="left"/>
              <w:rPr/>
            </w:pPr>
            <w:r>
              <w:rPr/>
              <w:t> </w:t>
            </w:r>
          </w:p>
        </w:tc>
        <w:tc>
          <w:tcPr>
            <w:tcW w:w="1197"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Equity and Other Investments</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Business Services</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10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sz w:val="4"/>
                <w:szCs w:val="4"/>
              </w:rPr>
            </w:pPr>
            <w:r>
              <w:rPr>
                <w:sz w:val="4"/>
                <w:szCs w:val="4"/>
              </w:rPr>
            </w:r>
          </w:p>
        </w:tc>
        <w:tc>
          <w:tcPr>
            <w:tcW w:w="119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Dye &amp; Durham, Ltd. (4)(10) 25 York Street </w:t>
              <w:br/>
              <w:t xml:space="preserve">Suite 1100 </w:t>
              <w:br/>
              <w:t xml:space="preserve">Toronto, Ontario M5J 2V5 </w:t>
              <w:br/>
              <w:t>Canada</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Common Shares (126,968 shares)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12/3/2021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3,909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jc w:val="right"/>
              <w:rPr/>
            </w:pPr>
            <w:r>
              <w:rPr/>
              <w:t>1,248</w:t>
            </w:r>
          </w:p>
          <w:p>
            <w:pPr>
              <w:pStyle w:val="TableContents"/>
              <w:bidi w:val="0"/>
              <w:spacing w:before="0" w:after="20"/>
              <w:jc w:val="right"/>
              <w:rPr>
                <w:rFonts w:ascii="Times New Roman" w:hAnsi="Times New Roman"/>
                <w:sz w:val="16"/>
              </w:rPr>
            </w:pPr>
            <w:r>
              <w:rPr>
                <w:rFonts w:ascii="Times New Roman" w:hAnsi="Times New Roman"/>
                <w:sz w:val="16"/>
              </w:rPr>
              <w:t>(CAD 1,688</w:t>
            </w:r>
          </w:p>
        </w:tc>
        <w:tc>
          <w:tcPr>
            <w:tcW w:w="125" w:type="dxa"/>
            <w:tcBorders/>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0.2</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Mitnick TA Aggregator, LP (11)(13) </w:t>
              <w:br/>
              <w:t xml:space="preserve">197 East University Drive </w:t>
              <w:br/>
              <w:t xml:space="preserve">Auburn, AL 36832 </w:t>
              <w:br/>
              <w:t>USA</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Membership Interest (0.43% ownership)</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5/2/2022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5,243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5,243</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0.4</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ReliaQuest, LLC (11)(13) </w:t>
              <w:br/>
              <w:t xml:space="preserve">777 South Harbour Island Boulevard </w:t>
              <w:br/>
              <w:t xml:space="preserve">Suite 500 </w:t>
              <w:br/>
              <w:t xml:space="preserve">Tampa, FL 33602 </w:t>
              <w:br/>
              <w:t>USA</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Class A-1 Units (567,683 units)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11/23/2021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1,120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1,324</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3.2</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Class A-2 Units (2,580 units)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6/21/2022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0.1</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Sprinklr, Inc. (10)(11) </w:t>
              <w:br/>
              <w:t xml:space="preserve">29 West 35th Street </w:t>
              <w:br/>
              <w:t xml:space="preserve">7th Floor </w:t>
              <w:br/>
              <w:t>New York, NY 10001</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Common Shares (315,005 shares)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6/24/2021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2,716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4,360</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0.2</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Warrior TopCo LP (11)(12) </w:t>
              <w:br/>
              <w:t xml:space="preserve">9171 Towne Center Drive Suite 200 </w:t>
              <w:br/>
              <w:t>San Diego, CA 92122</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Class A Units (423,728 units)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7/7/2023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424</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0.1</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0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pBdr>
                <w:top w:val="single" w:sz="2" w:space="1" w:color="000000"/>
              </w:pBdr>
              <w:bidi w:val="0"/>
              <w:spacing w:before="0" w:after="0"/>
              <w:jc w:val="left"/>
              <w:rPr/>
            </w:pPr>
            <w:r>
              <w:rPr/>
              <w:t> </w:t>
            </w:r>
          </w:p>
        </w:tc>
        <w:tc>
          <w:tcPr>
            <w:tcW w:w="1197"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13,418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12,607</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0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pBdr>
                <w:top w:val="single" w:sz="2" w:space="1" w:color="000000"/>
              </w:pBdr>
              <w:bidi w:val="0"/>
              <w:spacing w:before="0" w:after="0"/>
              <w:jc w:val="left"/>
              <w:rPr/>
            </w:pPr>
            <w:r>
              <w:rPr/>
              <w:t> </w:t>
            </w:r>
          </w:p>
        </w:tc>
        <w:tc>
          <w:tcPr>
            <w:tcW w:w="1197"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Communications</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10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sz w:val="4"/>
                <w:szCs w:val="4"/>
              </w:rPr>
            </w:pPr>
            <w:r>
              <w:rPr>
                <w:sz w:val="4"/>
                <w:szCs w:val="4"/>
              </w:rPr>
            </w:r>
          </w:p>
        </w:tc>
        <w:tc>
          <w:tcPr>
            <w:tcW w:w="119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Celtra Technologies, Inc. (11) 545 Boylston Street </w:t>
              <w:br/>
              <w:t xml:space="preserve">11th Floor </w:t>
              <w:br/>
              <w:t xml:space="preserve">Boston, MA 02116 </w:t>
              <w:br/>
              <w:t>USA</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Class A Units (1,250,000 units)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11/19/2021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1,250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1,250</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1.6</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IntelePeer Holdings, Inc. (11) </w:t>
              <w:br/>
              <w:t xml:space="preserve">155 Bovet Rd. </w:t>
              <w:br/>
              <w:t xml:space="preserve">Suite 405 </w:t>
              <w:br/>
              <w:t xml:space="preserve">San Mateo, CA 94402 </w:t>
              <w:br/>
              <w:t>USA</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Series C Preferred Shares (1,816,295 shares)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4/8/2021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1,866</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8.2</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Series D Preferred Shares (1,598,874 shares)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4/8/2021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2,925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2,004</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4.1</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280,000 Warrants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2/28/2020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11.7</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106,592 Warrants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4/8/2021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4.1</w:t>
            </w:r>
          </w:p>
        </w:tc>
        <w:tc>
          <w:tcPr>
            <w:tcW w:w="290"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0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pBdr>
                <w:top w:val="single" w:sz="2" w:space="1" w:color="000000"/>
              </w:pBdr>
              <w:bidi w:val="0"/>
              <w:spacing w:before="0" w:after="0"/>
              <w:jc w:val="left"/>
              <w:rPr/>
            </w:pPr>
            <w:r>
              <w:rPr/>
              <w:t> </w:t>
            </w:r>
          </w:p>
        </w:tc>
        <w:tc>
          <w:tcPr>
            <w:tcW w:w="1197"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6,174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5,120</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0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pBdr>
                <w:top w:val="single" w:sz="2" w:space="1" w:color="000000"/>
              </w:pBdr>
              <w:bidi w:val="0"/>
              <w:spacing w:before="0" w:after="0"/>
              <w:jc w:val="left"/>
              <w:rPr/>
            </w:pPr>
            <w:r>
              <w:rPr/>
              <w:t> </w:t>
            </w:r>
          </w:p>
        </w:tc>
        <w:tc>
          <w:tcPr>
            <w:tcW w:w="1197"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Education</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Astra 2L Holdings II LLC (11) </w:t>
              <w:br/>
              <w:t xml:space="preserve">5201 Congress Ave. </w:t>
              <w:br/>
              <w:t>Boca Raton, FL 33487</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Membership Interest (10.17% ownership)</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1/13/2022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594</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10.2</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tbl>
      <w:tblPr>
        <w:tblW w:w="11950" w:type="dxa"/>
        <w:jc w:val="left"/>
        <w:tblInd w:w="0" w:type="dxa"/>
        <w:tblLayout w:type="fixed"/>
        <w:tblCellMar>
          <w:top w:w="0" w:type="dxa"/>
          <w:left w:w="0" w:type="dxa"/>
          <w:bottom w:w="0" w:type="dxa"/>
          <w:right w:w="0" w:type="dxa"/>
        </w:tblCellMar>
      </w:tblPr>
      <w:tblGrid>
        <w:gridCol w:w="1310"/>
        <w:gridCol w:w="60"/>
        <w:gridCol w:w="800"/>
        <w:gridCol w:w="60"/>
        <w:gridCol w:w="125"/>
        <w:gridCol w:w="1050"/>
        <w:gridCol w:w="60"/>
        <w:gridCol w:w="60"/>
        <w:gridCol w:w="520"/>
        <w:gridCol w:w="520"/>
        <w:gridCol w:w="60"/>
        <w:gridCol w:w="60"/>
        <w:gridCol w:w="670"/>
        <w:gridCol w:w="670"/>
        <w:gridCol w:w="60"/>
        <w:gridCol w:w="60"/>
        <w:gridCol w:w="89"/>
        <w:gridCol w:w="1011"/>
        <w:gridCol w:w="60"/>
        <w:gridCol w:w="60"/>
        <w:gridCol w:w="111"/>
        <w:gridCol w:w="1259"/>
        <w:gridCol w:w="60"/>
        <w:gridCol w:w="60"/>
        <w:gridCol w:w="209"/>
        <w:gridCol w:w="1116"/>
        <w:gridCol w:w="275"/>
        <w:gridCol w:w="60"/>
        <w:gridCol w:w="137"/>
        <w:gridCol w:w="1008"/>
        <w:gridCol w:w="290"/>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w:t>
              <w:br/>
              <w:t>Class Held</w:t>
            </w:r>
          </w:p>
        </w:tc>
        <w:tc>
          <w:tcPr>
            <w:tcW w:w="29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EMS Linq, Inc. (11) </w:t>
              <w:br/>
              <w:t xml:space="preserve">2528 INDEPENDENCE BLVD STE 200 </w:t>
              <w:br/>
              <w:t>WILMINGTON NC 28412-2591</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Class B Units (5,522,526 units)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12/22/2021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5,523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4,763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15.9</w:t>
            </w:r>
          </w:p>
        </w:tc>
        <w:tc>
          <w:tcPr>
            <w:tcW w:w="29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RMCF IV CIV XXXV, LP. (11) </w:t>
              <w:br/>
              <w:t>1320 Flynn Road, Suite 100 Camarillo, CA 93012</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Partnership Interest (11.94% ownership)</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6/8/2021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1,410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11.9</w:t>
            </w:r>
          </w:p>
        </w:tc>
        <w:tc>
          <w:tcPr>
            <w:tcW w:w="29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01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pBdr>
                <w:top w:val="single" w:sz="2" w:space="1" w:color="000000"/>
              </w:pBdr>
              <w:bidi w:val="0"/>
              <w:spacing w:before="0" w:after="0"/>
              <w:jc w:val="left"/>
              <w:rPr/>
            </w:pPr>
            <w:r>
              <w:rPr/>
              <w:t> </w:t>
            </w:r>
          </w:p>
        </w:tc>
        <w:tc>
          <w:tcPr>
            <w:tcW w:w="125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9,778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6,767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01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pBdr>
                <w:top w:val="single" w:sz="2" w:space="1" w:color="000000"/>
              </w:pBdr>
              <w:bidi w:val="0"/>
              <w:spacing w:before="0" w:after="0"/>
              <w:jc w:val="left"/>
              <w:rPr/>
            </w:pPr>
            <w:r>
              <w:rPr/>
              <w:t> </w:t>
            </w:r>
          </w:p>
        </w:tc>
        <w:tc>
          <w:tcPr>
            <w:tcW w:w="125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Financial Services</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3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AvidXchange, Inc. (10)(11) </w:t>
              <w:br/>
              <w:t xml:space="preserve">1210 AvidXchange Lane </w:t>
              <w:br/>
              <w:t>Charlotte, NC 28206</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Common Shares (50,179 shares)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10/15/2021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Newport Parent Holdings, LP (11) 58 Durham Road </w:t>
              <w:br/>
              <w:t>DH3 2QJ</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Class A-2 Units (131,569 units)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12/10/2020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4,177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9,607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1.3</w:t>
            </w:r>
          </w:p>
        </w:tc>
        <w:tc>
          <w:tcPr>
            <w:tcW w:w="29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Oxford Square Capital Corp. (4)(10) </w:t>
              <w:br/>
              <w:t xml:space="preserve">8 Sound Shore Drive Suite 255 </w:t>
              <w:br/>
              <w:t xml:space="preserve">Suite 255 </w:t>
              <w:br/>
              <w:t>Greenwich, CT 06830</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Common Shares (1,620 shares)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8/5/2015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Passport Labs, Inc. (11) </w:t>
              <w:br/>
              <w:t xml:space="preserve">128 S Tryon St, Ste 1000 </w:t>
              <w:br/>
              <w:t>Charlotte, NC 28202</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17,534 Warrants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4/28/2021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192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16.4</w:t>
            </w:r>
          </w:p>
        </w:tc>
        <w:tc>
          <w:tcPr>
            <w:tcW w:w="29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TradingScreen, Inc. (11)(13) </w:t>
              <w:br/>
              <w:t xml:space="preserve">1 Penn Plaza, 49th Fl </w:t>
              <w:br/>
              <w:t>New York, NY 10119</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Class A Units (600,000 units)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5/14/2021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0.3</w:t>
            </w:r>
          </w:p>
        </w:tc>
        <w:tc>
          <w:tcPr>
            <w:tcW w:w="29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01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pBdr>
                <w:top w:val="single" w:sz="2" w:space="1" w:color="000000"/>
              </w:pBdr>
              <w:bidi w:val="0"/>
              <w:spacing w:before="0" w:after="0"/>
              <w:jc w:val="left"/>
              <w:rPr/>
            </w:pPr>
            <w:r>
              <w:rPr/>
              <w:t> </w:t>
            </w:r>
          </w:p>
        </w:tc>
        <w:tc>
          <w:tcPr>
            <w:tcW w:w="125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5,231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10,690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01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pBdr>
                <w:top w:val="single" w:sz="2" w:space="1" w:color="000000"/>
              </w:pBdr>
              <w:bidi w:val="0"/>
              <w:spacing w:before="0" w:after="0"/>
              <w:jc w:val="left"/>
              <w:rPr/>
            </w:pPr>
            <w:r>
              <w:rPr/>
              <w:t> </w:t>
            </w:r>
          </w:p>
        </w:tc>
        <w:tc>
          <w:tcPr>
            <w:tcW w:w="125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31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Healthcare</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12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111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Caris Life Sciences, Inc. (11) </w:t>
              <w:br/>
              <w:t xml:space="preserve">750 W John Carpenter Fwy </w:t>
              <w:br/>
              <w:t xml:space="preserve">Suite 800 </w:t>
              <w:br/>
              <w:t>Irving, TX 75039</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Series C Preferred Shares (1,915,114 shares)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10/13/2020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3,500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6,703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1.6</w:t>
            </w:r>
          </w:p>
        </w:tc>
        <w:tc>
          <w:tcPr>
            <w:tcW w:w="29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Series D Preferred Shares (1,240,740 shares)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5/11/2021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10,050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9,573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1.2</w:t>
            </w:r>
          </w:p>
        </w:tc>
        <w:tc>
          <w:tcPr>
            <w:tcW w:w="29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633,376 Warrants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9/21/2018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192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1,196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5.0</w:t>
            </w:r>
          </w:p>
        </w:tc>
        <w:tc>
          <w:tcPr>
            <w:tcW w:w="29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569,991 Warrants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4/2/2020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5.0</w:t>
            </w:r>
          </w:p>
        </w:tc>
        <w:tc>
          <w:tcPr>
            <w:tcW w:w="29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Merative L.P. (11)(13) </w:t>
              <w:br/>
              <w:t xml:space="preserve">100 Phoenix Drive </w:t>
              <w:br/>
              <w:t>Ann Arbor, MI 48108</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989,691 Class A-1 Units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6/30/2022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9,897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9,897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16.5</w:t>
            </w:r>
          </w:p>
        </w:tc>
        <w:tc>
          <w:tcPr>
            <w:tcW w:w="29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Raptor US Buyer II Corp. (11)(12) </w:t>
              <w:br/>
              <w:t xml:space="preserve">205 West Wacker Drive, Suite 1800 </w:t>
              <w:br/>
              <w:t>Chicago, IL 60606</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2,027 Ordinary Shares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3/24/2023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0.6</w:t>
            </w:r>
          </w:p>
        </w:tc>
        <w:tc>
          <w:tcPr>
            <w:tcW w:w="29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2,027 Class A</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3/24/2023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203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203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0.6</w:t>
            </w:r>
          </w:p>
        </w:tc>
        <w:tc>
          <w:tcPr>
            <w:tcW w:w="29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2,027 Class B</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3/24/2023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0.6</w:t>
            </w:r>
          </w:p>
        </w:tc>
        <w:tc>
          <w:tcPr>
            <w:tcW w:w="29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2,027 Class C</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3/24/2023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203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203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0.6</w:t>
            </w:r>
          </w:p>
        </w:tc>
        <w:tc>
          <w:tcPr>
            <w:tcW w:w="29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2,027 Class 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3/24/2023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0.6</w:t>
            </w:r>
          </w:p>
        </w:tc>
        <w:tc>
          <w:tcPr>
            <w:tcW w:w="29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2,027 Class 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3/24/2023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203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203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0.6</w:t>
            </w:r>
          </w:p>
        </w:tc>
        <w:tc>
          <w:tcPr>
            <w:tcW w:w="29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2,027 Class F</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3/24/2023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0.6</w:t>
            </w:r>
          </w:p>
        </w:tc>
        <w:tc>
          <w:tcPr>
            <w:tcW w:w="29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2,027 Class G</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3/24/2023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203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203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0.6</w:t>
            </w:r>
          </w:p>
        </w:tc>
        <w:tc>
          <w:tcPr>
            <w:tcW w:w="29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2,027 Class 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3/24/2023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0.6</w:t>
            </w:r>
          </w:p>
        </w:tc>
        <w:tc>
          <w:tcPr>
            <w:tcW w:w="29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2,027 Class I</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3/24/2023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203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203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34.5</w:t>
            </w:r>
          </w:p>
        </w:tc>
        <w:tc>
          <w:tcPr>
            <w:tcW w:w="29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01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pBdr>
                <w:top w:val="single" w:sz="2" w:space="1" w:color="000000"/>
              </w:pBdr>
              <w:bidi w:val="0"/>
              <w:spacing w:before="0" w:after="0"/>
              <w:jc w:val="left"/>
              <w:rPr/>
            </w:pPr>
            <w:r>
              <w:rPr/>
              <w:t> </w:t>
            </w:r>
          </w:p>
        </w:tc>
        <w:tc>
          <w:tcPr>
            <w:tcW w:w="125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25,919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30,292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01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pBdr>
                <w:top w:val="single" w:sz="2" w:space="1" w:color="000000"/>
              </w:pBdr>
              <w:bidi w:val="0"/>
              <w:spacing w:before="0" w:after="0"/>
              <w:jc w:val="left"/>
              <w:rPr/>
            </w:pPr>
            <w:r>
              <w:rPr/>
              <w:t> </w:t>
            </w:r>
          </w:p>
        </w:tc>
        <w:tc>
          <w:tcPr>
            <w:tcW w:w="125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tbl>
      <w:tblPr>
        <w:tblW w:w="11740" w:type="dxa"/>
        <w:jc w:val="left"/>
        <w:tblInd w:w="0" w:type="dxa"/>
        <w:tblLayout w:type="fixed"/>
        <w:tblCellMar>
          <w:top w:w="0" w:type="dxa"/>
          <w:left w:w="0" w:type="dxa"/>
          <w:bottom w:w="0" w:type="dxa"/>
          <w:right w:w="0" w:type="dxa"/>
        </w:tblCellMar>
      </w:tblPr>
      <w:tblGrid>
        <w:gridCol w:w="1010"/>
        <w:gridCol w:w="60"/>
        <w:gridCol w:w="890"/>
        <w:gridCol w:w="60"/>
        <w:gridCol w:w="125"/>
        <w:gridCol w:w="1050"/>
        <w:gridCol w:w="60"/>
        <w:gridCol w:w="60"/>
        <w:gridCol w:w="520"/>
        <w:gridCol w:w="520"/>
        <w:gridCol w:w="60"/>
        <w:gridCol w:w="60"/>
        <w:gridCol w:w="670"/>
        <w:gridCol w:w="670"/>
        <w:gridCol w:w="60"/>
        <w:gridCol w:w="60"/>
        <w:gridCol w:w="89"/>
        <w:gridCol w:w="1011"/>
        <w:gridCol w:w="60"/>
        <w:gridCol w:w="60"/>
        <w:gridCol w:w="60"/>
        <w:gridCol w:w="1310"/>
        <w:gridCol w:w="60"/>
        <w:gridCol w:w="60"/>
        <w:gridCol w:w="209"/>
        <w:gridCol w:w="1116"/>
        <w:gridCol w:w="275"/>
        <w:gridCol w:w="60"/>
        <w:gridCol w:w="110"/>
        <w:gridCol w:w="1035"/>
        <w:gridCol w:w="290"/>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w:t>
              <w:br/>
              <w:t>Class Held</w:t>
            </w:r>
          </w:p>
        </w:tc>
        <w:tc>
          <w:tcPr>
            <w:tcW w:w="29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Hotel, Gaming and Leisure</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111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03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IRGSE Holding Corp. (7)(11) </w:t>
              <w:br/>
              <w:t xml:space="preserve">1555 Palm Beach Lake Blvd </w:t>
              <w:br/>
              <w:t xml:space="preserve">Unit 1105 </w:t>
              <w:br/>
              <w:t xml:space="preserve">West Palm Beach, FL 33401 </w:t>
              <w:br/>
              <w:t>USA</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Class A Units (33,790,171 units)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12/21/2018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21,842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6,336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100.0</w:t>
            </w:r>
          </w:p>
        </w:tc>
        <w:tc>
          <w:tcPr>
            <w:tcW w:w="29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Class C-1 Units (8,800,000 units)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12/21/2018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86.1</w:t>
            </w:r>
          </w:p>
        </w:tc>
        <w:tc>
          <w:tcPr>
            <w:tcW w:w="29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01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31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21,942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6,379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01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31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1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Human Resource Support Services</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111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03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Axonify, Inc. (4)(11)(13) </w:t>
              <w:br/>
              <w:t xml:space="preserve">450 Phillip St </w:t>
              <w:br/>
              <w:t xml:space="preserve">Waterloo, Ontario N2L 5J2 </w:t>
              <w:br/>
              <w:t>Canada</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Class A-1 Units (3,780,000 units)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5/5/2021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3,780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3,837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1.8</w:t>
            </w:r>
          </w:p>
        </w:tc>
        <w:tc>
          <w:tcPr>
            <w:tcW w:w="29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bswift, LLC (11)(12) </w:t>
              <w:br/>
              <w:t xml:space="preserve">500 W. Monroe </w:t>
              <w:br/>
              <w:t xml:space="preserve">Suite 3800 </w:t>
              <w:br/>
              <w:t xml:space="preserve">Chicago, IL 60661 </w:t>
              <w:br/>
              <w:t>USA</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Class A-1 Units (2,393,509 units)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11/7/2022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2,394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0.5</w:t>
            </w:r>
          </w:p>
        </w:tc>
        <w:tc>
          <w:tcPr>
            <w:tcW w:w="29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DaySmart Holdings, LLC (11)(13) </w:t>
              <w:br/>
              <w:t xml:space="preserve">312 Soutg State Street Fl 2 </w:t>
              <w:br/>
              <w:t>Ann Arbor, MI 48104</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Class A Units (166,811 units)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10/1/2019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1,347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1.2</w:t>
            </w:r>
          </w:p>
        </w:tc>
        <w:tc>
          <w:tcPr>
            <w:tcW w:w="29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Employment Hero Holdings Pty Ltd. (4)(11) </w:t>
              <w:br/>
              <w:t xml:space="preserve">Level 2, 441 Kent Street </w:t>
              <w:br/>
              <w:t xml:space="preserve">Sydney, New South Wales 2000 </w:t>
              <w:br/>
              <w:t>Australia</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Series E Preferred Shares (113,250 shares)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3/1/2022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2,493</w:t>
              <w:br/>
              <w:t>(AUD 3,862)</w:t>
            </w:r>
          </w:p>
        </w:tc>
        <w:tc>
          <w:tcPr>
            <w:tcW w:w="60" w:type="dxa"/>
            <w:tcBorders/>
            <w:shd w:fill="CCEEFF" w:val="clear"/>
            <w:vAlign w:val="center"/>
          </w:tcPr>
          <w:p>
            <w:pPr>
              <w:pStyle w:val="TableContents"/>
              <w:bidi w:val="0"/>
              <w:spacing w:before="0" w:after="283"/>
              <w:jc w:val="left"/>
              <w:rPr/>
            </w:pPr>
            <w:r>
              <w:rPr/>
              <w:b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0.2</w:t>
            </w:r>
          </w:p>
        </w:tc>
        <w:tc>
          <w:tcPr>
            <w:tcW w:w="29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01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31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9,655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10,754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01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31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1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Internet Services</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111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03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Bayshore Intermediate #2, L.P. (11)(13) </w:t>
              <w:br/>
              <w:t xml:space="preserve">1400 Liberty Ridge Drive </w:t>
              <w:br/>
              <w:t>Chesterbrook, PA 19087 USA</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Co-Invest Common Units (8,837,008 units)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10/1/2021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8,837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8,152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0.4</w:t>
            </w:r>
          </w:p>
        </w:tc>
        <w:tc>
          <w:tcPr>
            <w:tcW w:w="29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Co-Invest 2 Common Units (3,493,701 units)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3,494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3,223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0.4</w:t>
            </w:r>
          </w:p>
        </w:tc>
        <w:tc>
          <w:tcPr>
            <w:tcW w:w="29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Lucidworks, Inc. (11) </w:t>
              <w:br/>
              <w:t xml:space="preserve">235 Montgomery Street Suite 500 </w:t>
              <w:br/>
              <w:t xml:space="preserve">San Francisco, CA 94104 </w:t>
              <w:br/>
              <w:t>USA</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Series F Preferred Shares (199,054 shares)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8/2/2019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1.5</w:t>
            </w:r>
          </w:p>
        </w:tc>
        <w:tc>
          <w:tcPr>
            <w:tcW w:w="29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Piano Software, Inc. (11) </w:t>
              <w:br/>
              <w:t xml:space="preserve">One World Trade Center Suite 46D </w:t>
              <w:br/>
              <w:t xml:space="preserve">New York, NY 10007 </w:t>
              <w:br/>
              <w:t>USA</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Series C-1 Preferred Shares (418,527 shares)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12/22/2021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24.9</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tbl>
      <w:tblPr>
        <w:tblW w:w="12875" w:type="dxa"/>
        <w:jc w:val="left"/>
        <w:tblInd w:w="0" w:type="dxa"/>
        <w:tblLayout w:type="fixed"/>
        <w:tblCellMar>
          <w:top w:w="0" w:type="dxa"/>
          <w:left w:w="0" w:type="dxa"/>
          <w:bottom w:w="0" w:type="dxa"/>
          <w:right w:w="0" w:type="dxa"/>
        </w:tblCellMar>
      </w:tblPr>
      <w:tblGrid>
        <w:gridCol w:w="1235"/>
        <w:gridCol w:w="60"/>
        <w:gridCol w:w="1040"/>
        <w:gridCol w:w="60"/>
        <w:gridCol w:w="125"/>
        <w:gridCol w:w="1050"/>
        <w:gridCol w:w="60"/>
        <w:gridCol w:w="60"/>
        <w:gridCol w:w="60"/>
        <w:gridCol w:w="1310"/>
        <w:gridCol w:w="275"/>
        <w:gridCol w:w="60"/>
        <w:gridCol w:w="160"/>
        <w:gridCol w:w="1180"/>
        <w:gridCol w:w="275"/>
        <w:gridCol w:w="60"/>
        <w:gridCol w:w="89"/>
        <w:gridCol w:w="1011"/>
        <w:gridCol w:w="60"/>
        <w:gridCol w:w="60"/>
        <w:gridCol w:w="111"/>
        <w:gridCol w:w="1259"/>
        <w:gridCol w:w="60"/>
        <w:gridCol w:w="60"/>
        <w:gridCol w:w="209"/>
        <w:gridCol w:w="1116"/>
        <w:gridCol w:w="275"/>
        <w:gridCol w:w="60"/>
        <w:gridCol w:w="137"/>
        <w:gridCol w:w="1008"/>
        <w:gridCol w:w="290"/>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 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w:t>
              <w:br/>
              <w:t>Class Held</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Series C-2 Preferred Shares (27,588 shares)(12)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11/18/2022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2.1</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SMA Technologies Holdings, LLC (11)(12) </w:t>
              <w:br/>
              <w:t xml:space="preserve">14237 East Sam Houston Pawkway N. </w:t>
              <w:br/>
              <w:t xml:space="preserve">Suite 200-314 </w:t>
              <w:br/>
              <w:t xml:space="preserve">Houston, TX 77044 </w:t>
              <w:br/>
              <w:t>USA</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Class A Units (1,300 shares)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11/21/2022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1.3</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Class B Units (923,250 shares)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11/21/2022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1.3</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01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pBdr>
                <w:top w:val="single" w:sz="2" w:space="1" w:color="000000"/>
              </w:pBdr>
              <w:bidi w:val="0"/>
              <w:spacing w:before="0" w:after="0"/>
              <w:jc w:val="left"/>
              <w:rPr/>
            </w:pPr>
            <w:r>
              <w:rPr/>
              <w:t> </w:t>
            </w:r>
          </w:p>
        </w:tc>
        <w:tc>
          <w:tcPr>
            <w:tcW w:w="125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17,629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16,673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01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pBdr>
                <w:top w:val="single" w:sz="2" w:space="1" w:color="000000"/>
              </w:pBdr>
              <w:bidi w:val="0"/>
              <w:spacing w:before="0" w:after="0"/>
              <w:jc w:val="left"/>
              <w:rPr/>
            </w:pPr>
            <w:r>
              <w:rPr/>
              <w:t> </w:t>
            </w:r>
          </w:p>
        </w:tc>
        <w:tc>
          <w:tcPr>
            <w:tcW w:w="125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Marketing Services</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12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111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Validity, Inc. (11) </w:t>
              <w:br/>
              <w:t xml:space="preserve">100 Summer St </w:t>
              <w:br/>
              <w:t xml:space="preserve">Suite 2900 </w:t>
              <w:br/>
              <w:t>Boston, MA 02110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Series A Preferred Shares (3,840,000 shares)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5/31/2018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3,840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10,944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3.1</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Oil, Gas and Consumable Fuels</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12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111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Murchison Oil and Gas, LLC (13) </w:t>
              <w:br/>
              <w:t xml:space="preserve">1100 Mira Vista </w:t>
              <w:br/>
              <w:t>Plano, TX 79093</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13,355 Preferred Units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6/30/2022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13,355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14,891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16.3</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TRP Assets, LLC (11)(13) </w:t>
              <w:br/>
              <w:t xml:space="preserve">1111 Louisiana Street Suite 4550 </w:t>
              <w:br/>
              <w:t>Houston, TX</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Partnership Interest (1.89% ownership)</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8/25/2022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8,732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11,811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1.9</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01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pBdr>
                <w:top w:val="single" w:sz="2" w:space="1" w:color="000000"/>
              </w:pBdr>
              <w:bidi w:val="0"/>
              <w:spacing w:before="0" w:after="0"/>
              <w:jc w:val="left"/>
              <w:rPr/>
            </w:pPr>
            <w:r>
              <w:rPr/>
              <w:t> </w:t>
            </w:r>
          </w:p>
        </w:tc>
        <w:tc>
          <w:tcPr>
            <w:tcW w:w="125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22,087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26,702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01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pBdr>
                <w:top w:val="single" w:sz="2" w:space="1" w:color="000000"/>
              </w:pBdr>
              <w:bidi w:val="0"/>
              <w:spacing w:before="0" w:after="0"/>
              <w:jc w:val="left"/>
              <w:rPr/>
            </w:pPr>
            <w:r>
              <w:rPr/>
              <w:t> </w:t>
            </w:r>
          </w:p>
        </w:tc>
        <w:tc>
          <w:tcPr>
            <w:tcW w:w="125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Pharmaceuticals</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12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111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TherapeuticsMD, Inc. (4)(11) </w:t>
              <w:br/>
              <w:t xml:space="preserve">3 Second Street, Suite 206 </w:t>
              <w:br/>
              <w:t>Jersey City, NJ</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14,256 Warrants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8/5/2020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1,029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Retail and Consumer Products</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12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111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American Achievement, Corp. (11) </w:t>
              <w:br/>
              <w:t xml:space="preserve">1550 W Mockingbird Lane </w:t>
              <w:br/>
              <w:t>Dallas, TX 75235</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Class A Units (687 units)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3/16/2021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3.8</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Copper Bidco, LLC </w:t>
              <w:br/>
              <w:t xml:space="preserve">951 Yamato Road </w:t>
              <w:br/>
              <w:t xml:space="preserve">Suite 220 </w:t>
              <w:br/>
              <w:t>Boca Raton, FL 33431</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Trust Certificates (132,928 Certificates)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12/7/2020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1.3</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Trust Certificates (996,958 Certificates) (9)</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1/30/2021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2,589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10,727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1.3</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Neuintel, LLC (11)(13) </w:t>
              <w:br/>
              <w:t xml:space="preserve">20 Pacifica Suite 1000 </w:t>
              <w:br/>
              <w:t>Irvine, CA 92618</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Class A Units (1,176,494 units)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12/21/2021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2,468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1.3</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01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pBdr>
                <w:top w:val="single" w:sz="2" w:space="1" w:color="000000"/>
              </w:pBdr>
              <w:bidi w:val="0"/>
              <w:spacing w:before="0" w:after="0"/>
              <w:jc w:val="left"/>
              <w:rPr/>
            </w:pPr>
            <w:r>
              <w:rPr/>
              <w:t> </w:t>
            </w:r>
          </w:p>
        </w:tc>
        <w:tc>
          <w:tcPr>
            <w:tcW w:w="125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5,589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13,252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01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pBdr>
                <w:top w:val="single" w:sz="2" w:space="1" w:color="000000"/>
              </w:pBdr>
              <w:bidi w:val="0"/>
              <w:spacing w:before="0" w:after="0"/>
              <w:jc w:val="left"/>
              <w:rPr/>
            </w:pPr>
            <w:r>
              <w:rPr/>
              <w:t> </w:t>
            </w:r>
          </w:p>
        </w:tc>
        <w:tc>
          <w:tcPr>
            <w:tcW w:w="125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Structured Credit</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12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111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Allegro CLO Ltd, Series 2018-1A, (3)(4)(9) </w:t>
              <w:br/>
              <w:t>100 West Putnam Ave, Third Floor, Greenwich, CT 06830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6/2031)</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5/26/2022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+ 3.11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8.42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973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953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tbl>
      <w:tblPr>
        <w:tblW w:w="12015" w:type="dxa"/>
        <w:jc w:val="left"/>
        <w:tblInd w:w="0" w:type="dxa"/>
        <w:tblLayout w:type="fixed"/>
        <w:tblCellMar>
          <w:top w:w="0" w:type="dxa"/>
          <w:left w:w="0" w:type="dxa"/>
          <w:bottom w:w="0" w:type="dxa"/>
          <w:right w:w="0" w:type="dxa"/>
        </w:tblCellMar>
      </w:tblPr>
      <w:tblGrid>
        <w:gridCol w:w="950"/>
        <w:gridCol w:w="60"/>
        <w:gridCol w:w="740"/>
        <w:gridCol w:w="60"/>
        <w:gridCol w:w="125"/>
        <w:gridCol w:w="1050"/>
        <w:gridCol w:w="60"/>
        <w:gridCol w:w="60"/>
        <w:gridCol w:w="60"/>
        <w:gridCol w:w="1310"/>
        <w:gridCol w:w="275"/>
        <w:gridCol w:w="60"/>
        <w:gridCol w:w="129"/>
        <w:gridCol w:w="1211"/>
        <w:gridCol w:w="275"/>
        <w:gridCol w:w="60"/>
        <w:gridCol w:w="106"/>
        <w:gridCol w:w="994"/>
        <w:gridCol w:w="60"/>
        <w:gridCol w:w="60"/>
        <w:gridCol w:w="132"/>
        <w:gridCol w:w="1238"/>
        <w:gridCol w:w="60"/>
        <w:gridCol w:w="60"/>
        <w:gridCol w:w="209"/>
        <w:gridCol w:w="1116"/>
        <w:gridCol w:w="275"/>
        <w:gridCol w:w="60"/>
        <w:gridCol w:w="1160"/>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 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center"/>
              <w:rPr>
                <w:b/>
              </w:rPr>
            </w:pPr>
            <w:r>
              <w:rPr>
                <w:b/>
              </w:rPr>
              <w:t>Percentage</w:t>
              <w:br/>
              <w:t>of</w:t>
              <w:br/>
              <w:t>Class Held</w:t>
            </w:r>
          </w:p>
        </w:tc>
      </w:tr>
      <w:tr>
        <w:trPr/>
        <w:tc>
          <w:tcPr>
            <w:tcW w:w="9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American Money Management Corp CLO Ltd, Series 2016-18A (3)(4)(9) </w:t>
              <w:br/>
              <w:t>301 East Fourth Street, 38 Th Floor, Cincinnati, OH 45202</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($1,500 par, due 5/2031)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6/22/2022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+ 3.31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8.70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Ares CLO Ltd, Series 2021-59A (3)(4)(9) </w:t>
              <w:br/>
              <w:t>245 Park Ave 44th floor, New York, NY 10167</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4/2034)</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6/23/2022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+ 6.51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11.86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897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906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Ares Loan Funding I Ltd, Series 2021-ALFA, Class E (3)(4)(9) </w:t>
              <w:br/>
              <w:t>245 Park Ave 44th floor, New York, NY 10167</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10/2034)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6/24/2022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+ 6.96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12.27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Bain Capital Credit CLO Ltd, Series 2018-1A (3)(4)(9) </w:t>
              <w:br/>
              <w:t>200 Clarendon St, Boston, MA 02116</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($500 par, due 4/2031)</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10/15/2020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+ 5.61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10.96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428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421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Battalion CLO Ltd, Series 2021-21A (3)(4)(9) </w:t>
              <w:br/>
              <w:t>399 Park Avenue, 16th Floor, New York, NY 10022</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($1,300 par, due 7/2034)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7/13/2022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+ 3.56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8.87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Benefit Street Partners CLO Ltd, Series 2015-BR (3)(4)(9) </w:t>
              <w:br/>
              <w:t>9 W 57th St #4920, New York, NY 10019</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($2,500 par, due 7/2034)</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7/13/2022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+ 4.11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9.44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2,190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Benefit Street Partners CLO Ltd, Series 2015-8A (3)(4)(9) </w:t>
              <w:br/>
              <w:t>9 W 57th St #4920, New York, NY 10019</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($1,425 par, due 1/2031)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9/13/2022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+ 3.01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8.34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Carlyle Global Market Strategies CLO Ltd, Series 2014-4RA (3)(4)(9) 1001 Pennsylvania Avenue NW Washington, DC</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7/2030)</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5/26/2022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+ 3.16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8.47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917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928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Carlyle Global Market Strategies CLO Ltd, Series 2016-1, Ltd (3)(4)(9) </w:t>
              <w:br/>
              <w:t>1001 Pennsylvania Avenue NW Washington, DC</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($1,600 par, due 4/2034)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2/15/2023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+ 6.86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12.19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1,427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Carlyle Global Market Strategies CLO Ltd, Series 2018-1A (3)(4)(9) </w:t>
              <w:br/>
              <w:t>1001 Pennsylvania Avenue NW Washington, DC</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($1,550 par, due 4/2031)</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8/11/2020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11.34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1,259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1,386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tbl>
      <w:tblPr>
        <w:tblW w:w="12000" w:type="dxa"/>
        <w:jc w:val="left"/>
        <w:tblInd w:w="0" w:type="dxa"/>
        <w:tblLayout w:type="fixed"/>
        <w:tblCellMar>
          <w:top w:w="0" w:type="dxa"/>
          <w:left w:w="0" w:type="dxa"/>
          <w:bottom w:w="0" w:type="dxa"/>
          <w:right w:w="0" w:type="dxa"/>
        </w:tblCellMar>
      </w:tblPr>
      <w:tblGrid>
        <w:gridCol w:w="935"/>
        <w:gridCol w:w="60"/>
        <w:gridCol w:w="740"/>
        <w:gridCol w:w="60"/>
        <w:gridCol w:w="125"/>
        <w:gridCol w:w="1050"/>
        <w:gridCol w:w="60"/>
        <w:gridCol w:w="60"/>
        <w:gridCol w:w="60"/>
        <w:gridCol w:w="1310"/>
        <w:gridCol w:w="275"/>
        <w:gridCol w:w="60"/>
        <w:gridCol w:w="129"/>
        <w:gridCol w:w="1211"/>
        <w:gridCol w:w="275"/>
        <w:gridCol w:w="60"/>
        <w:gridCol w:w="106"/>
        <w:gridCol w:w="994"/>
        <w:gridCol w:w="60"/>
        <w:gridCol w:w="60"/>
        <w:gridCol w:w="132"/>
        <w:gridCol w:w="1238"/>
        <w:gridCol w:w="60"/>
        <w:gridCol w:w="60"/>
        <w:gridCol w:w="209"/>
        <w:gridCol w:w="1116"/>
        <w:gridCol w:w="275"/>
        <w:gridCol w:w="60"/>
        <w:gridCol w:w="1160"/>
      </w:tblGrid>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 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center"/>
              <w:rPr>
                <w:b/>
              </w:rPr>
            </w:pPr>
            <w:r>
              <w:rPr>
                <w:b/>
              </w:rPr>
              <w:t>Percentage</w:t>
              <w:br/>
              <w:t>of</w:t>
              <w:br/>
              <w:t>Class Held</w:t>
            </w:r>
          </w:p>
        </w:tc>
      </w:tr>
      <w:tr>
        <w:trPr/>
        <w:tc>
          <w:tcPr>
            <w:tcW w:w="9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CarVal CLO III Ltd, Series 2019-2A (3)(4)(9) </w:t>
              <w:br/>
              <w:t>1601 Utica Avenue South, Suite 1000. Minneapolis, MN 55416</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7/2032)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6/30/2022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+ 6.70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12.03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901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Cedar Funding CLO Ltd, Series 2018-7A (3)(4)(9) </w:t>
              <w:br/>
              <w:t>1201 Wills Street, Suite 800. Baltimore, MD 21231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1/2031)</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7/21/2022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+ 4.81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10.14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871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867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CIFC CLO Ltd, Series 2018-3A (3)(4)(9) </w:t>
              <w:br/>
              <w:t>1 SE 3rd Avenue, Suite 1660, Miami, FL 33131</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7/2031)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6/16/2022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+ 5.76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11.07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CIFC CLO Ltd, Series 2021-4A (3)(4)(9) </w:t>
              <w:br/>
              <w:t>1 SE 3rd Avenue, Suite 1660, Miami, FL 33131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7/2033)</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7/14/2022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11.57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899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950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Crown Point CLO Ltd, Series 2021-10A (3)(4)(9) </w:t>
              <w:br/>
              <w:t>810 7th Ave, New York, NY 10019</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7/2034)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6/14/2022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12.44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Dryden Senior Loan Fund, Series 2018-55A (3)(4)(9) </w:t>
              <w:br/>
              <w:t>655 Broad Street Newark, NJ 07102</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4/2031)</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7/25/2022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+ 3.11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8.42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925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928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Dryden Senior Loan Fund, Series 2020-86A (3)(4)(9) </w:t>
              <w:br/>
              <w:t>655 Broad Street Newark, NJ 07102</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($1,500 par, due 7/2034)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8/17/2022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+ 6.76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12.07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Eaton CLO Ltd, Series 2015-1A (3)(4)(9)</w:t>
              <w:br/>
              <w:t>wo International Place, Suite 1400 Boston, MA 02110</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($2,500 par, due 1/2030)</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6/23/2022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+ 2.76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8.09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2,252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2,394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Eaton CLO Ltd, Series 2020-1A (3)(4)(9) </w:t>
              <w:br/>
              <w:t>wo International Place, Suite 1400 Boston, MA 02110</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10/2034)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8/11/2022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+ 6.51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11.82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GoldenTree CLO Ltd, Series 2020-7A (3)(4)(9) </w:t>
              <w:br/>
              <w:t>300 Park Avenue New York, NY 10022</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4/2034)</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6/17/2022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12.09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921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984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Gulf Stream Meridian, Series 2021-4A (3)(4)(9) </w:t>
              <w:br/>
              <w:t>4201 Congress Street, Charlotte NC 28209</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($1,015 par, due 7/2034)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6/3/2022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+ 6.61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11.98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Gulf Stream Meridian, Series 2021-6A (3)(4)(9) </w:t>
              <w:br/>
              <w:t>4201 Congress Street, Charlotte NC 28209</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($2,000 par, due 1/2037)</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9/12/2022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11.93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1,849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1,785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tbl>
      <w:tblPr>
        <w:tblW w:w="11925" w:type="dxa"/>
        <w:jc w:val="left"/>
        <w:tblInd w:w="0" w:type="dxa"/>
        <w:tblLayout w:type="fixed"/>
        <w:tblCellMar>
          <w:top w:w="0" w:type="dxa"/>
          <w:left w:w="0" w:type="dxa"/>
          <w:bottom w:w="0" w:type="dxa"/>
          <w:right w:w="0" w:type="dxa"/>
        </w:tblCellMar>
      </w:tblPr>
      <w:tblGrid>
        <w:gridCol w:w="860"/>
        <w:gridCol w:w="60"/>
        <w:gridCol w:w="740"/>
        <w:gridCol w:w="60"/>
        <w:gridCol w:w="125"/>
        <w:gridCol w:w="1050"/>
        <w:gridCol w:w="60"/>
        <w:gridCol w:w="60"/>
        <w:gridCol w:w="60"/>
        <w:gridCol w:w="1310"/>
        <w:gridCol w:w="275"/>
        <w:gridCol w:w="60"/>
        <w:gridCol w:w="129"/>
        <w:gridCol w:w="1211"/>
        <w:gridCol w:w="275"/>
        <w:gridCol w:w="60"/>
        <w:gridCol w:w="106"/>
        <w:gridCol w:w="994"/>
        <w:gridCol w:w="60"/>
        <w:gridCol w:w="60"/>
        <w:gridCol w:w="132"/>
        <w:gridCol w:w="1238"/>
        <w:gridCol w:w="60"/>
        <w:gridCol w:w="60"/>
        <w:gridCol w:w="209"/>
        <w:gridCol w:w="1116"/>
        <w:gridCol w:w="275"/>
        <w:gridCol w:w="60"/>
        <w:gridCol w:w="1160"/>
      </w:tblGrid>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 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center"/>
              <w:rPr>
                <w:b/>
              </w:rPr>
            </w:pPr>
            <w:r>
              <w:rPr>
                <w:b/>
              </w:rPr>
              <w:t>Percentage</w:t>
              <w:br/>
              <w:t>of</w:t>
              <w:br/>
              <w:t>Class Held</w:t>
            </w:r>
          </w:p>
        </w:tc>
      </w:tr>
      <w:tr>
        <w:trPr/>
        <w:tc>
          <w:tcPr>
            <w:tcW w:w="8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Jefferson Mill CLO Ltd, Series 2015-1A (3)(4)(9) </w:t>
              <w:br/>
              <w:t>151 W 42nd St 29th Floor, New York, NY 10036</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10/2031)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5/23/2022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+ 3.81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9.14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KKR CLO Ltd, 49A (3)(4)(9) </w:t>
              <w:br/>
              <w:t>30 Hudson Yards, New York, NY 10001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7/2035)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6/2/2022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+ 8.26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13.33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977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959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r>
      <w:tr>
        <w:trPr/>
        <w:tc>
          <w:tcPr>
            <w:tcW w:w="8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Madison Park CLO, Series 2018-28A (3)(4)(9) </w:t>
              <w:br/>
              <w:t>11 Madison Ave, New York, NY 10010</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7/2030)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6/28/2022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+ 5.51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10.82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Magnetite CLO Ltd, Series 2021-30A (3)(4)(9) </w:t>
              <w:br/>
              <w:t>50 Hudson Yards, New York, NY 10001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10/2034)</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6/13/2022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+ 6.46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11.81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919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956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r>
      <w:tr>
        <w:trPr/>
        <w:tc>
          <w:tcPr>
            <w:tcW w:w="8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MidOcean Credit CLO Ltd, Series 2016-6A (3)(4)(9) </w:t>
              <w:br/>
              <w:t>320 Park Avenue Suite 1600 New York, NY 10022 USA</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($3,500 par, due 4/2033)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5/23/2022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+ 3.78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9.11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3,165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3,231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MidOcean Credit CLO Ltd, Series 2018-9A (3)(4)(9) </w:t>
              <w:br/>
              <w:t>320 Park Avenue Suite 1600 New York, NY 10022 USA</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($1,100 par, due 7/2031)</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11.64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964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952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r>
      <w:tr>
        <w:trPr/>
        <w:tc>
          <w:tcPr>
            <w:tcW w:w="8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Octagon 57 LLC, Series 2021-1A (3)(4)(9) </w:t>
              <w:br/>
              <w:t>250 Park Ave, New York, NY 10177</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10/2034)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5/24/2022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+ 6.86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12.17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Octagon Investment Partners 18 Ltd, Series 2018-18A (3)(4)(9) </w:t>
              <w:br/>
              <w:t>250 Park Ave, New York, NY 10177</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4/2031)</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7/26/2022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+ 2.96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8.27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911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925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r>
      <w:tr>
        <w:trPr/>
        <w:tc>
          <w:tcPr>
            <w:tcW w:w="8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Octagon Investment Partners 38 Ltd, Series 2018-1A (3)(4)(9) </w:t>
              <w:br/>
              <w:t>250 Park Ave, New York, NY 10177</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($2,800 par, due 7/2030)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9/20/2022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+ 3.21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8.54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2,489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Park Avenue Institutional Advisers CLO Ltd, Series 2018-1A (3)(4)(9) </w:t>
              <w:br/>
              <w:t>7 Hanover Square, New York, NY 10004</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10/2031)</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9/23/2022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+ 3.59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8.92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868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922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r>
      <w:tr>
        <w:trPr/>
        <w:tc>
          <w:tcPr>
            <w:tcW w:w="8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Pikes Peak CLO, Series 2021-9A (3)(4)(9) </w:t>
              <w:br/>
              <w:t>1114 6th Ave, New York, NY 10036</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($2,000 par, due 10/2034)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8/31/2022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+ 6.84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12.20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RR Ltd, Series 2020-8A (3)(4)(9) </w:t>
              <w:br/>
              <w:t>126 East 56th Street, New York, New York 10022</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4/2033)</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8/22/2022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+ 6.66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11.97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954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980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tbl>
      <w:tblPr>
        <w:tblW w:w="12035" w:type="dxa"/>
        <w:jc w:val="left"/>
        <w:tblInd w:w="0" w:type="dxa"/>
        <w:tblLayout w:type="fixed"/>
        <w:tblCellMar>
          <w:top w:w="0" w:type="dxa"/>
          <w:left w:w="0" w:type="dxa"/>
          <w:bottom w:w="0" w:type="dxa"/>
          <w:right w:w="0" w:type="dxa"/>
        </w:tblCellMar>
      </w:tblPr>
      <w:tblGrid>
        <w:gridCol w:w="890"/>
        <w:gridCol w:w="60"/>
        <w:gridCol w:w="740"/>
        <w:gridCol w:w="60"/>
        <w:gridCol w:w="125"/>
        <w:gridCol w:w="1050"/>
        <w:gridCol w:w="60"/>
        <w:gridCol w:w="60"/>
        <w:gridCol w:w="60"/>
        <w:gridCol w:w="1310"/>
        <w:gridCol w:w="275"/>
        <w:gridCol w:w="60"/>
        <w:gridCol w:w="129"/>
        <w:gridCol w:w="1211"/>
        <w:gridCol w:w="275"/>
        <w:gridCol w:w="60"/>
        <w:gridCol w:w="140"/>
        <w:gridCol w:w="980"/>
        <w:gridCol w:w="60"/>
        <w:gridCol w:w="60"/>
        <w:gridCol w:w="171"/>
        <w:gridCol w:w="1199"/>
        <w:gridCol w:w="60"/>
        <w:gridCol w:w="60"/>
        <w:gridCol w:w="128"/>
        <w:gridCol w:w="1197"/>
        <w:gridCol w:w="275"/>
        <w:gridCol w:w="60"/>
        <w:gridCol w:w="572"/>
        <w:gridCol w:w="573"/>
        <w:gridCol w:w="75"/>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 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w:t>
              <w:br/>
              <w:t>Class Held</w:t>
            </w:r>
          </w:p>
        </w:tc>
        <w:tc>
          <w:tcPr>
            <w:tcW w:w="75" w:type="dxa"/>
            <w:tcBorders/>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Signal Peak CLO LLC, Series 2018-5A (3)(4)(9) </w:t>
              <w:br/>
              <w:t xml:space="preserve">280 Park Avenue, 40 West </w:t>
              <w:br/>
              <w:t>New York, NY 10017</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($333 par, due 4/2031)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8/9/2022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+ 5.91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11.26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Southwick Park CLO Ltd, Series 2019-4A (3)(4)(9) </w:t>
              <w:br/>
              <w:t>345 PARK AVENUE NEW YORK, NY 10154</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7/2032)</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5/25/2022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+ 6.51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11.84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925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Stewart Park CLO Ltd, Series 2015-1A (3)(4)(9) </w:t>
              <w:br/>
              <w:t xml:space="preserve">345 PARK AVENUE </w:t>
              <w:br/>
              <w:t>NEW YORK NY 10154</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($1,000 par, due 1/2030)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7/25/2022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+ 2.86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8.17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Voya CLO Ltd, Series 2018-3A (3)(4)(9) </w:t>
              <w:br/>
              <w:t>230 Park Ave, United States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($2,750 par, due 10/2031)</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6/22/2022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11.32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2,391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Wind River CLO Ltd, Series 2014-2A (3)(4)(9) </w:t>
              <w:br/>
              <w:t>1345 Avenue of the Americas. New York, NY 10105.</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($1,500 par, due 1/2031)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6/23/2022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+ 3.16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8.47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Wind River CLO Ltd, Series 2017-1A (3)(4)(9) </w:t>
              <w:br/>
              <w:t>1345 Avenue of the Americas. New York, NY 10105.</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($3,000 par, due 4/2036)</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7/14/2022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+ 3.98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9.29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2,721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Wind River CLO Ltd, Series 2018-3A (3)(4)(9) </w:t>
              <w:br/>
              <w:t>1345 Avenue of the Americas. New York, NY 10105.</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Structured Credit ($2,000 par, due 1/2031)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12/12/2022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+ 5.91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11.24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pBdr>
                <w:top w:val="single" w:sz="2" w:space="1" w:color="000000"/>
              </w:pBdr>
              <w:bidi w:val="0"/>
              <w:spacing w:before="0" w:after="0"/>
              <w:jc w:val="left"/>
              <w:rPr/>
            </w:pPr>
            <w:r>
              <w:rPr/>
              <w:t> </w:t>
            </w:r>
          </w:p>
        </w:tc>
        <w:tc>
          <w:tcPr>
            <w:tcW w:w="119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pBdr>
                <w:top w:val="single" w:sz="2" w:space="1" w:color="000000"/>
              </w:pBdr>
              <w:bidi w:val="0"/>
              <w:spacing w:before="0" w:after="0"/>
              <w:jc w:val="left"/>
              <w:rPr/>
            </w:pPr>
            <w:r>
              <w:rPr/>
              <w:t> </w:t>
            </w:r>
          </w:p>
        </w:tc>
        <w:tc>
          <w:tcPr>
            <w:tcW w:w="1197"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52,718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53,995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3.6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pBdr>
                <w:top w:val="single" w:sz="2" w:space="1" w:color="000000"/>
              </w:pBdr>
              <w:bidi w:val="0"/>
              <w:spacing w:before="0" w:after="0"/>
              <w:jc w:val="left"/>
              <w:rPr/>
            </w:pPr>
            <w:r>
              <w:rPr/>
              <w:t> </w:t>
            </w:r>
          </w:p>
        </w:tc>
        <w:tc>
          <w:tcPr>
            <w:tcW w:w="119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pBdr>
                <w:top w:val="single" w:sz="2" w:space="1" w:color="000000"/>
              </w:pBdr>
              <w:bidi w:val="0"/>
              <w:spacing w:before="0" w:after="0"/>
              <w:jc w:val="left"/>
              <w:rPr/>
            </w:pPr>
            <w:r>
              <w:rPr/>
              <w:t> </w:t>
            </w:r>
          </w:p>
        </w:tc>
        <w:tc>
          <w:tcPr>
            <w:tcW w:w="1197"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Total Equity and Other Investments</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195,009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204,175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13.7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pBdr>
                <w:top w:val="single" w:sz="2" w:space="1" w:color="000000"/>
              </w:pBdr>
              <w:bidi w:val="0"/>
              <w:spacing w:before="0" w:after="0"/>
              <w:jc w:val="left"/>
              <w:rPr/>
            </w:pPr>
            <w:r>
              <w:rPr/>
              <w:t> </w:t>
            </w:r>
          </w:p>
        </w:tc>
        <w:tc>
          <w:tcPr>
            <w:tcW w:w="119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pBdr>
                <w:top w:val="single" w:sz="2" w:space="1" w:color="000000"/>
              </w:pBdr>
              <w:bidi w:val="0"/>
              <w:spacing w:before="0" w:after="0"/>
              <w:jc w:val="left"/>
              <w:rPr/>
            </w:pPr>
            <w:r>
              <w:rPr/>
              <w:t> </w:t>
            </w:r>
          </w:p>
        </w:tc>
        <w:tc>
          <w:tcPr>
            <w:tcW w:w="1197"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Total Investments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3,085,378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3,113,277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209.5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pBdr>
                <w:top w:val="double" w:sz="6" w:space="1" w:color="000000"/>
              </w:pBdr>
              <w:bidi w:val="0"/>
              <w:spacing w:before="0" w:after="0"/>
              <w:jc w:val="left"/>
              <w:rPr/>
            </w:pPr>
            <w:r>
              <w:rPr/>
              <w:t> </w:t>
            </w:r>
          </w:p>
        </w:tc>
        <w:tc>
          <w:tcPr>
            <w:tcW w:w="119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pBdr>
                <w:top w:val="double" w:sz="6" w:space="1" w:color="000000"/>
              </w:pBdr>
              <w:bidi w:val="0"/>
              <w:spacing w:before="0" w:after="0"/>
              <w:jc w:val="left"/>
              <w:rPr/>
            </w:pPr>
            <w:r>
              <w:rPr/>
              <w:t> </w:t>
            </w:r>
          </w:p>
        </w:tc>
        <w:tc>
          <w:tcPr>
            <w:tcW w:w="1197"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305"/>
        <w:gridCol w:w="7025"/>
      </w:tblGrid>
      <w:tr>
        <w:trPr/>
        <w:tc>
          <w:tcPr>
            <w:tcW w:w="305" w:type="dxa"/>
            <w:tcBorders/>
            <w:vAlign w:val="center"/>
          </w:tcPr>
          <w:p>
            <w:pPr>
              <w:pStyle w:val="TableContents"/>
              <w:bidi w:val="0"/>
              <w:spacing w:before="0" w:after="283"/>
              <w:jc w:val="left"/>
              <w:rPr/>
            </w:pPr>
            <w:r>
              <w:rPr/>
              <w:t>(1)</w:t>
            </w:r>
          </w:p>
        </w:tc>
        <w:tc>
          <w:tcPr>
            <w:tcW w:w="7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portfolio company investments are subject to contractual restrictions on sales.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(2)</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amortized cost represents the original cost adjusted for the amortization of discounts and premiums, as applicable, on debt investments using the effective interest method.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Investment contains a variable rate structure, subject to an interest rate floor. Variable rate investments bear interest at a rate that may be determined by reference to either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(4)</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portfolio company is not a qualifying asset under Section 55(a) of the Investment Company Act of 1940, as amended (the “1940 Act”). Under the 1940 Act, the Company may not acquire any non-qualifying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asset unless, at the time such acquisition is made, qualifying assets represent at least 70% of total assets. Non-qualifying assets represented 11.0% of total assets as of September 30,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(5)</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(6)</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2023 in which the Company was an Affiliated Person of and was deemed to Control a portfolio company are as follows: </w:t>
            </w:r>
          </w:p>
        </w:tc>
      </w:tr>
    </w:tbl>
    <w:p>
      <w:pPr>
        <w:pStyle w:val="TextBody"/>
        <w:bidi w:val="0"/>
        <w:spacing w:before="0" w:after="0"/>
        <w:jc w:val="left"/>
        <w:rPr/>
      </w:pPr>
      <w:r>
        <w:rPr/>
        <w:t> </w:t>
      </w:r>
    </w:p>
    <w:tbl>
      <w:tblPr>
        <w:tblW w:w="12700" w:type="dxa"/>
        <w:jc w:val="left"/>
        <w:tblInd w:w="0" w:type="dxa"/>
        <w:tblLayout w:type="fixed"/>
        <w:tblCellMar>
          <w:top w:w="0" w:type="dxa"/>
          <w:left w:w="0" w:type="dxa"/>
          <w:bottom w:w="0" w:type="dxa"/>
          <w:right w:w="0" w:type="dxa"/>
        </w:tblCellMar>
      </w:tblPr>
      <w:tblGrid>
        <w:gridCol w:w="1040"/>
        <w:gridCol w:w="60"/>
        <w:gridCol w:w="241"/>
        <w:gridCol w:w="1174"/>
        <w:gridCol w:w="60"/>
        <w:gridCol w:w="60"/>
        <w:gridCol w:w="253"/>
        <w:gridCol w:w="1012"/>
        <w:gridCol w:w="60"/>
        <w:gridCol w:w="60"/>
        <w:gridCol w:w="500"/>
        <w:gridCol w:w="930"/>
        <w:gridCol w:w="60"/>
        <w:gridCol w:w="60"/>
        <w:gridCol w:w="221"/>
        <w:gridCol w:w="1194"/>
        <w:gridCol w:w="155"/>
        <w:gridCol w:w="60"/>
        <w:gridCol w:w="311"/>
        <w:gridCol w:w="579"/>
        <w:gridCol w:w="60"/>
        <w:gridCol w:w="60"/>
        <w:gridCol w:w="353"/>
        <w:gridCol w:w="657"/>
        <w:gridCol w:w="60"/>
        <w:gridCol w:w="60"/>
        <w:gridCol w:w="251"/>
        <w:gridCol w:w="1224"/>
        <w:gridCol w:w="60"/>
        <w:gridCol w:w="60"/>
        <w:gridCol w:w="385"/>
        <w:gridCol w:w="385"/>
        <w:gridCol w:w="60"/>
        <w:gridCol w:w="60"/>
        <w:gridCol w:w="160"/>
        <w:gridCol w:w="640"/>
        <w:gridCol w:w="75"/>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center"/>
              <w:rPr>
                <w:b/>
              </w:rPr>
            </w:pPr>
            <w:r>
              <w:rPr>
                <w:b/>
              </w:rPr>
              <w:t>Company</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at</w:t>
              <w:br/>
              <w:t>December 31,</w:t>
              <w:b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Additions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Reductions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 Change</w:t>
              <w:br/>
              <w:t>In Unrealized</w:t>
              <w:br/>
              <w:t>Gain/(Loss)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Realized</w:t>
              <w:br/>
              <w:t>Gain/</w:t>
              <w:b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Transfers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 at</w:t>
              <w:br/>
              <w:t>September 30,</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br/>
              <w:t>Income</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IRGSE Holding Corp.</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70,755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8,005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w:t>
            </w:r>
          </w:p>
        </w:tc>
        <w:tc>
          <w:tcPr>
            <w:tcW w:w="9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(17,783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w:t>
            </w:r>
          </w:p>
        </w:tc>
        <w:tc>
          <w:tcPr>
            <w:tcW w:w="5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w:t>
            </w:r>
          </w:p>
        </w:tc>
        <w:tc>
          <w:tcPr>
            <w:tcW w:w="65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60,977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385"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5,599</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pBdr>
                <w:top w:val="single" w:sz="2" w:space="1" w:color="000000"/>
              </w:pBdr>
              <w:bidi w:val="0"/>
              <w:spacing w:before="0" w:after="0"/>
              <w:jc w:val="left"/>
              <w:rPr/>
            </w:pPr>
            <w:r>
              <w:rPr/>
              <w:t> </w:t>
            </w:r>
          </w:p>
        </w:tc>
        <w:tc>
          <w:tcPr>
            <w:tcW w:w="117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center"/>
          </w:tcPr>
          <w:p>
            <w:pPr>
              <w:pStyle w:val="TableContents"/>
              <w:pBdr>
                <w:top w:val="single" w:sz="2" w:space="1" w:color="000000"/>
              </w:pBdr>
              <w:bidi w:val="0"/>
              <w:spacing w:before="0" w:after="0"/>
              <w:jc w:val="left"/>
              <w:rPr/>
            </w:pPr>
            <w:r>
              <w:rPr/>
              <w:t> </w:t>
            </w:r>
          </w:p>
        </w:tc>
        <w:tc>
          <w:tcPr>
            <w:tcW w:w="101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pBdr>
                <w:top w:val="single" w:sz="2" w:space="1" w:color="000000"/>
              </w:pBdr>
              <w:bidi w:val="0"/>
              <w:spacing w:before="0" w:after="0"/>
              <w:jc w:val="left"/>
              <w:rPr/>
            </w:pPr>
            <w:r>
              <w:rPr/>
              <w:t> </w:t>
            </w:r>
          </w:p>
        </w:tc>
        <w:tc>
          <w:tcPr>
            <w:tcW w:w="93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single" w:sz="2" w:space="1" w:color="000000"/>
              </w:pBdr>
              <w:bidi w:val="0"/>
              <w:spacing w:before="0" w:after="0"/>
              <w:jc w:val="left"/>
              <w:rPr/>
            </w:pPr>
            <w:r>
              <w:rPr/>
              <w:t> </w:t>
            </w:r>
          </w:p>
        </w:tc>
        <w:tc>
          <w:tcPr>
            <w:tcW w:w="119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center"/>
          </w:tcPr>
          <w:p>
            <w:pPr>
              <w:pStyle w:val="TableContents"/>
              <w:pBdr>
                <w:top w:val="single" w:sz="2" w:space="1" w:color="000000"/>
              </w:pBdr>
              <w:bidi w:val="0"/>
              <w:spacing w:before="0" w:after="0"/>
              <w:jc w:val="left"/>
              <w:rPr/>
            </w:pPr>
            <w:r>
              <w:rPr/>
              <w:t> </w:t>
            </w:r>
          </w:p>
        </w:tc>
        <w:tc>
          <w:tcPr>
            <w:tcW w:w="57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center"/>
          </w:tcPr>
          <w:p>
            <w:pPr>
              <w:pStyle w:val="TableContents"/>
              <w:pBdr>
                <w:top w:val="single" w:sz="2" w:space="1" w:color="000000"/>
              </w:pBdr>
              <w:bidi w:val="0"/>
              <w:spacing w:before="0" w:after="0"/>
              <w:jc w:val="left"/>
              <w:rPr/>
            </w:pPr>
            <w:r>
              <w:rPr/>
              <w:t> </w:t>
            </w:r>
          </w:p>
        </w:tc>
        <w:tc>
          <w:tcPr>
            <w:tcW w:w="6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12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pBdr>
                <w:top w:val="single" w:sz="2" w:space="1" w:color="000000"/>
              </w:pBdr>
              <w:bidi w:val="0"/>
              <w:spacing w:before="0" w:after="0"/>
              <w:jc w:val="left"/>
              <w:rPr/>
            </w:pPr>
            <w:r>
              <w:rPr/>
              <w:t> </w:t>
            </w:r>
          </w:p>
        </w:tc>
        <w:tc>
          <w:tcPr>
            <w:tcW w:w="64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b/>
              </w:rPr>
            </w:pPr>
            <w:r>
              <w:rPr>
                <w:b/>
              </w:rPr>
              <w:t>$</w:t>
            </w:r>
          </w:p>
        </w:tc>
        <w:tc>
          <w:tcPr>
            <w:tcW w:w="1174" w:type="dxa"/>
            <w:tcBorders/>
            <w:vAlign w:val="center"/>
          </w:tcPr>
          <w:p>
            <w:pPr>
              <w:pStyle w:val="TableContents"/>
              <w:bidi w:val="0"/>
              <w:spacing w:before="0" w:after="283"/>
              <w:jc w:val="right"/>
              <w:rPr>
                <w:b/>
              </w:rPr>
            </w:pPr>
            <w:r>
              <w:rPr>
                <w:b/>
              </w:rPr>
              <w:t>70,755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b/>
              </w:rPr>
            </w:pPr>
            <w:r>
              <w:rPr>
                <w:b/>
              </w:rPr>
              <w:t>$</w:t>
            </w:r>
          </w:p>
        </w:tc>
        <w:tc>
          <w:tcPr>
            <w:tcW w:w="1012" w:type="dxa"/>
            <w:tcBorders/>
            <w:vAlign w:val="center"/>
          </w:tcPr>
          <w:p>
            <w:pPr>
              <w:pStyle w:val="TableContents"/>
              <w:bidi w:val="0"/>
              <w:spacing w:before="0" w:after="283"/>
              <w:jc w:val="right"/>
              <w:rPr>
                <w:b/>
              </w:rPr>
            </w:pPr>
            <w:r>
              <w:rPr>
                <w:b/>
              </w:rPr>
              <w:t>8,005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b/>
              </w:rPr>
            </w:pPr>
            <w:r>
              <w:rPr>
                <w:b/>
              </w:rPr>
              <w:t>$</w:t>
            </w:r>
          </w:p>
        </w:tc>
        <w:tc>
          <w:tcPr>
            <w:tcW w:w="9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b/>
              </w:rPr>
            </w:pPr>
            <w:r>
              <w:rPr>
                <w:b/>
              </w:rPr>
              <w:t>$</w:t>
            </w:r>
          </w:p>
        </w:tc>
        <w:tc>
          <w:tcPr>
            <w:tcW w:w="1194" w:type="dxa"/>
            <w:tcBorders/>
            <w:vAlign w:val="center"/>
          </w:tcPr>
          <w:p>
            <w:pPr>
              <w:pStyle w:val="TableContents"/>
              <w:bidi w:val="0"/>
              <w:spacing w:before="0" w:after="283"/>
              <w:jc w:val="right"/>
              <w:rPr>
                <w:b/>
              </w:rPr>
            </w:pPr>
            <w:r>
              <w:rPr>
                <w:b/>
              </w:rPr>
              <w:t>(17,783</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b/>
              </w:rPr>
            </w:pPr>
            <w:r>
              <w:rPr>
                <w:b/>
              </w:rPr>
              <w:t>$</w:t>
            </w:r>
          </w:p>
        </w:tc>
        <w:tc>
          <w:tcPr>
            <w:tcW w:w="5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b/>
              </w:rPr>
            </w:pPr>
            <w:r>
              <w:rPr>
                <w:b/>
              </w:rPr>
              <w:t>$</w:t>
            </w:r>
          </w:p>
        </w:tc>
        <w:tc>
          <w:tcPr>
            <w:tcW w:w="65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b/>
              </w:rPr>
            </w:pPr>
            <w:r>
              <w:rPr>
                <w:b/>
              </w:rPr>
              <w:t>$</w:t>
            </w:r>
          </w:p>
        </w:tc>
        <w:tc>
          <w:tcPr>
            <w:tcW w:w="1224" w:type="dxa"/>
            <w:tcBorders/>
            <w:vAlign w:val="center"/>
          </w:tcPr>
          <w:p>
            <w:pPr>
              <w:pStyle w:val="TableContents"/>
              <w:bidi w:val="0"/>
              <w:spacing w:before="0" w:after="283"/>
              <w:jc w:val="right"/>
              <w:rPr>
                <w:b/>
              </w:rPr>
            </w:pPr>
            <w:r>
              <w:rPr>
                <w:b/>
              </w:rPr>
              <w:t>60,977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b/>
              </w:rPr>
            </w:pPr>
            <w:r>
              <w:rPr>
                <w:b/>
              </w:rPr>
              <w:t>$</w:t>
            </w:r>
          </w:p>
        </w:tc>
        <w:tc>
          <w:tcPr>
            <w:tcW w:w="385" w:type="dxa"/>
            <w:tcBorders/>
            <w:vAlign w:val="center"/>
          </w:tcPr>
          <w:p>
            <w:pPr>
              <w:pStyle w:val="TableContents"/>
              <w:bidi w:val="0"/>
              <w:spacing w:before="0" w:after="283"/>
              <w:jc w:val="right"/>
              <w:rPr>
                <w:b/>
              </w:rPr>
            </w:pPr>
            <w:r>
              <w:rPr>
                <w:b/>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b/>
              </w:rPr>
            </w:pPr>
            <w:r>
              <w:rPr>
                <w:b/>
              </w:rPr>
              <w:t>$</w:t>
            </w:r>
          </w:p>
        </w:tc>
        <w:tc>
          <w:tcPr>
            <w:tcW w:w="640" w:type="dxa"/>
            <w:tcBorders/>
            <w:vAlign w:val="center"/>
          </w:tcPr>
          <w:p>
            <w:pPr>
              <w:pStyle w:val="TableContents"/>
              <w:bidi w:val="0"/>
              <w:spacing w:before="0" w:after="283"/>
              <w:jc w:val="right"/>
              <w:rPr>
                <w:b/>
              </w:rPr>
            </w:pPr>
            <w:r>
              <w:rPr>
                <w:b/>
              </w:rPr>
              <w:t>5,599</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pBdr>
                <w:top w:val="double" w:sz="6" w:space="1" w:color="000000"/>
              </w:pBdr>
              <w:bidi w:val="0"/>
              <w:spacing w:before="0" w:after="0"/>
              <w:jc w:val="left"/>
              <w:rPr/>
            </w:pPr>
            <w:r>
              <w:rPr/>
              <w:t> </w:t>
            </w:r>
          </w:p>
        </w:tc>
        <w:tc>
          <w:tcPr>
            <w:tcW w:w="117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center"/>
          </w:tcPr>
          <w:p>
            <w:pPr>
              <w:pStyle w:val="TableContents"/>
              <w:pBdr>
                <w:top w:val="double" w:sz="6" w:space="1" w:color="000000"/>
              </w:pBdr>
              <w:bidi w:val="0"/>
              <w:spacing w:before="0" w:after="0"/>
              <w:jc w:val="left"/>
              <w:rPr/>
            </w:pPr>
            <w:r>
              <w:rPr/>
              <w:t> </w:t>
            </w:r>
          </w:p>
        </w:tc>
        <w:tc>
          <w:tcPr>
            <w:tcW w:w="101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pBdr>
                <w:top w:val="double" w:sz="6" w:space="1" w:color="000000"/>
              </w:pBdr>
              <w:bidi w:val="0"/>
              <w:spacing w:before="0" w:after="0"/>
              <w:jc w:val="left"/>
              <w:rPr/>
            </w:pPr>
            <w:r>
              <w:rPr/>
              <w:t> </w:t>
            </w:r>
          </w:p>
        </w:tc>
        <w:tc>
          <w:tcPr>
            <w:tcW w:w="93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double" w:sz="6" w:space="1" w:color="000000"/>
              </w:pBdr>
              <w:bidi w:val="0"/>
              <w:spacing w:before="0" w:after="0"/>
              <w:jc w:val="left"/>
              <w:rPr/>
            </w:pPr>
            <w:r>
              <w:rPr/>
              <w:t> </w:t>
            </w:r>
          </w:p>
        </w:tc>
        <w:tc>
          <w:tcPr>
            <w:tcW w:w="1194"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center"/>
          </w:tcPr>
          <w:p>
            <w:pPr>
              <w:pStyle w:val="TableContents"/>
              <w:pBdr>
                <w:top w:val="double" w:sz="6" w:space="1" w:color="000000"/>
              </w:pBdr>
              <w:bidi w:val="0"/>
              <w:spacing w:before="0" w:after="0"/>
              <w:jc w:val="left"/>
              <w:rPr/>
            </w:pPr>
            <w:r>
              <w:rPr/>
              <w:t> </w:t>
            </w:r>
          </w:p>
        </w:tc>
        <w:tc>
          <w:tcPr>
            <w:tcW w:w="57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center"/>
          </w:tcPr>
          <w:p>
            <w:pPr>
              <w:pStyle w:val="TableContents"/>
              <w:pBdr>
                <w:top w:val="double" w:sz="6" w:space="1" w:color="000000"/>
              </w:pBdr>
              <w:bidi w:val="0"/>
              <w:spacing w:before="0" w:after="0"/>
              <w:jc w:val="left"/>
              <w:rPr/>
            </w:pPr>
            <w:r>
              <w:rPr/>
              <w:t> </w:t>
            </w:r>
          </w:p>
        </w:tc>
        <w:tc>
          <w:tcPr>
            <w:tcW w:w="65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double" w:sz="6" w:space="1" w:color="000000"/>
              </w:pBdr>
              <w:bidi w:val="0"/>
              <w:spacing w:before="0" w:after="0"/>
              <w:jc w:val="left"/>
              <w:rPr/>
            </w:pPr>
            <w:r>
              <w:rPr/>
              <w:t> </w:t>
            </w:r>
          </w:p>
        </w:tc>
        <w:tc>
          <w:tcPr>
            <w:tcW w:w="122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double" w:sz="6" w:space="1" w:color="000000"/>
              </w:pBdr>
              <w:bidi w:val="0"/>
              <w:spacing w:before="0" w:after="0"/>
              <w:jc w:val="left"/>
              <w:rPr/>
            </w:pPr>
            <w:r>
              <w:rPr/>
              <w:t> </w:t>
            </w:r>
          </w:p>
        </w:tc>
        <w:tc>
          <w:tcPr>
            <w:tcW w:w="385"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pBdr>
                <w:top w:val="double" w:sz="6" w:space="1" w:color="000000"/>
              </w:pBdr>
              <w:bidi w:val="0"/>
              <w:spacing w:before="0" w:after="0"/>
              <w:jc w:val="left"/>
              <w:rPr/>
            </w:pPr>
            <w:r>
              <w:rPr/>
              <w:t> </w:t>
            </w:r>
          </w:p>
        </w:tc>
        <w:tc>
          <w:tcPr>
            <w:tcW w:w="64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Gross additions include increases in the cost basis of investments resulting from new investments, payment-in-kind interest or dividends, the amortization of any unearned income or discounts on debt investments, as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(b)</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(7)</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September 30, 2023, the estimated cost basis of investments for U.S. federal tax purposes was $3,096,469, resulting in estimated gross unrealized gains and losses of $147,820 and $125,469,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(8)</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Financial Accounting Standards Board Accounting Standards Codification Topic 820, </w:t>
            </w:r>
            <w:r>
              <w:rPr>
                <w:rFonts w:ascii="Times New Roman" w:hAnsi="Times New Roman"/>
                <w:i/>
                <w:sz w:val="20"/>
              </w:rPr>
              <w:t>Fair Value Measurements</w:t>
            </w:r>
            <w:r>
              <w:rPr>
                <w:rFonts w:ascii="Times New Roman" w:hAnsi="Times New Roman"/>
                <w:sz w:val="20"/>
              </w:rPr>
              <w:t xml:space="preserve"> (“ASC Topic 820”), unless otherwise indicated, the fair values of all investments were determined using significant unobservable inputs and are considered Level 3 investments. See Note 6 for further information related to investments at fair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(9)</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investment is valued using observable inputs and is considered a Level 2 investment. See Note 6 for further information related to investments at fair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(10)</w:t>
            </w:r>
          </w:p>
        </w:tc>
        <w:tc>
          <w:tcPr>
            <w:tcW w:w="98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investment is valued using observable inputs and is considered a Level 1 investment. See Note 6 for further information related to investments at fair value. </w:t>
            </w:r>
          </w:p>
        </w:tc>
      </w:tr>
    </w:tbl>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425"/>
        <w:gridCol w:w="3515"/>
      </w:tblGrid>
      <w:tr>
        <w:trPr/>
        <w:tc>
          <w:tcPr>
            <w:tcW w:w="425" w:type="dxa"/>
            <w:tcBorders/>
            <w:vAlign w:val="center"/>
          </w:tcPr>
          <w:p>
            <w:pPr>
              <w:pStyle w:val="TableContents"/>
              <w:bidi w:val="0"/>
              <w:spacing w:before="0" w:after="283"/>
              <w:jc w:val="left"/>
              <w:rPr/>
            </w:pPr>
            <w:r>
              <w:rPr/>
              <w:t>(11)</w:t>
            </w:r>
          </w:p>
        </w:tc>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investment is non-income producing.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283"/>
              <w:jc w:val="left"/>
              <w:rPr/>
            </w:pPr>
            <w:r>
              <w:rPr/>
              <w:t>(12)</w:t>
            </w:r>
          </w:p>
        </w:tc>
        <w:tc>
          <w:tcPr>
            <w:tcW w:w="98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or a portion of this security was acquired in a transaction exempt from registration under the Securities Act of 1933, and may be deemed to be “restricted securities” under the Securities Act. As of September 30, 2023, the aggregate fair value of these securities is $6,346, or 0.4% of the Company’s net assets.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425"/>
        <w:gridCol w:w="7160"/>
      </w:tblGrid>
      <w:tr>
        <w:trPr/>
        <w:tc>
          <w:tcPr>
            <w:tcW w:w="425" w:type="dxa"/>
            <w:tcBorders/>
            <w:vAlign w:val="center"/>
          </w:tcPr>
          <w:p>
            <w:pPr>
              <w:pStyle w:val="TableContents"/>
              <w:bidi w:val="0"/>
              <w:spacing w:before="0" w:after="283"/>
              <w:jc w:val="left"/>
              <w:rPr/>
            </w:pPr>
            <w:r>
              <w:rPr/>
              <w:t>(13)</w:t>
            </w:r>
          </w:p>
        </w:tc>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Ownership of equity investments may occur through a holding company or partnership. </w:t>
            </w:r>
          </w:p>
        </w:tc>
      </w:tr>
    </w:tbl>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425"/>
        <w:gridCol w:w="5060"/>
      </w:tblGrid>
      <w:tr>
        <w:trPr/>
        <w:tc>
          <w:tcPr>
            <w:tcW w:w="425" w:type="dxa"/>
            <w:tcBorders/>
            <w:vAlign w:val="center"/>
          </w:tcPr>
          <w:p>
            <w:pPr>
              <w:pStyle w:val="TableContents"/>
              <w:bidi w:val="0"/>
              <w:spacing w:before="0" w:after="283"/>
              <w:jc w:val="left"/>
              <w:rPr/>
            </w:pPr>
            <w:r>
              <w:rPr/>
              <w:t>(14)</w:t>
            </w:r>
          </w:p>
        </w:tc>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Investment is on non-accrual status as of September 30,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63"/>
        <w:gridCol w:w="9842"/>
      </w:tblGrid>
      <w:tr>
        <w:trPr/>
        <w:tc>
          <w:tcPr>
            <w:tcW w:w="363" w:type="dxa"/>
            <w:tcBorders/>
            <w:vAlign w:val="center"/>
          </w:tcPr>
          <w:p>
            <w:pPr>
              <w:pStyle w:val="TableContents"/>
              <w:bidi w:val="0"/>
              <w:spacing w:before="0" w:after="283"/>
              <w:jc w:val="left"/>
              <w:rPr/>
            </w:pPr>
            <w:r>
              <w:rPr/>
              <w:t>(15)</w:t>
            </w:r>
          </w:p>
        </w:tc>
        <w:tc>
          <w:tcPr>
            <w:tcW w:w="98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the principal amount outstanding and accrued interest owed on this investment, the Company is entitled to a separate Make-Whole Amount (the “Make-Whole”) of $11.4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3" w:name="toc570824_11"/>
      <w:bookmarkEnd w:id="13"/>
      <w:r>
        <w:rPr>
          <w:rFonts w:ascii="Times New Roman" w:hAnsi="Times New Roman"/>
          <w:b/>
          <w:sz w:val="20"/>
        </w:rPr>
        <w:t xml:space="preserve">MANAGEMENT </w:t>
      </w:r>
    </w:p>
    <w:p>
      <w:pPr>
        <w:pStyle w:val="TextBody"/>
        <w:bidi w:val="0"/>
        <w:spacing w:before="240" w:after="0"/>
        <w:jc w:val="left"/>
        <w:rPr>
          <w:rFonts w:ascii="Times New Roman" w:hAnsi="Times New Roman"/>
          <w:sz w:val="20"/>
        </w:rPr>
      </w:pPr>
      <w:r>
        <w:rPr>
          <w:rFonts w:ascii="Times New Roman" w:hAnsi="Times New Roman"/>
          <w:sz w:val="20"/>
        </w:rPr>
        <w:t xml:space="preserve">Please refer to our most recent definitive proxy statement and in our 2022 Annual Report, as well as subsequent filings with the SEC, which are incorporated by reference herein, for information relating to the management of the Company and for information relating to the Adviser. </w:t>
      </w:r>
    </w:p>
    <w:p>
      <w:pPr>
        <w:pStyle w:val="TextBody"/>
        <w:bidi w:val="0"/>
        <w:spacing w:before="360" w:after="0"/>
        <w:jc w:val="left"/>
        <w:rPr>
          <w:rFonts w:ascii="Times New Roman" w:hAnsi="Times New Roman"/>
          <w:b/>
          <w:sz w:val="20"/>
        </w:rPr>
      </w:pPr>
      <w:r>
        <w:rPr>
          <w:rFonts w:ascii="Times New Roman" w:hAnsi="Times New Roman"/>
          <w:b/>
          <w:sz w:val="20"/>
        </w:rPr>
        <w:t xml:space="preserve">Portfolio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Adviser manages our day-to-day operations and provides us with investment advisory and management services and certain administrative services. We consider Joshua Easterly to be our portfolio manager who is primarily responsible for the day-to-day management of our portfolio. Please refer to our most recent definitive proxy statement, which is incorporated by reference herein, for the biographical information of the Company’s portfolio manager. </w:t>
      </w:r>
    </w:p>
    <w:p>
      <w:pPr>
        <w:pStyle w:val="TextBody"/>
        <w:bidi w:val="0"/>
        <w:spacing w:before="240" w:after="0"/>
        <w:jc w:val="left"/>
        <w:rPr>
          <w:rFonts w:ascii="Times New Roman" w:hAnsi="Times New Roman"/>
          <w:sz w:val="20"/>
        </w:rPr>
      </w:pPr>
      <w:r>
        <w:rPr>
          <w:rFonts w:ascii="Times New Roman" w:hAnsi="Times New Roman"/>
          <w:sz w:val="20"/>
        </w:rPr>
        <w:t xml:space="preserve">The Company’s portfolio manager does not receive any direct compensation from us for serving is such capacity.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shows the dollar range of shares of common stock beneficially owned by our portfolio manager as of December 20, 2023: </w:t>
      </w:r>
    </w:p>
    <w:p>
      <w:pPr>
        <w:pStyle w:val="TextBody"/>
        <w:bidi w:val="0"/>
        <w:spacing w:before="0" w:after="0"/>
        <w:jc w:val="left"/>
        <w:rPr/>
      </w:pPr>
      <w:r>
        <w:rPr/>
        <w:t> </w:t>
      </w:r>
    </w:p>
    <w:tbl>
      <w:tblPr>
        <w:tblW w:w="5020" w:type="dxa"/>
        <w:jc w:val="left"/>
        <w:tblInd w:w="0" w:type="dxa"/>
        <w:tblLayout w:type="fixed"/>
        <w:tblCellMar>
          <w:top w:w="0" w:type="dxa"/>
          <w:left w:w="0" w:type="dxa"/>
          <w:bottom w:w="0" w:type="dxa"/>
          <w:right w:w="0" w:type="dxa"/>
        </w:tblCellMar>
      </w:tblPr>
      <w:tblGrid>
        <w:gridCol w:w="2825"/>
        <w:gridCol w:w="120"/>
        <w:gridCol w:w="75"/>
        <w:gridCol w:w="1925"/>
        <w:gridCol w:w="75"/>
      </w:tblGrid>
      <w:tr>
        <w:trPr/>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left"/>
              <w:rPr>
                <w:b/>
              </w:rPr>
            </w:pPr>
            <w:r>
              <w:rPr>
                <w:b/>
              </w:rPr>
              <w:t>Name of Portfolio Manager</w:t>
            </w:r>
          </w:p>
        </w:tc>
        <w:tc>
          <w:tcPr>
            <w:tcW w:w="120" w:type="dxa"/>
            <w:tcBorders/>
            <w:vAlign w:val="center"/>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Dollar Range of</w:t>
              <w:br/>
              <w:t>Equity Securities in</w:t>
              <w:br/>
              <w:t>the Company</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Joshua Easterly</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right"/>
              <w:rPr/>
            </w:pPr>
            <w:r>
              <w:rPr/>
              <w:t>Over 1,000,000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Accounts Managed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Joshua Easterly managed, or was a member of the management team for, the following client accounts: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00"/>
        <w:gridCol w:w="60"/>
        <w:gridCol w:w="154"/>
        <w:gridCol w:w="976"/>
        <w:gridCol w:w="60"/>
        <w:gridCol w:w="60"/>
        <w:gridCol w:w="140"/>
        <w:gridCol w:w="1220"/>
        <w:gridCol w:w="60"/>
        <w:gridCol w:w="60"/>
        <w:gridCol w:w="240"/>
        <w:gridCol w:w="1520"/>
        <w:gridCol w:w="60"/>
        <w:gridCol w:w="60"/>
        <w:gridCol w:w="181"/>
        <w:gridCol w:w="1579"/>
        <w:gridCol w:w="75"/>
      </w:tblGrid>
      <w:tr>
        <w:trPr/>
        <w:tc>
          <w:tcPr>
            <w:tcW w:w="3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Accounts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Assets of</w:t>
              <w:br/>
              <w:t>Accounts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Accounts</w:t>
              <w:br/>
              <w:t>Subject to a</w:t>
              <w:br/>
              <w:t>Performance Fee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Assets</w:t>
              <w:br/>
              <w:t>Subject to a</w:t>
              <w:br/>
              <w:t>Performance Fee</w:t>
            </w:r>
          </w:p>
        </w:tc>
        <w:tc>
          <w:tcPr>
            <w:tcW w:w="75" w:type="dxa"/>
            <w:tcBorders/>
            <w:vAlign w:val="center"/>
          </w:tcPr>
          <w:p>
            <w:pPr>
              <w:pStyle w:val="TableContents"/>
              <w:bidi w:val="0"/>
              <w:spacing w:before="0" w:after="283"/>
              <w:jc w:val="left"/>
              <w:rPr/>
            </w:pPr>
            <w:r>
              <w:rPr/>
              <w:t> </w:t>
            </w:r>
          </w:p>
        </w:tc>
      </w:tr>
      <w:tr>
        <w:trPr/>
        <w:tc>
          <w:tcPr>
            <w:tcW w:w="3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Registered Investment Companies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Pooled Investment Vehicles Other Than Registered Investment Companies(1)</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123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64.47 billion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111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579" w:type="dxa"/>
            <w:tcBorders/>
            <w:vAlign w:val="center"/>
          </w:tcPr>
          <w:p>
            <w:pPr>
              <w:pStyle w:val="TableContents"/>
              <w:bidi w:val="0"/>
              <w:spacing w:before="0" w:after="283"/>
              <w:jc w:val="right"/>
              <w:rPr/>
            </w:pPr>
            <w:r>
              <w:rPr/>
              <w:t>61.93 billion</w:t>
            </w:r>
          </w:p>
        </w:tc>
        <w:tc>
          <w:tcPr>
            <w:tcW w:w="75" w:type="dxa"/>
            <w:tcBorders/>
            <w:vAlign w:val="center"/>
          </w:tcPr>
          <w:p>
            <w:pPr>
              <w:pStyle w:val="TableContents"/>
              <w:bidi w:val="0"/>
              <w:spacing w:before="0" w:after="283"/>
              <w:jc w:val="left"/>
              <w:rPr/>
            </w:pPr>
            <w:r>
              <w:rPr/>
              <w:t> </w:t>
            </w:r>
          </w:p>
        </w:tc>
      </w:tr>
      <w:tr>
        <w:trPr/>
        <w:tc>
          <w:tcPr>
            <w:tcW w:w="3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Accounts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3.79 billion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579" w:type="dxa"/>
            <w:tcBorders/>
            <w:shd w:fill="CCEEFF" w:val="clear"/>
            <w:vAlign w:val="center"/>
          </w:tcPr>
          <w:p>
            <w:pPr>
              <w:pStyle w:val="TableContents"/>
              <w:bidi w:val="0"/>
              <w:spacing w:before="0" w:after="283"/>
              <w:jc w:val="right"/>
              <w:rPr/>
            </w:pPr>
            <w:r>
              <w:rPr/>
              <w:t>2.82 billion</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(1)</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management investment companies that have elected to be regulated as business development companies under the 1940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4" w:name="toc570824_12"/>
      <w:bookmarkEnd w:id="14"/>
      <w:r>
        <w:rPr>
          <w:rFonts w:ascii="Times New Roman" w:hAnsi="Times New Roman"/>
          <w:b/>
          <w:sz w:val="20"/>
        </w:rPr>
        <w:t xml:space="preserve">DETERMINATION OF NET ASSET VALUE </w:t>
      </w:r>
    </w:p>
    <w:p>
      <w:pPr>
        <w:pStyle w:val="TextBody"/>
        <w:bidi w:val="0"/>
        <w:spacing w:before="240" w:after="0"/>
        <w:jc w:val="left"/>
        <w:rPr>
          <w:rFonts w:ascii="Times New Roman" w:hAnsi="Times New Roman"/>
          <w:sz w:val="20"/>
        </w:rPr>
      </w:pPr>
      <w:r>
        <w:rPr>
          <w:rFonts w:ascii="Times New Roman" w:hAnsi="Times New Roman"/>
          <w:sz w:val="20"/>
        </w:rPr>
        <w:t xml:space="preserve">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 Item 1 of our 2022 Annual Report incorporated by reference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Determinations in Connection with Offerings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 </w:t>
      </w:r>
    </w:p>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net asset value of our common stock disclosed in the most recent periodic report that we filed with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processes and procedures are part of our compliance policies and procedures. Records will be made contemporaneously with all determinations described in this section and these records will be maintained with other records that we are required to maintain under the 1940 Act. </w:t>
      </w:r>
    </w:p>
    <w:p>
      <w:pPr>
        <w:pStyle w:val="TextBody"/>
        <w:bidi w:val="0"/>
        <w:spacing w:before="480" w:after="0"/>
        <w:jc w:val="center"/>
        <w:rPr>
          <w:rFonts w:ascii="Times New Roman" w:hAnsi="Times New Roman"/>
          <w:b/>
          <w:sz w:val="20"/>
        </w:rPr>
      </w:pPr>
      <w:bookmarkStart w:id="15" w:name="toc570824_13"/>
      <w:bookmarkEnd w:id="15"/>
      <w:r>
        <w:rPr>
          <w:rFonts w:ascii="Times New Roman" w:hAnsi="Times New Roman"/>
          <w:b/>
          <w:sz w:val="20"/>
        </w:rPr>
        <w:t xml:space="preserve">SALES OF COMMON STOCK BELOW NET ASSET VALUE </w:t>
      </w:r>
    </w:p>
    <w:p>
      <w:pPr>
        <w:pStyle w:val="TextBody"/>
        <w:bidi w:val="0"/>
        <w:spacing w:before="120" w:after="0"/>
        <w:jc w:val="left"/>
        <w:rPr>
          <w:rFonts w:ascii="Times New Roman" w:hAnsi="Times New Roman"/>
          <w:sz w:val="20"/>
        </w:rPr>
      </w:pPr>
      <w:r>
        <w:rPr>
          <w:rFonts w:ascii="Times New Roman" w:hAnsi="Times New Roman"/>
          <w:sz w:val="20"/>
        </w:rPr>
        <w:t xml:space="preserve">Pursuant to approval granted at a special meeting of stockholders held on May 25, 2023, we are currently permitted to sell or otherwise issue shares of our common stock at a price below our then-current net asset value per share, subject to the approval of our Board and certain other conditions. Such stockholder approval expires on May 25, 2026. We intend to propose the extension of this approval in future years. </w:t>
      </w:r>
    </w:p>
    <w:p>
      <w:pPr>
        <w:pStyle w:val="TextBody"/>
        <w:bidi w:val="0"/>
        <w:spacing w:before="240" w:after="0"/>
        <w:jc w:val="left"/>
        <w:rPr>
          <w:rFonts w:ascii="Times New Roman" w:hAnsi="Times New Roman"/>
          <w:sz w:val="20"/>
        </w:rPr>
      </w:pPr>
      <w:r>
        <w:rPr>
          <w:rFonts w:ascii="Times New Roman" w:hAnsi="Times New Roman"/>
          <w:sz w:val="20"/>
        </w:rPr>
        <w:t xml:space="preserve">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“required majority” of our directors have determined that any such sale would be in the best interests of us and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prior to the issuance of such common stock, that the price at which such shares of common stock are to be sold is not less than a price which closely approximates the market value of those shares of common stock, less any distributing commission or discount;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to be issued does not exceed 25% of our then-outstanding common stock immediately prior to each such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There is no limit on the percentage below net asset value per share at which shares may be sold by us or the number of offerings, each for up to 25% of our then-outstanding common stock, that we may conduct under the approval for the one-year period that authorization is granted. </w:t>
      </w:r>
    </w:p>
    <w:p>
      <w:pPr>
        <w:pStyle w:val="TextBody"/>
        <w:bidi w:val="0"/>
        <w:spacing w:before="240" w:after="0"/>
        <w:jc w:val="left"/>
        <w:rPr>
          <w:rFonts w:ascii="Times New Roman" w:hAnsi="Times New Roman"/>
          <w:sz w:val="20"/>
        </w:rPr>
      </w:pPr>
      <w:r>
        <w:rPr>
          <w:rFonts w:ascii="Times New Roman" w:hAnsi="Times New Roman"/>
          <w:sz w:val="20"/>
        </w:rPr>
        <w:t xml:space="preserve">In making a determination that an offering of common stock at a price below its net asset value per share pursuant to the approval is in our and our stockholders’ best interests, our Board will consider a variety of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that an offering at a price below net asset value per share would have on our stockholders, including the potential dilution to the net asset value per share of our common stock our stockholders would experience as a result of the offering;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per share by which the offering price per share and the net proceeds per share are less than our most recently determined net asset value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relationship of recent market prices of our common stock to net asset value per share and the potential impact of the offering on the market price per share of our common stock; </w:t>
            </w:r>
          </w:p>
        </w:tc>
      </w:tr>
    </w:tbl>
    <w:p>
      <w:pPr>
        <w:pStyle w:val="TextBody"/>
        <w:bidi w:val="0"/>
        <w:spacing w:before="0" w:after="0"/>
        <w:jc w:val="left"/>
        <w:rPr/>
      </w:pPr>
      <w:r>
        <w:rPr/>
        <w:t> </w:t>
      </w:r>
    </w:p>
    <w:tbl>
      <w:tblPr>
        <w:tblW w:w="9445" w:type="dxa"/>
        <w:jc w:val="left"/>
        <w:tblInd w:w="0" w:type="dxa"/>
        <w:tblLayout w:type="fixed"/>
        <w:tblCellMar>
          <w:top w:w="0" w:type="dxa"/>
          <w:left w:w="0" w:type="dxa"/>
          <w:bottom w:w="0" w:type="dxa"/>
          <w:right w:w="0" w:type="dxa"/>
        </w:tblCellMar>
      </w:tblPr>
      <w:tblGrid>
        <w:gridCol w:w="75"/>
        <w:gridCol w:w="110"/>
        <w:gridCol w:w="60"/>
        <w:gridCol w:w="9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estimated offering price would closely approximate the market value of shares of our common stock; </w:t>
            </w:r>
          </w:p>
        </w:tc>
      </w:tr>
    </w:tbl>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5"/>
        <w:gridCol w:w="110"/>
        <w:gridCol w:w="60"/>
        <w:gridCol w:w="8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market impact of being able to raise capital during the current financial market difficulties;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nature of any new investors anticipated to acquire shares of our common stock in the offering; </w:t>
            </w:r>
          </w:p>
        </w:tc>
      </w:tr>
    </w:tbl>
    <w:p>
      <w:pPr>
        <w:pStyle w:val="TextBody"/>
        <w:bidi w:val="0"/>
        <w:spacing w:before="0" w:after="0"/>
        <w:jc w:val="left"/>
        <w:rPr/>
      </w:pPr>
      <w:r>
        <w:rPr/>
        <w:t> </w:t>
      </w:r>
    </w:p>
    <w:tbl>
      <w:tblPr>
        <w:tblW w:w="7270" w:type="dxa"/>
        <w:jc w:val="left"/>
        <w:tblInd w:w="0" w:type="dxa"/>
        <w:tblLayout w:type="fixed"/>
        <w:tblCellMar>
          <w:top w:w="0" w:type="dxa"/>
          <w:left w:w="0" w:type="dxa"/>
          <w:bottom w:w="0" w:type="dxa"/>
          <w:right w:w="0" w:type="dxa"/>
        </w:tblCellMar>
      </w:tblPr>
      <w:tblGrid>
        <w:gridCol w:w="75"/>
        <w:gridCol w:w="110"/>
        <w:gridCol w:w="60"/>
        <w:gridCol w:w="7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rate of return on and quality, type and availability of investments; and </w:t>
            </w:r>
          </w:p>
        </w:tc>
      </w:tr>
    </w:tbl>
    <w:p>
      <w:pPr>
        <w:pStyle w:val="TextBody"/>
        <w:bidi w:val="0"/>
        <w:spacing w:before="0" w:after="0"/>
        <w:jc w:val="left"/>
        <w:rPr/>
      </w:pPr>
      <w:r>
        <w:rPr/>
        <w:t> </w:t>
      </w:r>
    </w:p>
    <w:tbl>
      <w:tblPr>
        <w:tblW w:w="2590" w:type="dxa"/>
        <w:jc w:val="left"/>
        <w:tblInd w:w="0" w:type="dxa"/>
        <w:tblLayout w:type="fixed"/>
        <w:tblCellMar>
          <w:top w:w="0" w:type="dxa"/>
          <w:left w:w="0" w:type="dxa"/>
          <w:bottom w:w="0" w:type="dxa"/>
          <w:right w:w="0" w:type="dxa"/>
        </w:tblCellMar>
      </w:tblPr>
      <w:tblGrid>
        <w:gridCol w:w="75"/>
        <w:gridCol w:w="110"/>
        <w:gridCol w:w="60"/>
        <w:gridCol w:w="2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leverage available to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 </w:t>
      </w:r>
    </w:p>
    <w:p>
      <w:pPr>
        <w:pStyle w:val="TextBody"/>
        <w:bidi w:val="0"/>
        <w:spacing w:before="240" w:after="0"/>
        <w:jc w:val="left"/>
        <w:rPr>
          <w:rFonts w:ascii="Times New Roman" w:hAnsi="Times New Roman"/>
          <w:sz w:val="20"/>
        </w:rPr>
      </w:pPr>
      <w:r>
        <w:rPr>
          <w:rFonts w:ascii="Times New Roman" w:hAnsi="Times New Roman"/>
          <w:sz w:val="20"/>
        </w:rPr>
        <w:t xml:space="preserve">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11.07 million shares of common stock at net proceeds to us of $8.50 per share, which would produce dilution of 6.67%, before we would reach the aggregate 15% limit. </w:t>
      </w:r>
    </w:p>
    <w:p>
      <w:pPr>
        <w:pStyle w:val="TextBody"/>
        <w:bidi w:val="0"/>
        <w:spacing w:before="240" w:after="0"/>
        <w:jc w:val="left"/>
        <w:rPr>
          <w:rFonts w:ascii="Times New Roman" w:hAnsi="Times New Roman"/>
          <w:sz w:val="20"/>
        </w:rPr>
      </w:pPr>
      <w:r>
        <w:rPr>
          <w:rFonts w:ascii="Times New Roman" w:hAnsi="Times New Roman"/>
          <w:sz w:val="20"/>
        </w:rPr>
        <w:t xml:space="preserve">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Examples of Dilutive Effect of the Issuance of Shares Below net asset value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two headings and accompanying tables explain and provide hypothetical examples on the impact of a public offering of the Company’s common stock at a price less than net asset value on two different types of investors: </w:t>
      </w:r>
    </w:p>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existing stockholders who do not purchase any shares in the offering;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existing stockholders who purchase a relatively small amount of shares in the offering or a relatively large amount of shares in the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placement of common stock at a price less than net asset value to a third party in a private placement would have an impact substantially similar to the impact on existing stockholders who do not purchase any shares in the public offering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Impact on Existing Stockholders Who Do Not Participate in the Offering </w:t>
      </w:r>
    </w:p>
    <w:p>
      <w:pPr>
        <w:pStyle w:val="TextBody"/>
        <w:bidi w:val="0"/>
        <w:spacing w:before="120" w:after="0"/>
        <w:jc w:val="left"/>
        <w:rPr>
          <w:rFonts w:ascii="Times New Roman" w:hAnsi="Times New Roman"/>
          <w:sz w:val="20"/>
        </w:rPr>
      </w:pPr>
      <w:r>
        <w:rPr>
          <w:rFonts w:ascii="Times New Roman" w:hAnsi="Times New Roman"/>
          <w:sz w:val="20"/>
        </w:rPr>
        <w:t xml:space="preserve">Our existing stockholders who do not participate in an offering below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its assets, potential earning power and voting interests due to the offering. These stockholders may also experience a decline in the market price of their shares, which often reflects to some degree announced or potential increases and decreases in net asset value. This decrease could be more pronounced as the size of the offering and level of discounts increase. There is no maximum level of discount from net asset value at which we may sell shares pursuant to this authority.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 </w:t>
      </w:r>
    </w:p>
    <w:p>
      <w:pPr>
        <w:pStyle w:val="TextBody"/>
        <w:bidi w:val="0"/>
        <w:spacing w:before="240" w:after="0"/>
        <w:jc w:val="left"/>
        <w:rPr>
          <w:rFonts w:ascii="Times New Roman" w:hAnsi="Times New Roman"/>
          <w:sz w:val="20"/>
        </w:rPr>
      </w:pPr>
      <w:r>
        <w:rPr>
          <w:rFonts w:ascii="Times New Roman" w:hAnsi="Times New Roman"/>
          <w:sz w:val="20"/>
        </w:rPr>
        <w:t xml:space="preserve">The examples below assume that the issuer has 81.4 million shares outstanding, $2.8 billion in total assets and $1.5 billion in total liabilities (all figures correspond to actual data for us as of December 31, 2022). The net asset value and net asset value per share are thus $1.3 billion and $16.48 per share as of December 31, 2022. The chart illustrates the dilutive effect on Stockholder A of (a) an offering of 4.1 million shares of common stock (5% of the outstanding shares) at $15.66 per share after offering expenses and commissions (a 5% discount from net asset value per share), (b) an offering of 8.1 million shares of common stock (10% of the outstanding shares) at $14.83 per share after offering expenses and commissions (a 10% discount from net asset value per share), (c) an offering of 16.3 million shares of common stock (20% of the outstanding shares) at $13.18 per share after offering expenses and commissions (a 20% discount from net asset value per share), and (d) an offering of 20.3 million shares of common stock (25% of the outstanding shares) at $12.36 per share after offering expenses and commissions (a 25% discount from net asset value per share). The prospectus pursuant to which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discounted offering is made will include a chart based on the actual number of shares of common stock in such offering and the actual discount to the most recently determined net asset value. It is not possible to predict the level of market price decline that may occur. </w:t>
      </w:r>
    </w:p>
    <w:p>
      <w:pPr>
        <w:pStyle w:val="TextBody"/>
        <w:bidi w:val="0"/>
        <w:spacing w:before="0" w:after="0"/>
        <w:jc w:val="left"/>
        <w:rPr/>
      </w:pPr>
      <w:r>
        <w:rPr/>
        <w:t> </w:t>
      </w:r>
    </w:p>
    <w:tbl>
      <w:tblPr>
        <w:tblW w:w="13890" w:type="dxa"/>
        <w:jc w:val="left"/>
        <w:tblInd w:w="0" w:type="dxa"/>
        <w:tblLayout w:type="fixed"/>
        <w:tblCellMar>
          <w:top w:w="0" w:type="dxa"/>
          <w:left w:w="0" w:type="dxa"/>
          <w:bottom w:w="0" w:type="dxa"/>
          <w:right w:w="0" w:type="dxa"/>
        </w:tblCellMar>
      </w:tblPr>
      <w:tblGrid>
        <w:gridCol w:w="1280"/>
        <w:gridCol w:w="60"/>
        <w:gridCol w:w="140"/>
        <w:gridCol w:w="1100"/>
        <w:gridCol w:w="275"/>
        <w:gridCol w:w="60"/>
        <w:gridCol w:w="140"/>
        <w:gridCol w:w="1100"/>
        <w:gridCol w:w="275"/>
        <w:gridCol w:w="60"/>
        <w:gridCol w:w="85"/>
        <w:gridCol w:w="730"/>
        <w:gridCol w:w="275"/>
        <w:gridCol w:w="60"/>
        <w:gridCol w:w="140"/>
        <w:gridCol w:w="1100"/>
        <w:gridCol w:w="275"/>
        <w:gridCol w:w="60"/>
        <w:gridCol w:w="85"/>
        <w:gridCol w:w="730"/>
        <w:gridCol w:w="275"/>
        <w:gridCol w:w="60"/>
        <w:gridCol w:w="140"/>
        <w:gridCol w:w="1100"/>
        <w:gridCol w:w="275"/>
        <w:gridCol w:w="60"/>
        <w:gridCol w:w="70"/>
        <w:gridCol w:w="745"/>
        <w:gridCol w:w="275"/>
        <w:gridCol w:w="60"/>
        <w:gridCol w:w="140"/>
        <w:gridCol w:w="1220"/>
        <w:gridCol w:w="275"/>
        <w:gridCol w:w="60"/>
        <w:gridCol w:w="70"/>
        <w:gridCol w:w="745"/>
        <w:gridCol w:w="290"/>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4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Prior to</w:t>
              <w:br/>
              <w:t>Sale Below</w:t>
              <w:br/>
              <w:t>net asset</w:t>
              <w:br/>
              <w:t>value</w:t>
            </w:r>
          </w:p>
        </w:tc>
        <w:tc>
          <w:tcPr>
            <w:tcW w:w="27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4</w:t>
            </w:r>
          </w:p>
        </w:tc>
        <w:tc>
          <w:tcPr>
            <w:tcW w:w="29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240" w:type="dxa"/>
            <w:gridSpan w:val="2"/>
            <w:vMerge w:val="continue"/>
            <w:tcBorders>
              <w:bottom w:val="single" w:sz="8" w:space="0" w:color="000000"/>
            </w:tcBorders>
            <w:tcMar>
              <w:bottom w:w="28" w:type="dxa"/>
            </w:tcMar>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5% Offering at</w:t>
              <w:br/>
              <w:t>5%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10% Offering at</w:t>
              <w:br/>
              <w:t>10%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 Offering at</w:t>
              <w:br/>
              <w:t>20%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25% Offering at</w:t>
              <w:br/>
              <w:t>25% Discount</w:t>
            </w:r>
          </w:p>
        </w:tc>
        <w:tc>
          <w:tcPr>
            <w:tcW w:w="29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240" w:type="dxa"/>
            <w:gridSpan w:val="2"/>
            <w:vMerge w:val="continue"/>
            <w:tcBorders>
              <w:bottom w:val="single" w:sz="8" w:space="0" w:color="000000"/>
            </w:tcBorders>
            <w:tcMar>
              <w:bottom w:w="28" w:type="dxa"/>
            </w:tcMar>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Price per Share to Public</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15.61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13.88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13.01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8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Proceeds per Share to Issuer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15.66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14.83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12.36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Decrease/Increase to Net Asset Value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8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Shares Offered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4,069,464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8,138,929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16,277,857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20,347,322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 Shares Outstanding</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81,389,287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85,458,751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89,528,216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97,667,144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101,736,609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8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Asset Value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16.48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(0.22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15.93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(3.32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15.66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(4.98</w:t>
            </w:r>
          </w:p>
        </w:tc>
        <w:tc>
          <w:tcPr>
            <w:tcW w:w="29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Dilution to Nonparticipating Stockholder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8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Shares Held by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81,389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81,389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81,389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81,389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81,389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0.00</w:t>
            </w:r>
          </w:p>
        </w:tc>
        <w:tc>
          <w:tcPr>
            <w:tcW w:w="29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Percentage Held by Stockholder A</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(4.76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(9.09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(16.67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0.08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(20.00</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Total Net Asset Value Held by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1,341,570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1,338,359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1,329,347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1,296,810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(3.34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1,274,446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(5.00</w:t>
            </w:r>
          </w:p>
        </w:tc>
        <w:tc>
          <w:tcPr>
            <w:tcW w:w="29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 Investment by Stockholder A (Assumed to be $16.48 per Share)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1,341,570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1,341,570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1,341,570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1,341,570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1,341,570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8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Total Dilution to Stockholder A (Total Net Asset Value Less Total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(3,211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(12,223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(44,760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(67,124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Investment per Share Held by Stockholder A (Assumed to be $16.48 per Share on Shares Held Prior to Sale)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16.48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0.00</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Asset Value per Share Held by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15.93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15.66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Dilution per Share Held by Stockholder A (Net Asset Value per Share Less Investment per Share)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(0.55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(0.82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8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Percentage Dilution to Stockholder A (Dilution per Share Divided by Investment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(0.22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(3.32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(4.98</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Impact on Existing Stockholders Who Do Participate in the Offering </w:t>
      </w:r>
    </w:p>
    <w:p>
      <w:pPr>
        <w:pStyle w:val="TextBody"/>
        <w:bidi w:val="0"/>
        <w:spacing w:before="120" w:after="0"/>
        <w:jc w:val="left"/>
        <w:rPr>
          <w:rFonts w:ascii="Times New Roman" w:hAnsi="Times New Roman"/>
          <w:sz w:val="20"/>
        </w:rPr>
      </w:pPr>
      <w:r>
        <w:rPr>
          <w:rFonts w:ascii="Times New Roman" w:hAnsi="Times New Roman"/>
          <w:sz w:val="20"/>
        </w:rPr>
        <w:t xml:space="preserve">Our existing stockholders who participate in an offering below net asset value or who buy additional shares in the secondary market at the same or lower price as we obtain in the offering (after expenses and commissions) 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at which the Company may sell shares pursuant to this authority.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chart illustrates the level of dilution and accretion in the hypothetical 20% discount offering from the prior chart (Example 3) for a stockholder that acquires shares equal to (a) 50% of its proportionate share of the offering (i.e., 0.05% of an offering of 16.3 million shares) rather than its 0.10% proportionate share and (b) 150% of such percentage (i.e., 0.15% of an offering of 16.3 million shares) rather than its 0.10% proportionate share. The prospectus pursuant to which any discounted offering is made will include a chart for these examples based on the actual number of shares in such offering and the actual discount from the most recently determined net asset value. It is not possible to predict the level of market price decline that may occur. These examples are provided for illustrative purposes only.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54"/>
        <w:gridCol w:w="120"/>
        <w:gridCol w:w="141"/>
        <w:gridCol w:w="1111"/>
        <w:gridCol w:w="275"/>
        <w:gridCol w:w="60"/>
        <w:gridCol w:w="140"/>
        <w:gridCol w:w="1100"/>
        <w:gridCol w:w="275"/>
        <w:gridCol w:w="60"/>
        <w:gridCol w:w="78"/>
        <w:gridCol w:w="737"/>
        <w:gridCol w:w="293"/>
        <w:gridCol w:w="60"/>
        <w:gridCol w:w="140"/>
        <w:gridCol w:w="1100"/>
        <w:gridCol w:w="275"/>
        <w:gridCol w:w="60"/>
        <w:gridCol w:w="78"/>
        <w:gridCol w:w="737"/>
        <w:gridCol w:w="311"/>
      </w:tblGrid>
      <w:tr>
        <w:trPr/>
        <w:tc>
          <w:tcPr>
            <w:tcW w:w="30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054"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252"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Prior to Sale</w:t>
              <w:br/>
              <w:t>Below net</w:t>
              <w:br/>
              <w:t>asset value</w:t>
            </w:r>
          </w:p>
        </w:tc>
        <w:tc>
          <w:tcPr>
            <w:tcW w:w="27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50% Participation</w:t>
            </w:r>
          </w:p>
        </w:tc>
        <w:tc>
          <w:tcPr>
            <w:tcW w:w="2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150% Participation</w:t>
            </w:r>
          </w:p>
        </w:tc>
        <w:tc>
          <w:tcPr>
            <w:tcW w:w="311" w:type="dxa"/>
            <w:tcBorders/>
            <w:vAlign w:val="center"/>
          </w:tcPr>
          <w:p>
            <w:pPr>
              <w:pStyle w:val="TableContents"/>
              <w:bidi w:val="0"/>
              <w:spacing w:before="0" w:after="283"/>
              <w:jc w:val="left"/>
              <w:rPr/>
            </w:pPr>
            <w:r>
              <w:rPr/>
              <w:t> </w:t>
            </w:r>
          </w:p>
        </w:tc>
      </w:tr>
      <w:tr>
        <w:trPr/>
        <w:tc>
          <w:tcPr>
            <w:tcW w:w="3054"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252" w:type="dxa"/>
            <w:gridSpan w:val="2"/>
            <w:vMerge w:val="continue"/>
            <w:tcBorders>
              <w:bottom w:val="single" w:sz="8" w:space="0" w:color="000000"/>
            </w:tcBorders>
            <w:tcMar>
              <w:bottom w:w="28" w:type="dxa"/>
            </w:tcMar>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311" w:type="dxa"/>
            <w:tcBorders/>
            <w:vAlign w:val="center"/>
          </w:tcPr>
          <w:p>
            <w:pPr>
              <w:pStyle w:val="TableContents"/>
              <w:bidi w:val="0"/>
              <w:spacing w:before="0" w:after="283"/>
              <w:jc w:val="left"/>
              <w:rPr/>
            </w:pPr>
            <w:r>
              <w:rPr/>
              <w:t> </w:t>
            </w:r>
          </w:p>
        </w:tc>
      </w:tr>
      <w:tr>
        <w:trPr/>
        <w:tc>
          <w:tcPr>
            <w:tcW w:w="305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Offering Price</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11" w:type="dxa"/>
            <w:tcBorders/>
            <w:shd w:fill="CCEEFF" w:val="clear"/>
            <w:vAlign w:val="center"/>
          </w:tcPr>
          <w:p>
            <w:pPr>
              <w:pStyle w:val="TableContents"/>
              <w:bidi w:val="0"/>
              <w:spacing w:before="0" w:after="283"/>
              <w:jc w:val="left"/>
              <w:rPr>
                <w:sz w:val="4"/>
                <w:szCs w:val="4"/>
              </w:rPr>
            </w:pPr>
            <w:r>
              <w:rPr>
                <w:sz w:val="4"/>
                <w:szCs w:val="4"/>
              </w:rPr>
            </w:r>
          </w:p>
        </w:tc>
      </w:tr>
      <w:tr>
        <w:trPr/>
        <w:tc>
          <w:tcPr>
            <w:tcW w:w="30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Price per Share to Public</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13.88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13.88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0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Proceeds per Share to Issuer</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11" w:type="dxa"/>
            <w:tcBorders/>
            <w:shd w:fill="CCEEFF" w:val="clear"/>
            <w:vAlign w:val="center"/>
          </w:tcPr>
          <w:p>
            <w:pPr>
              <w:pStyle w:val="TableContents"/>
              <w:bidi w:val="0"/>
              <w:spacing w:before="0" w:after="283"/>
              <w:jc w:val="left"/>
              <w:rPr>
                <w:sz w:val="4"/>
                <w:szCs w:val="4"/>
              </w:rPr>
            </w:pPr>
            <w:r>
              <w:rPr>
                <w:sz w:val="4"/>
                <w:szCs w:val="4"/>
              </w:rPr>
            </w:r>
          </w:p>
        </w:tc>
      </w:tr>
      <w:tr>
        <w:trPr/>
        <w:tc>
          <w:tcPr>
            <w:tcW w:w="3054"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Decrease/Increase to Net Asset Value</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0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Offered</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15,154,308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15,154,308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11" w:type="dxa"/>
            <w:tcBorders/>
            <w:shd w:fill="CCEEFF" w:val="clear"/>
            <w:vAlign w:val="center"/>
          </w:tcPr>
          <w:p>
            <w:pPr>
              <w:pStyle w:val="TableContents"/>
              <w:bidi w:val="0"/>
              <w:spacing w:before="0" w:after="283"/>
              <w:jc w:val="left"/>
              <w:rPr>
                <w:sz w:val="4"/>
                <w:szCs w:val="4"/>
              </w:rPr>
            </w:pPr>
            <w:r>
              <w:rPr>
                <w:sz w:val="4"/>
                <w:szCs w:val="4"/>
              </w:rPr>
            </w:r>
          </w:p>
        </w:tc>
      </w:tr>
      <w:tr>
        <w:trPr/>
        <w:tc>
          <w:tcPr>
            <w:tcW w:w="30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Shares Outstanding</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81,389,287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97,667,144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20.00</w:t>
            </w:r>
          </w:p>
        </w:tc>
        <w:tc>
          <w:tcPr>
            <w:tcW w:w="2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97,667,144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20.00</w:t>
            </w:r>
          </w:p>
        </w:tc>
        <w:tc>
          <w:tcPr>
            <w:tcW w:w="311" w:type="dxa"/>
            <w:tcBorders/>
            <w:vAlign w:val="center"/>
          </w:tcPr>
          <w:p>
            <w:pPr>
              <w:pStyle w:val="TableContents"/>
              <w:bidi w:val="0"/>
              <w:spacing w:before="0" w:after="283"/>
              <w:jc w:val="left"/>
              <w:rPr/>
            </w:pPr>
            <w:r>
              <w:rPr/>
              <w:t>% </w:t>
            </w:r>
          </w:p>
        </w:tc>
      </w:tr>
      <w:tr>
        <w:trPr/>
        <w:tc>
          <w:tcPr>
            <w:tcW w:w="30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Asset Value per Share</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16.48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15.93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(3.32</w:t>
            </w:r>
          </w:p>
        </w:tc>
        <w:tc>
          <w:tcPr>
            <w:tcW w:w="2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15.93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(3.32</w:t>
            </w:r>
          </w:p>
        </w:tc>
        <w:tc>
          <w:tcPr>
            <w:tcW w:w="311" w:type="dxa"/>
            <w:tcBorders/>
            <w:shd w:fill="CCEEFF" w:val="clear"/>
            <w:vAlign w:val="center"/>
          </w:tcPr>
          <w:p>
            <w:pPr>
              <w:pStyle w:val="TableContents"/>
              <w:bidi w:val="0"/>
              <w:spacing w:before="0" w:after="283"/>
              <w:jc w:val="left"/>
              <w:rPr/>
            </w:pPr>
            <w:r>
              <w:rPr/>
              <w:t>)% </w:t>
            </w:r>
          </w:p>
        </w:tc>
      </w:tr>
      <w:tr>
        <w:trPr/>
        <w:tc>
          <w:tcPr>
            <w:tcW w:w="3054"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Dilution/Accretion to Participating Stockholder Shares Held by Stockholder A</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0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Held by Stockholder A</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81,389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89,528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10.00</w:t>
            </w:r>
          </w:p>
        </w:tc>
        <w:tc>
          <w:tcPr>
            <w:tcW w:w="2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105,806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30.00</w:t>
            </w:r>
          </w:p>
        </w:tc>
        <w:tc>
          <w:tcPr>
            <w:tcW w:w="311" w:type="dxa"/>
            <w:tcBorders/>
            <w:shd w:fill="CCEEFF" w:val="clear"/>
            <w:vAlign w:val="center"/>
          </w:tcPr>
          <w:p>
            <w:pPr>
              <w:pStyle w:val="TableContents"/>
              <w:bidi w:val="0"/>
              <w:spacing w:before="0" w:after="283"/>
              <w:jc w:val="left"/>
              <w:rPr/>
            </w:pPr>
            <w:r>
              <w:rPr/>
              <w:t>% </w:t>
            </w:r>
          </w:p>
        </w:tc>
      </w:tr>
      <w:tr>
        <w:trPr/>
        <w:tc>
          <w:tcPr>
            <w:tcW w:w="30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Percentage Held by Stockholder A</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0.10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(8.33</w:t>
            </w:r>
          </w:p>
        </w:tc>
        <w:tc>
          <w:tcPr>
            <w:tcW w:w="2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8.33</w:t>
            </w:r>
          </w:p>
        </w:tc>
        <w:tc>
          <w:tcPr>
            <w:tcW w:w="311" w:type="dxa"/>
            <w:tcBorders/>
            <w:vAlign w:val="center"/>
          </w:tcPr>
          <w:p>
            <w:pPr>
              <w:pStyle w:val="TableContents"/>
              <w:bidi w:val="0"/>
              <w:spacing w:before="0" w:after="283"/>
              <w:jc w:val="left"/>
              <w:rPr/>
            </w:pPr>
            <w:r>
              <w:rPr/>
              <w:t>% </w:t>
            </w:r>
          </w:p>
        </w:tc>
      </w:tr>
      <w:tr>
        <w:trPr/>
        <w:tc>
          <w:tcPr>
            <w:tcW w:w="30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Net Asset Value Held by Stockholder A</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1,341,570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1,426,491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6.33</w:t>
            </w:r>
          </w:p>
        </w:tc>
        <w:tc>
          <w:tcPr>
            <w:tcW w:w="2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1,685,854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25.66</w:t>
            </w:r>
          </w:p>
        </w:tc>
        <w:tc>
          <w:tcPr>
            <w:tcW w:w="311" w:type="dxa"/>
            <w:tcBorders/>
            <w:shd w:fill="CCEEFF" w:val="clear"/>
            <w:vAlign w:val="center"/>
          </w:tcPr>
          <w:p>
            <w:pPr>
              <w:pStyle w:val="TableContents"/>
              <w:bidi w:val="0"/>
              <w:spacing w:before="0" w:after="283"/>
              <w:jc w:val="left"/>
              <w:rPr/>
            </w:pPr>
            <w:r>
              <w:rPr/>
              <w:t>% </w:t>
            </w:r>
          </w:p>
        </w:tc>
      </w:tr>
      <w:tr>
        <w:trPr/>
        <w:tc>
          <w:tcPr>
            <w:tcW w:w="30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Investment by Stockholder A (Assumed to be $16.48 per Share on Shares Held Prior to Sale)</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111" w:type="dxa"/>
            <w:tcBorders/>
            <w:vAlign w:val="center"/>
          </w:tcPr>
          <w:p>
            <w:pPr>
              <w:pStyle w:val="TableContents"/>
              <w:bidi w:val="0"/>
              <w:spacing w:before="0" w:after="283"/>
              <w:jc w:val="right"/>
              <w:rPr/>
            </w:pPr>
            <w:r>
              <w:rPr/>
              <w:t>1,341,570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1,454,521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1,680,423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0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Dilution/Accretion to Stockholder A (Total Net Asset Value Less Total Investment)</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(28,030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5,431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11" w:type="dxa"/>
            <w:tcBorders/>
            <w:shd w:fill="CCEEFF" w:val="clear"/>
            <w:vAlign w:val="center"/>
          </w:tcPr>
          <w:p>
            <w:pPr>
              <w:pStyle w:val="TableContents"/>
              <w:bidi w:val="0"/>
              <w:spacing w:before="0" w:after="283"/>
              <w:jc w:val="left"/>
              <w:rPr>
                <w:sz w:val="4"/>
                <w:szCs w:val="4"/>
              </w:rPr>
            </w:pPr>
            <w:r>
              <w:rPr>
                <w:sz w:val="4"/>
                <w:szCs w:val="4"/>
              </w:rPr>
            </w:r>
          </w:p>
        </w:tc>
      </w:tr>
      <w:tr>
        <w:trPr/>
        <w:tc>
          <w:tcPr>
            <w:tcW w:w="30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 per Share Held by Stockholder A (Assumed to be $16.48 per Share on Shares Held Prior to Sale)</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111" w:type="dxa"/>
            <w:tcBorders/>
            <w:vAlign w:val="center"/>
          </w:tcPr>
          <w:p>
            <w:pPr>
              <w:pStyle w:val="TableContents"/>
              <w:bidi w:val="0"/>
              <w:spacing w:before="0" w:after="283"/>
              <w:jc w:val="right"/>
              <w:rPr/>
            </w:pPr>
            <w:r>
              <w:rPr/>
              <w:t>16.48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(1.42</w:t>
            </w:r>
          </w:p>
        </w:tc>
        <w:tc>
          <w:tcPr>
            <w:tcW w:w="2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15.88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(3.63</w:t>
            </w:r>
          </w:p>
        </w:tc>
        <w:tc>
          <w:tcPr>
            <w:tcW w:w="311" w:type="dxa"/>
            <w:tcBorders/>
            <w:vAlign w:val="center"/>
          </w:tcPr>
          <w:p>
            <w:pPr>
              <w:pStyle w:val="TableContents"/>
              <w:bidi w:val="0"/>
              <w:spacing w:before="0" w:after="283"/>
              <w:jc w:val="left"/>
              <w:rPr/>
            </w:pPr>
            <w:r>
              <w:rPr/>
              <w:t>)% </w:t>
            </w:r>
          </w:p>
        </w:tc>
      </w:tr>
      <w:tr>
        <w:trPr/>
        <w:tc>
          <w:tcPr>
            <w:tcW w:w="30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Asset Value per Share Held by Stockholder A</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15.93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15.93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11" w:type="dxa"/>
            <w:tcBorders/>
            <w:shd w:fill="CCEEFF" w:val="clear"/>
            <w:vAlign w:val="center"/>
          </w:tcPr>
          <w:p>
            <w:pPr>
              <w:pStyle w:val="TableContents"/>
              <w:bidi w:val="0"/>
              <w:spacing w:before="0" w:after="283"/>
              <w:jc w:val="left"/>
              <w:rPr>
                <w:sz w:val="4"/>
                <w:szCs w:val="4"/>
              </w:rPr>
            </w:pPr>
            <w:r>
              <w:rPr>
                <w:sz w:val="4"/>
                <w:szCs w:val="4"/>
              </w:rPr>
            </w:r>
          </w:p>
        </w:tc>
      </w:tr>
      <w:tr>
        <w:trPr/>
        <w:tc>
          <w:tcPr>
            <w:tcW w:w="30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Dilution/Accretion per Share Held by Stockholder A (Net Asset Value per Share Less Investment per Share)</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0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Percentage Dilution/Accretion to Stockholder A (Dilution per Share Divided by Investment per Share)</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(1.93</w:t>
            </w:r>
          </w:p>
        </w:tc>
        <w:tc>
          <w:tcPr>
            <w:tcW w:w="2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0.32</w:t>
            </w:r>
          </w:p>
        </w:tc>
        <w:tc>
          <w:tcPr>
            <w:tcW w:w="311"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Impact on New Investors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 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 </w:t>
      </w:r>
    </w:p>
    <w:p>
      <w:pPr>
        <w:pStyle w:val="TextBody"/>
        <w:bidi w:val="0"/>
        <w:spacing w:before="240" w:after="0"/>
        <w:jc w:val="left"/>
        <w:rPr>
          <w:rFonts w:ascii="Times New Roman" w:hAnsi="Times New Roman"/>
          <w:sz w:val="20"/>
        </w:rPr>
      </w:pPr>
      <w:r>
        <w:rPr>
          <w:rFonts w:ascii="Times New Roman" w:hAnsi="Times New Roman"/>
          <w:sz w:val="20"/>
        </w:rPr>
        <w:t xml:space="preserve">The example assumes that the issuer has 81.4 million shares outstanding, $2.8 billion in total assets and $1.5 billion in total liabilities. The net asset value and NAV per share are thus $1.3 billion and $16.48 per share. The chart illustrates the dilutive effect on Stockholder A of (a) an offering of 4.1 million shares of common stock (5% of the outstanding shares) at $15.66 per share after offering expenses and commissions (a 5% discount from NAV per share), (b) an offering of 8.1 million shares of common stock (10% of the outstanding shares) at $14.83 per share after offering expenses and commissions (a 10% discount from NAV per share), (c) an offering of 16.3 million shares of common stock (20% of the outstanding shares) at $13.18 per share after offering expenses and commissions (a 20% discount from NAV per share), and (d) an offering of 20.3 million shares of common stock (25% of the outstanding shares) at $12.36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 </w:t>
      </w:r>
    </w:p>
    <w:p>
      <w:pPr>
        <w:pStyle w:val="TextBody"/>
        <w:bidi w:val="0"/>
        <w:spacing w:before="0" w:after="0"/>
        <w:jc w:val="left"/>
        <w:rPr/>
      </w:pPr>
      <w:r>
        <w:rPr/>
        <w:t> </w:t>
      </w:r>
    </w:p>
    <w:tbl>
      <w:tblPr>
        <w:tblW w:w="13545" w:type="dxa"/>
        <w:jc w:val="left"/>
        <w:tblInd w:w="0" w:type="dxa"/>
        <w:tblLayout w:type="fixed"/>
        <w:tblCellMar>
          <w:top w:w="0" w:type="dxa"/>
          <w:left w:w="0" w:type="dxa"/>
          <w:bottom w:w="0" w:type="dxa"/>
          <w:right w:w="0" w:type="dxa"/>
        </w:tblCellMar>
      </w:tblPr>
      <w:tblGrid>
        <w:gridCol w:w="875"/>
        <w:gridCol w:w="120"/>
        <w:gridCol w:w="140"/>
        <w:gridCol w:w="1100"/>
        <w:gridCol w:w="275"/>
        <w:gridCol w:w="60"/>
        <w:gridCol w:w="140"/>
        <w:gridCol w:w="1100"/>
        <w:gridCol w:w="275"/>
        <w:gridCol w:w="60"/>
        <w:gridCol w:w="85"/>
        <w:gridCol w:w="730"/>
        <w:gridCol w:w="275"/>
        <w:gridCol w:w="60"/>
        <w:gridCol w:w="140"/>
        <w:gridCol w:w="1100"/>
        <w:gridCol w:w="275"/>
        <w:gridCol w:w="60"/>
        <w:gridCol w:w="85"/>
        <w:gridCol w:w="730"/>
        <w:gridCol w:w="275"/>
        <w:gridCol w:w="60"/>
        <w:gridCol w:w="140"/>
        <w:gridCol w:w="1100"/>
        <w:gridCol w:w="275"/>
        <w:gridCol w:w="60"/>
        <w:gridCol w:w="78"/>
        <w:gridCol w:w="737"/>
        <w:gridCol w:w="275"/>
        <w:gridCol w:w="60"/>
        <w:gridCol w:w="140"/>
        <w:gridCol w:w="1220"/>
        <w:gridCol w:w="275"/>
        <w:gridCol w:w="60"/>
        <w:gridCol w:w="78"/>
        <w:gridCol w:w="737"/>
        <w:gridCol w:w="290"/>
      </w:tblGrid>
      <w:tr>
        <w:trPr/>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4</w:t>
            </w:r>
          </w:p>
        </w:tc>
        <w:tc>
          <w:tcPr>
            <w:tcW w:w="29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24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Prior to</w:t>
              <w:br/>
              <w:t>Sale</w:t>
              <w:br/>
              <w:t>Below NAV</w:t>
            </w:r>
          </w:p>
        </w:tc>
        <w:tc>
          <w:tcPr>
            <w:tcW w:w="27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5% Offering at 5%</w:t>
              <w:br/>
              <w:t>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10% Offering at</w:t>
              <w:br/>
              <w:t>10%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 Offering at</w:t>
              <w:br/>
              <w:t>20%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25% Offering at</w:t>
              <w:br/>
              <w:t>25% Discount</w:t>
            </w:r>
          </w:p>
        </w:tc>
        <w:tc>
          <w:tcPr>
            <w:tcW w:w="29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240" w:type="dxa"/>
            <w:gridSpan w:val="2"/>
            <w:vMerge w:val="continue"/>
            <w:tcBorders>
              <w:bottom w:val="single" w:sz="8" w:space="0" w:color="000000"/>
            </w:tcBorders>
            <w:tcMar>
              <w:bottom w:w="28" w:type="dxa"/>
            </w:tcMar>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b/>
                <w:sz w:val="17"/>
              </w:rPr>
            </w:pPr>
            <w:r>
              <w:rPr>
                <w:rFonts w:ascii="Times New Roman" w:hAnsi="Times New Roman"/>
                <w:b/>
                <w:sz w:val="17"/>
              </w:rPr>
              <w:t>Offering Price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Price per Share to Public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15.61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13.88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13.01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Net Proceeds per Share to Issuer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15.66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14.83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12.36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Decrease/Increase to Net Asset Value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Shares Outstanding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81,389,287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85,458,751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89,528,216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97,667,144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101,736,609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Shares Offered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4,069,464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8,138,929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16,277,857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20,347,322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Net Asset Value per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16.48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(0.22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15.93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(3.32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15.66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(4.98</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Dilution/Accretion to New Investor 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Shares Held by Investor 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4,069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8,139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16,278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20,347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Percentage Held by Investor 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0.02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Net Asset Value Held by Investor 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66,918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132,935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259,363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318,613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Total Investment by Investor A (At Price to Public)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67,065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127,070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225,902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264,729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Dilution/Accretion to Investor A (Total Net Asset Value Less Total Investment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5,865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33,460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53,883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Investment per Share Held by Investor 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15.61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13.88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13.01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Net Asset Value per Share Held by Investor 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15.93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15.66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Dilution/Accretion per Share Held by Investor A (Net Asset Value per Share Less Investment per Share)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0.72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2.65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Percentage Dilution/Accretion to Investor A (Dilution per Share Divided by Investment per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(0.22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4.62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14.81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20.35</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6" w:name="toc570824_14"/>
      <w:bookmarkEnd w:id="16"/>
      <w:r>
        <w:rPr>
          <w:rFonts w:ascii="Times New Roman" w:hAnsi="Times New Roman"/>
          <w:b/>
          <w:sz w:val="20"/>
        </w:rPr>
        <w:t xml:space="preserve">DIVIDEND REINVESTMENT PLAN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under the heading “Dividend Reinvestment Plan” in Part I, Item I of our 2022 Annual Report is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 </w:t>
      </w:r>
    </w:p>
    <w:p>
      <w:pPr>
        <w:pStyle w:val="TextBody"/>
        <w:bidi w:val="0"/>
        <w:spacing w:before="240" w:after="0"/>
        <w:jc w:val="left"/>
        <w:rPr>
          <w:rFonts w:ascii="Times New Roman" w:hAnsi="Times New Roman"/>
          <w:sz w:val="20"/>
        </w:rPr>
      </w:pPr>
      <w:r>
        <w:rPr>
          <w:rFonts w:ascii="Times New Roman" w:hAnsi="Times New Roman"/>
          <w:sz w:val="20"/>
        </w:rPr>
        <w:t xml:space="preserve">All correspondence concerning the plan should be directed to the plan administrator by mail at Equiniti Trust Company, LLC, Transfer Agency-Sixth Street Specialty Lending, 6201 15th Avenue, Brooklyn, NY 11219.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7" w:name="toc570824_15"/>
      <w:bookmarkEnd w:id="17"/>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 </w:t>
      </w:r>
    </w:p>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75"/>
        <w:gridCol w:w="110"/>
        <w:gridCol w:w="60"/>
        <w:gridCol w:w="4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stockholders subject to the alternative minimum tax; </w:t>
            </w:r>
          </w:p>
        </w:tc>
      </w:tr>
    </w:tbl>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75"/>
        <w:gridCol w:w="110"/>
        <w:gridCol w:w="60"/>
        <w:gridCol w:w="4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(except as discussed below);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110"/>
        <w:gridCol w:w="6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75"/>
        <w:gridCol w:w="110"/>
        <w:gridCol w:w="60"/>
        <w:gridCol w:w="1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dealers in securities;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110"/>
        <w:gridCol w:w="6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elect to use a mark-to-market method of accounting for securities holdings; </w:t>
            </w:r>
          </w:p>
        </w:tc>
      </w:tr>
    </w:tbl>
    <w:p>
      <w:pPr>
        <w:pStyle w:val="TextBody"/>
        <w:bidi w:val="0"/>
        <w:spacing w:before="0" w:after="0"/>
        <w:jc w:val="left"/>
        <w:rPr/>
      </w:pPr>
      <w:r>
        <w:rPr/>
        <w:t> </w:t>
      </w:r>
    </w:p>
    <w:tbl>
      <w:tblPr>
        <w:tblW w:w="3790" w:type="dxa"/>
        <w:jc w:val="left"/>
        <w:tblInd w:w="0" w:type="dxa"/>
        <w:tblLayout w:type="fixed"/>
        <w:tblCellMar>
          <w:top w:w="0" w:type="dxa"/>
          <w:left w:w="0" w:type="dxa"/>
          <w:bottom w:w="0" w:type="dxa"/>
          <w:right w:w="0" w:type="dxa"/>
        </w:tblCellMar>
      </w:tblPr>
      <w:tblGrid>
        <w:gridCol w:w="75"/>
        <w:gridCol w:w="110"/>
        <w:gridCol w:w="60"/>
        <w:gridCol w:w="3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pension plans (except as discussed below); </w:t>
            </w:r>
          </w:p>
        </w:tc>
      </w:tr>
    </w:tbl>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75"/>
        <w:gridCol w:w="110"/>
        <w:gridCol w:w="60"/>
        <w:gridCol w:w="2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trusts (except as discussed below);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110"/>
        <w:gridCol w:w="6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w:t>
            </w:r>
          </w:p>
        </w:tc>
      </w:tr>
    </w:tbl>
    <w:p>
      <w:pPr>
        <w:pStyle w:val="TextBody"/>
        <w:bidi w:val="0"/>
        <w:spacing w:before="0" w:after="0"/>
        <w:jc w:val="left"/>
        <w:rPr/>
      </w:pPr>
      <w:r>
        <w:rPr/>
        <w:t> </w:t>
      </w:r>
    </w:p>
    <w:tbl>
      <w:tblPr>
        <w:tblW w:w="4240" w:type="dxa"/>
        <w:jc w:val="left"/>
        <w:tblInd w:w="0" w:type="dxa"/>
        <w:tblLayout w:type="fixed"/>
        <w:tblCellMar>
          <w:top w:w="0" w:type="dxa"/>
          <w:left w:w="0" w:type="dxa"/>
          <w:bottom w:w="0" w:type="dxa"/>
          <w:right w:w="0" w:type="dxa"/>
        </w:tblCellMar>
      </w:tblPr>
      <w:tblGrid>
        <w:gridCol w:w="75"/>
        <w:gridCol w:w="110"/>
        <w:gridCol w:w="60"/>
        <w:gridCol w:w="3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entities taxed as partnerships or partners therein;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shares of common stock or preferred stock as part of a “straddle,” “hedge,” “conversion transaction,” “synthetic security” or other integrated investment; </w:t>
            </w:r>
          </w:p>
        </w:tc>
      </w:tr>
    </w:tbl>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110"/>
        <w:gridCol w:w="60"/>
        <w:gridCol w:w="4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received our stock as compensation;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our stock on behalf of another person as a nominee; </w:t>
            </w:r>
          </w:p>
        </w:tc>
      </w:tr>
    </w:tbl>
    <w:p>
      <w:pPr>
        <w:pStyle w:val="TextBody"/>
        <w:bidi w:val="0"/>
        <w:spacing w:before="0" w:after="0"/>
        <w:jc w:val="left"/>
        <w:rPr/>
      </w:pPr>
      <w:r>
        <w:rPr/>
        <w:t> </w:t>
      </w:r>
    </w:p>
    <w:tbl>
      <w:tblPr>
        <w:tblW w:w="4435" w:type="dxa"/>
        <w:jc w:val="left"/>
        <w:tblInd w:w="0" w:type="dxa"/>
        <w:tblLayout w:type="fixed"/>
        <w:tblCellMar>
          <w:top w:w="0" w:type="dxa"/>
          <w:left w:w="0" w:type="dxa"/>
          <w:bottom w:w="0" w:type="dxa"/>
          <w:right w:w="0" w:type="dxa"/>
        </w:tblCellMar>
      </w:tblPr>
      <w:tblGrid>
        <w:gridCol w:w="75"/>
        <w:gridCol w:w="110"/>
        <w:gridCol w:w="60"/>
        <w:gridCol w:w="4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are “controlled foreign corporations;” </w:t>
            </w:r>
          </w:p>
        </w:tc>
      </w:tr>
    </w:tbl>
    <w:p>
      <w:pPr>
        <w:pStyle w:val="TextBody"/>
        <w:bidi w:val="0"/>
        <w:spacing w:before="0" w:after="0"/>
        <w:jc w:val="left"/>
        <w:rPr/>
      </w:pPr>
      <w:r>
        <w:rPr/>
        <w:t> </w:t>
      </w:r>
    </w:p>
    <w:tbl>
      <w:tblPr>
        <w:tblW w:w="1840" w:type="dxa"/>
        <w:jc w:val="left"/>
        <w:tblInd w:w="0" w:type="dxa"/>
        <w:tblLayout w:type="fixed"/>
        <w:tblCellMar>
          <w:top w:w="0" w:type="dxa"/>
          <w:left w:w="0" w:type="dxa"/>
          <w:bottom w:w="0" w:type="dxa"/>
          <w:right w:w="0" w:type="dxa"/>
        </w:tblCellMar>
      </w:tblPr>
      <w:tblGrid>
        <w:gridCol w:w="75"/>
        <w:gridCol w:w="110"/>
        <w:gridCol w:w="60"/>
        <w:gridCol w:w="1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or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stockholders (as defined below) who have a “functional currency” other than the U.S. dollar.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Finally, this summary does not address other U.S. federal tax consequences (such as estate, gift and Medicare contribution tax consequences), the alternative minimum tax or any state, local or foreign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below is based upon the provisions of the Code, and U.S.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under the heading “Material U.S. Federal Income Tax Considerations,” a “U.S. stockholder” is a beneficial owner of shares of our common stock or preferred stock that is, for U.S. federal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income tax purposes, an individual who is a citizen or resident of the United States or a domestic corporation or otherwise subject to U.S. federal income tax on a net income basis in respect of our stock. </w:t>
      </w:r>
    </w:p>
    <w:p>
      <w:pPr>
        <w:pStyle w:val="TextBody"/>
        <w:bidi w:val="0"/>
        <w:spacing w:before="240" w:after="0"/>
        <w:jc w:val="left"/>
        <w:rPr>
          <w:rFonts w:ascii="Times New Roman" w:hAnsi="Times New Roman"/>
          <w:sz w:val="20"/>
        </w:rPr>
      </w:pPr>
      <w:r>
        <w:rPr>
          <w:rFonts w:ascii="Times New Roman" w:hAnsi="Times New Roman"/>
          <w:sz w:val="20"/>
        </w:rPr>
        <w:t xml:space="preserve">A “Non-U.S. stockholder” is a beneficial owner of shares of our common stock or preferred stock that is not a U.S. stockholder and not an entity taxed as a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Regulated Investment Company Classification </w:t>
      </w:r>
    </w:p>
    <w:p>
      <w:pPr>
        <w:pStyle w:val="TextBody"/>
        <w:bidi w:val="0"/>
        <w:spacing w:before="120" w:after="0"/>
        <w:jc w:val="left"/>
        <w:rPr>
          <w:rFonts w:ascii="Times New Roman" w:hAnsi="Times New Roman"/>
          <w:sz w:val="20"/>
        </w:rPr>
      </w:pPr>
      <w:r>
        <w:rPr>
          <w:rFonts w:ascii="Times New Roman" w:hAnsi="Times New Roman"/>
          <w:sz w:val="20"/>
        </w:rPr>
        <w:t xml:space="preserve">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 </w:t>
      </w:r>
    </w:p>
    <w:p>
      <w:pPr>
        <w:pStyle w:val="TextBody"/>
        <w:bidi w:val="0"/>
        <w:spacing w:before="240" w:after="0"/>
        <w:jc w:val="left"/>
        <w:rPr>
          <w:rFonts w:ascii="Times New Roman" w:hAnsi="Times New Roman"/>
          <w:sz w:val="20"/>
        </w:rPr>
      </w:pPr>
      <w:r>
        <w:rPr>
          <w:rFonts w:ascii="Times New Roman" w:hAnsi="Times New Roman"/>
          <w:sz w:val="20"/>
        </w:rPr>
        <w:t xml:space="preserve">To maintain our status as a RIC, we must, among other things: </w:t>
      </w:r>
    </w:p>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75"/>
        <w:gridCol w:w="110"/>
        <w:gridCol w:w="60"/>
        <w:gridCol w:w="5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our election under the 1940 Act to be treated as a BDC;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derive in each taxable year at least 90% of our gross income from dividends, interest, gains from the sale or other disposition of stock or securities and other specified categories of investment income;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diversified holdings so that, subject to certain exceptions and cure periods, at the end of each quarter of our taxable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earn various fees, including fees that we share with our affiliates, fees for entering into amendments with respect to debt instruments we own, and fees for significant managerial assistance provided to portfolio companies, which will not be treated as qualifying income for purposes of the 90% gross income test. We may also earn other types of income that will not be treated as qualifying income for purposes of the 90% gross income test. </w:t>
      </w:r>
    </w:p>
    <w:p>
      <w:pPr>
        <w:pStyle w:val="TextBody"/>
        <w:bidi w:val="0"/>
        <w:spacing w:before="240" w:after="0"/>
        <w:jc w:val="left"/>
        <w:rPr>
          <w:rFonts w:ascii="Times New Roman" w:hAnsi="Times New Roman"/>
          <w:sz w:val="20"/>
        </w:rPr>
      </w:pPr>
      <w:r>
        <w:rPr>
          <w:rFonts w:ascii="Times New Roman" w:hAnsi="Times New Roman"/>
          <w:sz w:val="20"/>
        </w:rPr>
        <w:t xml:space="preserve">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 </w:t>
      </w:r>
    </w:p>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75"/>
        <w:gridCol w:w="110"/>
        <w:gridCol w:w="60"/>
        <w:gridCol w:w="9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98% of our net ordinary income, excluding certain ordinary gains and losses, recognized during a calendar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98.2% of our capital gain net income, adjusted for certain ordinary gains and losses, recognized for the twelve-month period ending on October 31 of such calendar year; and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100% of any income or gains recognized, but not distributed, in preceding years.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previously incurred, and can be expected to incur in the future, such excise tax on a portion of our income and gains. While we intend to distribute income and capital gains to minimize exposure to the 4% excise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tax, we may not be able to, or may choose not to, distribute amounts sufficient to avoid the imposition of the tax entirely. In that event, we will be liable for the tax only on the amount by which we do not meet the foregoing distribution requirement. </w:t>
      </w:r>
    </w:p>
    <w:p>
      <w:pPr>
        <w:pStyle w:val="TextBody"/>
        <w:bidi w:val="0"/>
        <w:spacing w:before="240" w:after="0"/>
        <w:jc w:val="left"/>
        <w:rPr>
          <w:rFonts w:ascii="Times New Roman" w:hAnsi="Times New Roman"/>
          <w:sz w:val="20"/>
        </w:rPr>
      </w:pPr>
      <w:r>
        <w:rPr>
          <w:rFonts w:ascii="Times New Roman" w:hAnsi="Times New Roman"/>
          <w:sz w:val="20"/>
        </w:rPr>
        <w:t xml:space="preserve">We generally expect to distribute substantially all of our earnings on a quarterly basis, but will reinvest dividends on behalf of those investors that do not elect to receive their dividends in cash. See “Price Range of Common Stock and Distributions” and “Dividend Reinvestment Plan” for a description of our dividend policy and obligations. One or more of the considerations described below, however, could result in the deferral of dividend distributions until the end of the fiscal year: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(or market discount), that original issue discount (or market discount) may be accrued in income before we receive any corresponding cash payments. Similarly, the terms of the debt instruments that we hold may be modified under certain circumstances. These modifications may be considered “significant modifications” for U.S. federal income tax purposes that give rise to deemed debt-for-debt exchange upon which we may recognize taxable income or gain without a corresponding receipt of cash.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cases where our taxable income exceeds our available cash flow, we will need to fund distributions with the proceeds of sale of securities or with borrowed money, and may raise funds for this purpose opportunistically over the course of the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 </w:t>
      </w:r>
    </w:p>
    <w:p>
      <w:pPr>
        <w:pStyle w:val="TextBody"/>
        <w:bidi w:val="0"/>
        <w:spacing w:before="240" w:after="0"/>
        <w:jc w:val="left"/>
        <w:rPr>
          <w:rFonts w:ascii="Times New Roman" w:hAnsi="Times New Roman"/>
          <w:sz w:val="20"/>
        </w:rPr>
      </w:pPr>
      <w:r>
        <w:rPr>
          <w:rFonts w:ascii="Times New Roman" w:hAnsi="Times New Roman"/>
          <w:sz w:val="20"/>
        </w:rPr>
        <w:t xml:space="preserve">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we invest in foreign securities, we may be subject to withholding and other foreign taxes with respect to those securities. We do not expect to satisfy the conditions necessary to pass through to our stockholders their share of the foreign taxes paid by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Currency Fluctuations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988 of the Code, gains or losses attributable to fluctuations in exchange rates between the time we accrue income or receivables or expenses or other liabilities denominated in a foreign currency and the time we actually collect such income or receivables or pay such liabilities are generally treated as ordinary income or loss. Similarly, gains or losses on foreign currency, foreign currency forward contracts, certain foreign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currency options or futures contracts and the disposition of debt securities denominated in foreign currency, to the extent attributable to fluctuations in exchange rates between the acquisition and disposition dates, are also treated as ordinary income or loss.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w:t>
      </w:r>
    </w:p>
    <w:p>
      <w:pPr>
        <w:pStyle w:val="TextBody"/>
        <w:bidi w:val="0"/>
        <w:spacing w:before="240" w:after="0"/>
        <w:jc w:val="left"/>
        <w:rPr>
          <w:rFonts w:ascii="Times New Roman" w:hAnsi="Times New Roman"/>
          <w:sz w:val="20"/>
        </w:rPr>
      </w:pPr>
      <w:r>
        <w:rPr>
          <w:rFonts w:ascii="Times New Roman" w:hAnsi="Times New Roman"/>
          <w:sz w:val="20"/>
        </w:rPr>
        <w:t xml:space="preserve">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 </w:t>
      </w:r>
    </w:p>
    <w:p>
      <w:pPr>
        <w:pStyle w:val="TextBody"/>
        <w:bidi w:val="0"/>
        <w:spacing w:before="240" w:after="0"/>
        <w:jc w:val="left"/>
        <w:rPr>
          <w:rFonts w:ascii="Times New Roman" w:hAnsi="Times New Roman"/>
          <w:sz w:val="20"/>
        </w:rPr>
      </w:pPr>
      <w:r>
        <w:rPr>
          <w:rFonts w:ascii="Times New Roman" w:hAnsi="Times New Roman"/>
          <w:sz w:val="20"/>
        </w:rPr>
        <w:t xml:space="preserve">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declare such dividend prior to the earlier of the 15th day of the ninth month following the close of that taxable year, or any applicable extended due date of our U.S. federal corporate income tax return for such prior taxable year;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distribute such amount in the 12-month period following the close of such prior taxable year;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an election in our U.S. federal corporate income tax return for the taxable year in which such undistributed investment company taxable income or net capital gains were recognized.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such election will not alter the general rule that a U.S. stockholder will be treated as receiving a dividend in the taxable year in which the dividend is distributed, subject to the October, November, or December dividend declaration rule discussed immediately above.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 </w:t>
      </w:r>
    </w:p>
    <w:p>
      <w:pPr>
        <w:pStyle w:val="TextBody"/>
        <w:bidi w:val="0"/>
        <w:spacing w:before="240" w:after="0"/>
        <w:jc w:val="left"/>
        <w:rPr>
          <w:rFonts w:ascii="Times New Roman" w:hAnsi="Times New Roman"/>
          <w:sz w:val="20"/>
        </w:rPr>
      </w:pPr>
      <w:r>
        <w:rPr>
          <w:rFonts w:ascii="Times New Roman" w:hAnsi="Times New Roman"/>
          <w:sz w:val="20"/>
        </w:rPr>
        <w:t xml:space="preserve">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 </w:t>
      </w:r>
    </w:p>
    <w:p>
      <w:pPr>
        <w:pStyle w:val="TextBody"/>
        <w:bidi w:val="0"/>
        <w:spacing w:before="240" w:after="0"/>
        <w:jc w:val="left"/>
        <w:rPr>
          <w:rFonts w:ascii="Times New Roman" w:hAnsi="Times New Roman"/>
          <w:sz w:val="20"/>
        </w:rPr>
      </w:pPr>
      <w:r>
        <w:rPr>
          <w:rFonts w:ascii="Times New Roman" w:hAnsi="Times New Roman"/>
          <w:sz w:val="20"/>
        </w:rPr>
        <w:t xml:space="preserve">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offer to repurchase our outstanding shares. Stockholders who tender all shares held, or considered to be held, by them will be treated as having sold their shares and generally will realize a capital gain or loss. If a stockholder tenders fewer than all of its shares or fewer than all shares tendered are repurchased, such stockholder may be treated as having received a taxable dividend upon the tender of its shares. In such a case, there is a risk that non-tendering stockholders, and stockholders who tender some but not all of their shares or fewer than all of whose shares are repurchased, in each case whose percentage interests in us increase as a result of such tender, will be treated as having received a taxable distribution from us. The extent of such risk will vary depending upon the particular circumstances of the tender offer, and in particular whether such offer is a single and isolated event or is part of a plan for periodically redeeming shares. </w:t>
      </w:r>
    </w:p>
    <w:p>
      <w:pPr>
        <w:pStyle w:val="TextBody"/>
        <w:bidi w:val="0"/>
        <w:spacing w:before="240" w:after="0"/>
        <w:jc w:val="left"/>
        <w:rPr>
          <w:rFonts w:ascii="Times New Roman" w:hAnsi="Times New Roman"/>
          <w:sz w:val="20"/>
        </w:rPr>
      </w:pPr>
      <w:r>
        <w:rPr>
          <w:rFonts w:ascii="Times New Roman" w:hAnsi="Times New Roman"/>
          <w:sz w:val="20"/>
        </w:rPr>
        <w:t xml:space="preserve">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U.S. Treasury regulations, if a U.S. stockholder recognizes a loss with respect to our common stock or preferred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reporting requirement. U.S. stockholders should consult their own tax advisers to determine the applicability of these U.S. Treasury regulations in light of their individual circumstances. </w:t>
      </w:r>
    </w:p>
    <w:p>
      <w:pPr>
        <w:pStyle w:val="TextBody"/>
        <w:bidi w:val="0"/>
        <w:spacing w:before="240" w:after="0"/>
        <w:jc w:val="left"/>
        <w:rPr>
          <w:rFonts w:ascii="Times New Roman" w:hAnsi="Times New Roman"/>
          <w:sz w:val="20"/>
        </w:rPr>
      </w:pPr>
      <w:r>
        <w:rPr>
          <w:rFonts w:ascii="Times New Roman" w:hAnsi="Times New Roman"/>
          <w:sz w:val="20"/>
        </w:rPr>
        <w:t xml:space="preserve">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Potential Limitation with Respect to Certain U.S. Stockholders on Deductions for Certain 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Tax-Exempt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of our investment company taxable income that we pay to a Non-U.S. stockholder will be subject to U.S. withholding tax at a 30% rate to the extent of our current or accumulated earnings and profits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 </w:t>
      </w:r>
    </w:p>
    <w:p>
      <w:pPr>
        <w:pStyle w:val="TextBody"/>
        <w:bidi w:val="0"/>
        <w:spacing w:before="240" w:after="0"/>
        <w:jc w:val="left"/>
        <w:rPr>
          <w:rFonts w:ascii="Times New Roman" w:hAnsi="Times New Roman"/>
          <w:sz w:val="20"/>
        </w:rPr>
      </w:pPr>
      <w:r>
        <w:rPr>
          <w:rFonts w:ascii="Times New Roman" w:hAnsi="Times New Roman"/>
          <w:sz w:val="20"/>
        </w:rPr>
        <w:t xml:space="preserve">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 </w:t>
      </w:r>
    </w:p>
    <w:p>
      <w:pPr>
        <w:pStyle w:val="TextBody"/>
        <w:bidi w:val="0"/>
        <w:spacing w:before="240" w:after="0"/>
        <w:jc w:val="left"/>
        <w:rPr>
          <w:rFonts w:ascii="Times New Roman" w:hAnsi="Times New Roman"/>
          <w:sz w:val="20"/>
        </w:rPr>
      </w:pPr>
      <w:r>
        <w:rPr>
          <w:rFonts w:ascii="Times New Roman" w:hAnsi="Times New Roman"/>
          <w:sz w:val="20"/>
        </w:rPr>
        <w:t xml:space="preserve">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distributions made by the Company (other than capital gain dividends), additional requirements will apply to Non-U.S. stockholders that are considered for U.S. federal income tax purposes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 </w:t>
      </w:r>
    </w:p>
    <w:p>
      <w:pPr>
        <w:pStyle w:val="TextBody"/>
        <w:bidi w:val="0"/>
        <w:spacing w:before="240" w:after="0"/>
        <w:jc w:val="left"/>
        <w:rPr>
          <w:rFonts w:ascii="Times New Roman" w:hAnsi="Times New Roman"/>
          <w:sz w:val="20"/>
        </w:rPr>
      </w:pPr>
      <w:r>
        <w:rPr>
          <w:rFonts w:ascii="Times New Roman" w:hAnsi="Times New Roman"/>
          <w:sz w:val="20"/>
        </w:rPr>
        <w:t xml:space="preserve">A RIC is a corporation for U.S. federal income tax purposes. Under current law, a Non-U.S. stockholder will not be considered to be engaged in the conduct of a business in the United States solely by reason of its ownership in a RIC. Certain special rules apply to a Non-U.S. stockholder that is an entity qualifying for tax exemption under Section 892 of the Code. Such Non-U.S. stockholders will generally not be treated as engaged in “commercial activity” merely by virtue of its ownership of our common stock and will generally be exempt from withholding tax on dividends received on shares of our common stock. Certain special rules apply to such Non-U.S. stockholders if we qualify as a U.S. real property holding corporation and such investor owns more than 5% of such class of stock. We do not expect these special rules to apply but there cannot be any assurance thereof. </w:t>
      </w:r>
    </w:p>
    <w:p>
      <w:pPr>
        <w:pStyle w:val="TextBody"/>
        <w:bidi w:val="0"/>
        <w:spacing w:before="240" w:after="0"/>
        <w:jc w:val="left"/>
        <w:rPr>
          <w:rFonts w:ascii="Times New Roman" w:hAnsi="Times New Roman"/>
          <w:sz w:val="20"/>
        </w:rPr>
      </w:pPr>
      <w:r>
        <w:rPr>
          <w:rFonts w:ascii="Times New Roman" w:hAnsi="Times New Roman"/>
          <w:sz w:val="20"/>
        </w:rPr>
        <w:t xml:space="preserve">Non-U.S. stockholders should consult their own tax advisors with respect to the U.S. federal income tax and withholding tax, and state, local and foreign tax consequences of an investment in the shares of our common stock or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8" w:name="toc570824_16"/>
      <w:bookmarkEnd w:id="18"/>
      <w:r>
        <w:rPr>
          <w:rFonts w:ascii="Times New Roman" w:hAnsi="Times New Roman"/>
          <w:b/>
          <w:sz w:val="20"/>
        </w:rPr>
        <w:t xml:space="preserve">DESCRIPTION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 </w:t>
      </w:r>
    </w:p>
    <w:p>
      <w:pPr>
        <w:pStyle w:val="TextBody"/>
        <w:bidi w:val="0"/>
        <w:spacing w:before="480" w:after="0"/>
        <w:jc w:val="center"/>
        <w:rPr>
          <w:rFonts w:ascii="Times New Roman" w:hAnsi="Times New Roman"/>
          <w:b/>
          <w:sz w:val="20"/>
        </w:rPr>
      </w:pPr>
      <w:bookmarkStart w:id="19" w:name="toc570824_17"/>
      <w:bookmarkEnd w:id="19"/>
      <w:r>
        <w:rPr>
          <w:rFonts w:ascii="Times New Roman" w:hAnsi="Times New Roman"/>
          <w:b/>
          <w:sz w:val="20"/>
        </w:rPr>
        <w:t xml:space="preserve">DESCRIPTION OF OUR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 </w:t>
      </w:r>
    </w:p>
    <w:p>
      <w:pPr>
        <w:pStyle w:val="TextBody"/>
        <w:bidi w:val="0"/>
        <w:spacing w:before="360" w:after="0"/>
        <w:jc w:val="left"/>
        <w:rPr>
          <w:rFonts w:ascii="Times New Roman" w:hAnsi="Times New Roman"/>
          <w:b/>
          <w:sz w:val="20"/>
        </w:rPr>
      </w:pPr>
      <w:r>
        <w:rPr>
          <w:rFonts w:ascii="Times New Roman" w:hAnsi="Times New Roman"/>
          <w:b/>
          <w:sz w:val="20"/>
        </w:rPr>
        <w:t xml:space="preserve">Capital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restated certificate of incorporation, which was adopted on June 15, 2020, our authorized capital stock consists of 400,000,000 shares of common stock, par value $0.01 per share, of which 87,578,655 shares are outstanding as of December 20, 2023, and 100,000,000 shares of preferred stock, par value $0.01 per share, of which no shares are outstanding as of December 20, 2023.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presents our outstanding classes of securities as of December 20, 2023: </w:t>
      </w:r>
    </w:p>
    <w:p>
      <w:pPr>
        <w:pStyle w:val="TextBody"/>
        <w:bidi w:val="0"/>
        <w:spacing w:before="0" w:after="0"/>
        <w:jc w:val="left"/>
        <w:rPr/>
      </w:pPr>
      <w:r>
        <w:rPr/>
        <w:t> </w:t>
      </w:r>
    </w:p>
    <w:tbl>
      <w:tblPr>
        <w:tblW w:w="7505" w:type="dxa"/>
        <w:jc w:val="left"/>
        <w:tblInd w:w="0" w:type="dxa"/>
        <w:tblLayout w:type="fixed"/>
        <w:tblCellMar>
          <w:top w:w="0" w:type="dxa"/>
          <w:left w:w="0" w:type="dxa"/>
          <w:bottom w:w="0" w:type="dxa"/>
          <w:right w:w="0" w:type="dxa"/>
        </w:tblCellMar>
      </w:tblPr>
      <w:tblGrid>
        <w:gridCol w:w="1295"/>
        <w:gridCol w:w="120"/>
        <w:gridCol w:w="97"/>
        <w:gridCol w:w="1978"/>
        <w:gridCol w:w="60"/>
        <w:gridCol w:w="120"/>
        <w:gridCol w:w="97"/>
        <w:gridCol w:w="1303"/>
        <w:gridCol w:w="60"/>
        <w:gridCol w:w="120"/>
        <w:gridCol w:w="112"/>
        <w:gridCol w:w="2068"/>
        <w:gridCol w:w="75"/>
      </w:tblGrid>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 of Class</w:t>
            </w:r>
          </w:p>
        </w:tc>
        <w:tc>
          <w:tcPr>
            <w:tcW w:w="12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 Authorized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 Held</w:t>
              <w:br/>
              <w:t>by Us or for</w:t>
              <w:br/>
              <w:t>Our Account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 Outstanding</w:t>
              <w:br/>
              <w:t>Exclusive of Amount</w:t>
              <w:br/>
              <w:t>Held by Us or for</w:t>
              <w:br/>
              <w:t>Our Account</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978" w:type="dxa"/>
            <w:tcBorders/>
            <w:shd w:fill="CCEEFF" w:val="clear"/>
            <w:vAlign w:val="center"/>
          </w:tcPr>
          <w:p>
            <w:pPr>
              <w:pStyle w:val="TableContents"/>
              <w:bidi w:val="0"/>
              <w:spacing w:before="0" w:after="283"/>
              <w:jc w:val="right"/>
              <w:rPr/>
            </w:pPr>
            <w:r>
              <w:rPr/>
              <w:t>400,000,000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664,250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87,578,655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certificate of incorporation, our Board is authorized to issue shares of preferred stock in one or more series without stockholder approval. See “Description of Our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Liability of Directors and Officers; Indemnification and Advance of Expenses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certification of incorporation limits our directors’ liability to the fullest extent permitted under Delaware corporate law and the 1940 Act. Specifically, our directors will not be personally liable to us or our stockholders for any breach of fiduciary duty as a director, except for any liability: </w:t>
      </w:r>
    </w:p>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230"/>
        <w:gridCol w:w="5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5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breach of the director’s duty of loyalty to us or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(ii)</w:t>
            </w:r>
          </w:p>
        </w:tc>
        <w:tc>
          <w:tcPr>
            <w:tcW w:w="98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acts or omissions not in good faith or which involve willful misconduct, gross negligence, bad faith, reckless disregard or a knowing violation of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45"/>
        <w:gridCol w:w="9785"/>
      </w:tblGrid>
      <w:tr>
        <w:trPr/>
        <w:tc>
          <w:tcPr>
            <w:tcW w:w="75"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(iii)</w:t>
            </w:r>
          </w:p>
        </w:tc>
        <w:tc>
          <w:tcPr>
            <w:tcW w:w="9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Section 174 of the DGCL, which relates to unlawful payment of dividends or unlawful stock purchases or redemptions, or </w:t>
            </w:r>
          </w:p>
        </w:tc>
      </w:tr>
    </w:tbl>
    <w:p>
      <w:pPr>
        <w:pStyle w:val="TextBody"/>
        <w:bidi w:val="0"/>
        <w:spacing w:before="0" w:after="0"/>
        <w:jc w:val="left"/>
        <w:rPr/>
      </w:pPr>
      <w:r>
        <w:rPr/>
        <w:t> </w:t>
      </w:r>
    </w:p>
    <w:tbl>
      <w:tblPr>
        <w:tblW w:w="7030" w:type="dxa"/>
        <w:jc w:val="left"/>
        <w:tblInd w:w="0" w:type="dxa"/>
        <w:tblLayout w:type="fixed"/>
        <w:tblCellMar>
          <w:top w:w="0" w:type="dxa"/>
          <w:left w:w="0" w:type="dxa"/>
          <w:bottom w:w="0" w:type="dxa"/>
          <w:right w:w="0" w:type="dxa"/>
        </w:tblCellMar>
      </w:tblPr>
      <w:tblGrid>
        <w:gridCol w:w="75"/>
        <w:gridCol w:w="350"/>
        <w:gridCol w:w="660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6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 </w:t>
      </w:r>
    </w:p>
    <w:p>
      <w:pPr>
        <w:pStyle w:val="TextBody"/>
        <w:bidi w:val="0"/>
        <w:spacing w:before="240" w:after="0"/>
        <w:jc w:val="left"/>
        <w:rPr>
          <w:rFonts w:ascii="Times New Roman" w:hAnsi="Times New Roman"/>
          <w:sz w:val="20"/>
        </w:rPr>
      </w:pPr>
      <w:r>
        <w:rPr>
          <w:rFonts w:ascii="Times New Roman" w:hAnsi="Times New Roman"/>
          <w:sz w:val="20"/>
        </w:rPr>
        <w:t xml:space="preserve">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adversely affect any rights to indemnification and to the advancement of expenses of a director or officer existing at the time of the repeal or modification with respect to any acts or omissions occurring prior to the repeal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Investment Advisory Agreement, we have, to the extent permitted by applicable law, indemnified the Adviser and certain of its affiliates, as described under “Management Agreements-Indemnification” in Part I, Item 1 of our 2022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and bylaws provide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Board be divided into three classes, as nearly equal in size as possible, with staggered three-year terms (and the number of directors shall not be fewer than four or greater than nine);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directors may be removed only for cause by the affirmative vote of 75% of the holders of our capital stock then outstanding and entitled to vote in the election of directors, voting together as a single class;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of any holders of preferred stock, any vacancy on the Board, however the vacancy occurs, including a vacancy due to an enlargement of the Board, may only be filled by vote of a majority of the directors then in office.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 </w:t>
      </w:r>
    </w:p>
    <w:p>
      <w:pPr>
        <w:pStyle w:val="TextBody"/>
        <w:bidi w:val="0"/>
        <w:spacing w:before="240" w:after="0"/>
        <w:jc w:val="left"/>
        <w:rPr>
          <w:rFonts w:ascii="Times New Roman" w:hAnsi="Times New Roman"/>
          <w:sz w:val="20"/>
        </w:rPr>
      </w:pPr>
      <w:r>
        <w:rPr>
          <w:rFonts w:ascii="Times New Roman" w:hAnsi="Times New Roman"/>
          <w:sz w:val="20"/>
        </w:rPr>
        <w:t xml:space="preserve">Our bylaws also provide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action required or permitted to be taken by the stockholders at an annual meeting or special meeting of stockholders may only be taken if it is properly brought before such meeting;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special meetings of the stockholders may only be called by our Board, Chairman, or a Chief Executive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 </w:t>
      </w:r>
    </w:p>
    <w:p>
      <w:pPr>
        <w:pStyle w:val="TextBody"/>
        <w:bidi w:val="0"/>
        <w:spacing w:before="240" w:after="0"/>
        <w:jc w:val="left"/>
        <w:rPr>
          <w:rFonts w:ascii="Times New Roman" w:hAnsi="Times New Roman"/>
          <w:sz w:val="20"/>
        </w:rPr>
      </w:pPr>
      <w:r>
        <w:rPr>
          <w:rFonts w:ascii="Times New Roman" w:hAnsi="Times New Roman"/>
          <w:sz w:val="20"/>
        </w:rPr>
        <w:t xml:space="preserve">A director may be removed from office, but only for cause and at a meeting called for that purpose, by the affirmative vote of 75% of the holders of our capital stock then outstanding and entitled to vote in the election of directors,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10% holder transactions subject to these special approval requirements are: </w:t>
      </w:r>
    </w:p>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or consolidation of us or any subsidiary of ours with or into any principal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 </w:t>
      </w:r>
    </w:p>
    <w:p>
      <w:pPr>
        <w:pStyle w:val="TextBody"/>
        <w:bidi w:val="0"/>
        <w:spacing w:before="240" w:after="0"/>
        <w:jc w:val="left"/>
        <w:rPr>
          <w:rFonts w:ascii="Times New Roman" w:hAnsi="Times New Roman"/>
          <w:sz w:val="20"/>
        </w:rPr>
      </w:pPr>
      <w:r>
        <w:rPr>
          <w:rFonts w:ascii="Times New Roman" w:hAnsi="Times New Roman"/>
          <w:sz w:val="20"/>
        </w:rPr>
        <w:t xml:space="preserve">The 1940 Act defines “a majority of the outstanding voting securities” as the lesser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67% or more of the company’s voting stock present at a meeting if more than 50% of the outstanding voting securities of the company are present or represented by proxy; and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more than 50% of the outstanding voting securities of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 </w:t>
      </w:r>
    </w:p>
    <w:p>
      <w:pPr>
        <w:pStyle w:val="TextBody"/>
        <w:bidi w:val="0"/>
        <w:spacing w:before="240" w:after="0"/>
        <w:jc w:val="left"/>
        <w:rPr>
          <w:rFonts w:ascii="Times New Roman" w:hAnsi="Times New Roman"/>
          <w:sz w:val="20"/>
        </w:rPr>
      </w:pPr>
      <w:r>
        <w:rPr>
          <w:rFonts w:ascii="Times New Roman" w:hAnsi="Times New Roman"/>
          <w:sz w:val="20"/>
        </w:rPr>
        <w:t xml:space="preserve">Our Board has determined that provisions with respect to the Board and the stockholder voting requirements described above, which voting requirements are greater than the minimum requirements under Delaware law or the 1940 Act, are in the best interest of stockholders generally.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0" w:name="toc570824_18"/>
      <w:bookmarkEnd w:id="20"/>
      <w:r>
        <w:rPr>
          <w:rFonts w:ascii="Times New Roman" w:hAnsi="Times New Roman"/>
          <w:b/>
          <w:sz w:val="20"/>
        </w:rPr>
        <w:t xml:space="preserve">DESCRIPTION OF OUR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 </w:t>
      </w:r>
    </w:p>
    <w:p>
      <w:pPr>
        <w:pStyle w:val="TextBody"/>
        <w:bidi w:val="0"/>
        <w:spacing w:before="240" w:after="0"/>
        <w:jc w:val="left"/>
        <w:rPr>
          <w:rFonts w:ascii="Times New Roman" w:hAnsi="Times New Roman"/>
          <w:sz w:val="20"/>
        </w:rPr>
      </w:pPr>
      <w:r>
        <w:rPr>
          <w:rFonts w:ascii="Times New Roman" w:hAnsi="Times New Roman"/>
          <w:sz w:val="20"/>
        </w:rPr>
        <w:t xml:space="preserve">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issuance and before any distribution is made with respect to common stock, we must meet a coverage ratio of total assets (less total liabilities other than indebtedness) to total indebtedness plus preferred stock, of at least 150%;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any series of preferred stock that we may issue, our Board will determine and the amendment to our certificate of incorporation and the prospectus supplement relating to such series will describe: </w:t>
      </w:r>
    </w:p>
    <w:p>
      <w:pPr>
        <w:pStyle w:val="TextBody"/>
        <w:bidi w:val="0"/>
        <w:spacing w:before="0" w:after="0"/>
        <w:jc w:val="left"/>
        <w:rPr/>
      </w:pPr>
      <w:r>
        <w:rPr/>
        <w:t> </w:t>
      </w:r>
    </w:p>
    <w:tbl>
      <w:tblPr>
        <w:tblW w:w="4525" w:type="dxa"/>
        <w:jc w:val="left"/>
        <w:tblInd w:w="0" w:type="dxa"/>
        <w:tblLayout w:type="fixed"/>
        <w:tblCellMar>
          <w:top w:w="0" w:type="dxa"/>
          <w:left w:w="0" w:type="dxa"/>
          <w:bottom w:w="0" w:type="dxa"/>
          <w:right w:w="0" w:type="dxa"/>
        </w:tblCellMar>
      </w:tblPr>
      <w:tblGrid>
        <w:gridCol w:w="75"/>
        <w:gridCol w:w="110"/>
        <w:gridCol w:w="60"/>
        <w:gridCol w:w="4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number of shares of such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rate and time at which, and the preferences and conditions under which, any dividends will be paid on shares of such series, as well as whether such dividends are participating or non-participating;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convertibility or exchangeability of the shares of such series, including adjustments to the conversion price of such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rights and preferences, if any, of holders of shares of such series upon our liquidation, dissolution or winding up of our affairs;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voting powers, if any, of the holders of shares of such series;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the redemption of the shares of such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our ability to pay dividends or make distributions on, or acquire or redeem, other securities while shares of such series are outstanding;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conditions or restrictions on our ability to issue additional shares of such series or other securities;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relative powers, preferences and participating, optional or special rights of shares of such series, and the qualifications, limitations or restrictions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1" w:name="toc570824_19"/>
      <w:bookmarkEnd w:id="21"/>
      <w:r>
        <w:rPr>
          <w:rFonts w:ascii="Times New Roman" w:hAnsi="Times New Roman"/>
          <w:b/>
          <w:sz w:val="20"/>
        </w:rPr>
        <w:t xml:space="preserve">DESCRIPTION OF OUR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would describe the following terms of subscription rights in respect of which this prospectus is being delivered: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period of time the offering would remain open (which shall be open a minimum number of days such that all record holders would be eligible to participate in the offering and shall not be open longer than 120 days); </w:t>
            </w:r>
          </w:p>
        </w:tc>
      </w:tr>
    </w:tbl>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75"/>
        <w:gridCol w:w="110"/>
        <w:gridCol w:w="60"/>
        <w:gridCol w:w="2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subscription rights; </w:t>
            </w:r>
          </w:p>
        </w:tc>
      </w:tr>
    </w:tbl>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75"/>
        <w:gridCol w:w="110"/>
        <w:gridCol w:w="60"/>
        <w:gridCol w:w="6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for such subscription rights (or method of calculation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ratio of the offering (which, in the case of transferable rights, will require a minimum of three shares to be held of record before a person is entitled to purchase an additional share); </w:t>
            </w:r>
          </w:p>
        </w:tc>
      </w:tr>
    </w:tbl>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such subscription rights issued to each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subscription rights are transferable and the market on which they may be traded if they are transferable;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applicable to the issuance or exercise of such subscription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subscription rights shall commence, and the date on which such right shall expire (subject to any extension);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subscription rights include an over-subscription privilege with respect to unsubscribed securities and the terms of such over-subscription privilege;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termination right we may have in connection with such subscription rights offering;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subscription rights, including exercise, settlement and other procedures and limitations relating to the transfer and exercise of such subscription rights.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Subscription Rights </w:t>
      </w:r>
    </w:p>
    <w:p>
      <w:pPr>
        <w:pStyle w:val="TextBody"/>
        <w:bidi w:val="0"/>
        <w:spacing w:before="120" w:after="0"/>
        <w:jc w:val="left"/>
        <w:rPr>
          <w:rFonts w:ascii="Times New Roman" w:hAnsi="Times New Roman"/>
          <w:sz w:val="20"/>
        </w:rPr>
      </w:pPr>
      <w:r>
        <w:rPr>
          <w:rFonts w:ascii="Times New Roman" w:hAnsi="Times New Roman"/>
          <w:sz w:val="20"/>
        </w:rPr>
        <w:t xml:space="preserve">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 </w:t>
      </w:r>
    </w:p>
    <w:p>
      <w:pPr>
        <w:pStyle w:val="TextBody"/>
        <w:bidi w:val="0"/>
        <w:spacing w:before="240" w:after="0"/>
        <w:jc w:val="left"/>
        <w:rPr>
          <w:rFonts w:ascii="Times New Roman" w:hAnsi="Times New Roman"/>
          <w:sz w:val="20"/>
        </w:rPr>
      </w:pPr>
      <w:r>
        <w:rPr>
          <w:rFonts w:ascii="Times New Roman" w:hAnsi="Times New Roman"/>
          <w:sz w:val="20"/>
        </w:rPr>
        <w:t xml:space="preserve">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Dilutive Effects </w:t>
      </w:r>
    </w:p>
    <w:p>
      <w:pPr>
        <w:pStyle w:val="TextBody"/>
        <w:bidi w:val="0"/>
        <w:spacing w:before="120" w:after="0"/>
        <w:jc w:val="left"/>
        <w:rPr>
          <w:rFonts w:ascii="Times New Roman" w:hAnsi="Times New Roman"/>
          <w:sz w:val="20"/>
        </w:rPr>
      </w:pPr>
      <w:r>
        <w:rPr>
          <w:rFonts w:ascii="Times New Roman" w:hAnsi="Times New Roman"/>
          <w:sz w:val="20"/>
        </w:rPr>
        <w:t xml:space="preserve">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2" w:name="toc570824_20"/>
      <w:bookmarkEnd w:id="22"/>
      <w:r>
        <w:rPr>
          <w:rFonts w:ascii="Times New Roman" w:hAnsi="Times New Roman"/>
          <w:b/>
          <w:sz w:val="20"/>
        </w:rPr>
        <w:t xml:space="preserve">DESCRIPTION OF OUR WARRANTS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general description of the terms of the warrants we may issue from time to time. Particular terms of any warrants we offer will be described in the prospectus supplement relating to such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will describe the particular terms of any series of warrants we may issue, including the following: </w:t>
      </w:r>
    </w:p>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75"/>
        <w:gridCol w:w="110"/>
        <w:gridCol w:w="60"/>
        <w:gridCol w:w="2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warrants; </w:t>
            </w:r>
          </w:p>
        </w:tc>
      </w:tr>
    </w:tbl>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such warrants;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warrants will be issued;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composite currencies, in which the price of such warrants may be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 </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75"/>
        <w:gridCol w:w="110"/>
        <w:gridCol w:w="60"/>
        <w:gridCol w:w="9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warrants shall commence and the date on which such right will expire;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such warrants will be issued in registered form or bearer form;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75"/>
        <w:gridCol w:w="110"/>
        <w:gridCol w:w="60"/>
        <w:gridCol w:w="9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such warrants and the related securities will be separately transferable; </w:t>
            </w:r>
          </w:p>
        </w:tc>
      </w:tr>
    </w:tbl>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75"/>
        <w:gridCol w:w="110"/>
        <w:gridCol w:w="60"/>
        <w:gridCol w:w="4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exchange and exercise of such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 </w:t>
      </w:r>
    </w:p>
    <w:p>
      <w:pPr>
        <w:pStyle w:val="TextBody"/>
        <w:bidi w:val="0"/>
        <w:spacing w:before="240" w:after="0"/>
        <w:jc w:val="left"/>
        <w:rPr>
          <w:rFonts w:ascii="Times New Roman" w:hAnsi="Times New Roman"/>
          <w:sz w:val="20"/>
        </w:rPr>
      </w:pPr>
      <w:r>
        <w:rPr>
          <w:rFonts w:ascii="Times New Roman" w:hAnsi="Times New Roman"/>
          <w:sz w:val="20"/>
        </w:rPr>
        <w:t xml:space="preserve">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3" w:name="toc570824_21"/>
      <w:bookmarkEnd w:id="23"/>
      <w:r>
        <w:rPr>
          <w:rFonts w:ascii="Times New Roman" w:hAnsi="Times New Roman"/>
          <w:b/>
          <w:sz w:val="20"/>
        </w:rPr>
        <w:t xml:space="preserve">DESCRIPTION OF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Certain of our debt securities have been issued under an indenture dated January 22, 2018 between us and Wells Fargo Bank, National Association. We also intend on issuing debt securities under an indenture to be entered into between us and U.S. Bank Trust Company,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indenture,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 </w:t>
      </w:r>
    </w:p>
    <w:p>
      <w:pPr>
        <w:pStyle w:val="TextBody"/>
        <w:bidi w:val="0"/>
        <w:spacing w:before="240" w:after="0"/>
        <w:jc w:val="left"/>
        <w:rPr>
          <w:rFonts w:ascii="Times New Roman" w:hAnsi="Times New Roman"/>
          <w:sz w:val="20"/>
        </w:rPr>
      </w:pPr>
      <w:r>
        <w:rPr>
          <w:rFonts w:ascii="Times New Roman" w:hAnsi="Times New Roman"/>
          <w:sz w:val="20"/>
        </w:rPr>
        <w:t xml:space="preserve">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which will accompany this prospectus, will describe the particular series of debt securities being offered, including, among other things: </w:t>
      </w:r>
    </w:p>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60"/>
        <w:gridCol w:w="4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or title of the series of debt securities;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75"/>
        <w:gridCol w:w="110"/>
        <w:gridCol w:w="60"/>
        <w:gridCol w:w="4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total principal amount of the series of debt securities;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 principal amount at which the series of debt securities will be offered; </w:t>
            </w:r>
          </w:p>
        </w:tc>
      </w:tr>
    </w:tbl>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75"/>
        <w:gridCol w:w="110"/>
        <w:gridCol w:w="60"/>
        <w:gridCol w:w="4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principal will be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either fixed or variable) and/or the method of determining such rate or rates of interest,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any interest will accrue, or the method of determining such date or dates, and the date or dates on which any interest will be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any interest may be paid by issuing additional securities of the same series in lieu of cash (and the terms upon which any such interest may be paid by issuing additional securities);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110"/>
        <w:gridCol w:w="60"/>
        <w:gridCol w:w="5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for redemption, extension or early repayment, if any;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currencies in which the series of debt securities are issued and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if any, other than or in addition to the Borough of Manhattan in the City of New York, of payment, transfer, conversion and/or exchange of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offered debt securities will be issued (if other than $1,000 and any integral multiple thereof); </w:t>
            </w:r>
          </w:p>
        </w:tc>
      </w:tr>
    </w:tbl>
    <w:p>
      <w:pPr>
        <w:pStyle w:val="TextBody"/>
        <w:bidi w:val="0"/>
        <w:spacing w:before="0" w:after="0"/>
        <w:jc w:val="left"/>
        <w:rPr/>
      </w:pPr>
      <w:r>
        <w:rPr/>
        <w:t> </w:t>
      </w:r>
    </w:p>
    <w:tbl>
      <w:tblPr>
        <w:tblW w:w="3160" w:type="dxa"/>
        <w:jc w:val="left"/>
        <w:tblInd w:w="0" w:type="dxa"/>
        <w:tblLayout w:type="fixed"/>
        <w:tblCellMar>
          <w:top w:w="0" w:type="dxa"/>
          <w:left w:w="0" w:type="dxa"/>
          <w:bottom w:w="0" w:type="dxa"/>
          <w:right w:w="0" w:type="dxa"/>
        </w:tblCellMar>
      </w:tblPr>
      <w:tblGrid>
        <w:gridCol w:w="75"/>
        <w:gridCol w:w="110"/>
        <w:gridCol w:w="60"/>
        <w:gridCol w:w="2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any sinking fund; </w:t>
            </w:r>
          </w:p>
        </w:tc>
      </w:tr>
    </w:tbl>
    <w:p>
      <w:pPr>
        <w:pStyle w:val="TextBody"/>
        <w:bidi w:val="0"/>
        <w:spacing w:before="0" w:after="0"/>
        <w:jc w:val="left"/>
        <w:rPr/>
      </w:pPr>
      <w:r>
        <w:rPr/>
        <w:t> </w:t>
      </w:r>
    </w:p>
    <w:tbl>
      <w:tblPr>
        <w:tblW w:w="2410" w:type="dxa"/>
        <w:jc w:val="left"/>
        <w:tblInd w:w="0" w:type="dxa"/>
        <w:tblLayout w:type="fixed"/>
        <w:tblCellMar>
          <w:top w:w="0" w:type="dxa"/>
          <w:left w:w="0" w:type="dxa"/>
          <w:bottom w:w="0" w:type="dxa"/>
          <w:right w:w="0" w:type="dxa"/>
        </w:tblCellMar>
      </w:tblPr>
      <w:tblGrid>
        <w:gridCol w:w="75"/>
        <w:gridCol w:w="110"/>
        <w:gridCol w:w="60"/>
        <w:gridCol w:w="2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restrictive covenants; </w:t>
            </w:r>
          </w:p>
        </w:tc>
      </w:tr>
    </w:tbl>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75"/>
        <w:gridCol w:w="110"/>
        <w:gridCol w:w="60"/>
        <w:gridCol w:w="1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75"/>
        <w:gridCol w:w="110"/>
        <w:gridCol w:w="60"/>
        <w:gridCol w:w="5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series of debt securities is issuable in certificated form; </w:t>
            </w:r>
          </w:p>
        </w:tc>
      </w:tr>
    </w:tbl>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75"/>
        <w:gridCol w:w="110"/>
        <w:gridCol w:w="60"/>
        <w:gridCol w:w="4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defeasance or covenant defeasance;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special federal income tax implications, including, if applicable, U.S. federal income tax considerations relating to original issue discount;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we will pay additional amounts in respect of any tax, assessment or governmental charge and, if so, whether we will have the option to redeem the debt securities rather than pay the additional amounts (and the terms of this option);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convertibility or exchangeability of the debt securities into or for any other securities;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subject to subordination and the terms of such subordination;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secured and the terms of any security interest;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listing, if any, on a securities exchange; and </w:t>
            </w:r>
          </w:p>
        </w:tc>
      </w:tr>
    </w:tbl>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75"/>
        <w:gridCol w:w="110"/>
        <w:gridCol w:w="60"/>
        <w:gridCol w:w="1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debt securities may be secured or unsecured obligations. Unless the prospectus supplement states otherwise, principal (and premium, if any) and interest, if any, will be paid by us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3Q 2023 Quarterly Report.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prospectus, any reference to the payment of principal of, or premium or interest, if any, on, debt securities will include additional amounts if required by the terms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provisions that give you protection in the event we issue a large amount of debt or we are acquired by another entity. </w:t>
      </w:r>
    </w:p>
    <w:p>
      <w:pPr>
        <w:pStyle w:val="TextBody"/>
        <w:bidi w:val="0"/>
        <w:spacing w:before="240" w:after="0"/>
        <w:jc w:val="left"/>
        <w:rPr>
          <w:rFonts w:ascii="Times New Roman" w:hAnsi="Times New Roman"/>
          <w:sz w:val="20"/>
        </w:rPr>
      </w:pPr>
      <w:r>
        <w:rPr>
          <w:rFonts w:ascii="Times New Roman" w:hAnsi="Times New Roman"/>
          <w:sz w:val="20"/>
        </w:rPr>
        <w:t xml:space="preserve">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 </w:t>
      </w:r>
    </w:p>
    <w:p>
      <w:pPr>
        <w:pStyle w:val="TextBody"/>
        <w:bidi w:val="0"/>
        <w:spacing w:before="240" w:after="0"/>
        <w:jc w:val="left"/>
        <w:rPr>
          <w:rFonts w:ascii="Times New Roman" w:hAnsi="Times New Roman"/>
          <w:sz w:val="20"/>
        </w:rPr>
      </w:pPr>
      <w:r>
        <w:rPr>
          <w:rFonts w:ascii="Times New Roman" w:hAnsi="Times New Roman"/>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we will usually issue debt securities in book-entry only form represented by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on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Payments on Certificated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Payment When Offices Are Closed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Book-entry and other indirect holders should consult their banks or brokers for information on how they will receive payments on their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You will have rights if an Event of Default occurs in respect of the debt securities of your series and is not cured, as described later in this subsection. </w:t>
      </w:r>
    </w:p>
    <w:p>
      <w:pPr>
        <w:pStyle w:val="TextBody"/>
        <w:bidi w:val="0"/>
        <w:spacing w:before="240" w:after="0"/>
        <w:jc w:val="left"/>
        <w:rPr>
          <w:rFonts w:ascii="Times New Roman" w:hAnsi="Times New Roman"/>
          <w:sz w:val="20"/>
        </w:rPr>
      </w:pPr>
      <w:r>
        <w:rPr>
          <w:rFonts w:ascii="Times New Roman" w:hAnsi="Times New Roman"/>
          <w:sz w:val="20"/>
        </w:rPr>
        <w:t xml:space="preserve">The term “Event of Default” in respect of the debt securities of your series means any of the following (unless the prospectus supplement relating to such debt securities states otherwise):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pay the principal of, or any premium on, a debt security of the series on its due date, including upon any redemption date or required repurchase date. </w:t>
            </w:r>
          </w:p>
        </w:tc>
      </w:tr>
    </w:tbl>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75"/>
        <w:gridCol w:w="110"/>
        <w:gridCol w:w="60"/>
        <w:gridCol w:w="8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pay interest on a debt security of the series when due, and such default is not cured within 30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deposit any sinking fund payment in respect of debt securities of the series on its due date, and do not cure this default within five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remain in breach of a covenant in respect of debt securities of the series for 60 days after we receive a written notice of default stating we are in breach. The notice must be sent by either the trustee (if a Responsible Officer has actual knowledge of such default) or holders of at least 25% of the principal amount of debt securities of the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file for bankruptcy or certain other events of bankruptcy, insolvency or reorganization occur and remain undischarged or unstayed for a period of 90 days.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 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the last business day of each of twenty-four consecutive calendar months, we have an asset coverage of less than 100%, giving effect to any amendments to Section 18(a)(1)(C)(ii) and Section 61 of the 1940 Act or to any exemptive relief granted to us by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in respect of debt securities of the series described in the applicable prospectus supplement occurs.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determines in good faith that the withholding of notice is in the interests of the 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Remedies If an Event of Default Occurs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has occurred and has not been cured, the trustee (if a Responsible Officer has actual knowledge of such Event of Default)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Before you are allowed to bypass your trustee and bring your own lawsuit or other formal legal action or take other steps to enforce your rights or protect your interests relating to the debt securities, the following must occur: </w:t>
      </w:r>
    </w:p>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75"/>
        <w:gridCol w:w="110"/>
        <w:gridCol w:w="60"/>
        <w:gridCol w:w="8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must give your trustee written notice that an Event of Default has occurred and remains uncured.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trustee must not have taken action for 60 days after receipt of the above notice and offer of indemnity.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in principal amount of the debt securities must not have given the trustee a direction inconsistent with the above notice during that 60 day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you are entitled at any time to bring a lawsuit for the payment of money due on your debt securities on or after the due date. </w:t>
      </w:r>
    </w:p>
    <w:p>
      <w:pPr>
        <w:pStyle w:val="TextBody"/>
        <w:bidi w:val="0"/>
        <w:spacing w:before="240" w:after="0"/>
        <w:jc w:val="left"/>
        <w:rPr>
          <w:rFonts w:ascii="Times New Roman" w:hAnsi="Times New Roman"/>
          <w:sz w:val="20"/>
        </w:rPr>
      </w:pPr>
      <w:r>
        <w:rPr>
          <w:rFonts w:ascii="Times New Roman" w:hAnsi="Times New Roman"/>
          <w:sz w:val="20"/>
        </w:rPr>
        <w:t xml:space="preserve">Holders of a majority in principal amount of the debt securities of the affected series may waive any past defaults other than: </w:t>
      </w:r>
    </w:p>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75"/>
        <w:gridCol w:w="110"/>
        <w:gridCol w:w="60"/>
        <w:gridCol w:w="4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principal, any premium or interest; or </w:t>
            </w:r>
          </w:p>
        </w:tc>
      </w:tr>
    </w:tbl>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75"/>
        <w:gridCol w:w="110"/>
        <w:gridCol w:w="60"/>
        <w:gridCol w:w="7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 covenant that cannot be modified or amended without the consent of each holder.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bidi w:val="0"/>
        <w:spacing w:before="120" w:after="0"/>
        <w:jc w:val="left"/>
        <w:rPr>
          <w:rFonts w:ascii="Times New Roman" w:hAnsi="Times New Roman"/>
          <w:sz w:val="20"/>
        </w:rPr>
      </w:pPr>
      <w:r>
        <w:rPr>
          <w:rFonts w:ascii="Times New Roman" w:hAnsi="Times New Roman"/>
          <w:sz w:val="20"/>
        </w:rPr>
        <w:t xml:space="preserve">Each year, we will furnish to each trustee a written statement of certain of our officers certifying that to their knowledge we are in compliance with the indenture and the debt securities, or else specifying any default.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Where we merge out of existence or sell all or substantially all our assets, the resulting entity or transferee must be organized and existing in the United States and must agree to be legally responsible for our obligations under the debt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before and immediately after giving effect to such transaction, no Default or Event of Default shall have happened and be continuing.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certain certificates and documents to the trustee.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satisfy any other requirements specified in the prospectus supplement relating to a particular series of debt securities.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Covenants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Modification or Waiver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types of changes we can make to the indenture and the debt securities issued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Requiring Your Approval </w:t>
      </w:r>
    </w:p>
    <w:p>
      <w:pPr>
        <w:pStyle w:val="TextBody"/>
        <w:bidi w:val="0"/>
        <w:spacing w:before="120" w:after="0"/>
        <w:jc w:val="left"/>
        <w:rPr>
          <w:rFonts w:ascii="Times New Roman" w:hAnsi="Times New Roman"/>
          <w:sz w:val="20"/>
        </w:rPr>
      </w:pPr>
      <w:r>
        <w:rPr>
          <w:rFonts w:ascii="Times New Roman" w:hAnsi="Times New Roman"/>
          <w:sz w:val="20"/>
        </w:rPr>
        <w:t xml:space="preserve">First, there are changes that we cannot make to your debt securities without your specific approval. The following is a list of those types of changes: </w:t>
      </w:r>
    </w:p>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75"/>
        <w:gridCol w:w="110"/>
        <w:gridCol w:w="60"/>
        <w:gridCol w:w="6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interest on a debt security; </w:t>
            </w:r>
          </w:p>
        </w:tc>
      </w:tr>
    </w:tbl>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75"/>
        <w:gridCol w:w="110"/>
        <w:gridCol w:w="60"/>
        <w:gridCol w:w="3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any amounts due on a debt security; </w:t>
            </w:r>
          </w:p>
        </w:tc>
      </w:tr>
    </w:tbl>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payable upon acceleration of the maturity of a security following a default;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of repayment at the holder’s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(except as otherwise described in the prospectus or prospectus supplement) or currency of payment on a debt security; </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impair your right to sue for payment;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to convert or exchange a debt security in accordance with its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modify the subordination provisions in the indenture in a manner that is adverse to outstanding holders of the debt securities;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debt securities whose consent is needed to modify or amend the indenture;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debt securities whose consent is needed to waive compliance with certain provisions of the indenture or to waive certain defaults;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modify certain of the provisions of the indenture dealing with supplemental indentures, modification and waiver of past defaults, changes to the quorum or voting requirements or the waiver of certain covenants; and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any obligation we have to pay additional amounts.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Changes Not Requiring Approval </w:t>
      </w:r>
    </w:p>
    <w:p>
      <w:pPr>
        <w:pStyle w:val="TextBody"/>
        <w:bidi w:val="0"/>
        <w:spacing w:before="120" w:after="0"/>
        <w:jc w:val="left"/>
        <w:rPr>
          <w:rFonts w:ascii="Times New Roman" w:hAnsi="Times New Roman"/>
          <w:sz w:val="20"/>
        </w:rPr>
      </w:pPr>
      <w:r>
        <w:rPr>
          <w:rFonts w:ascii="Times New Roman" w:hAnsi="Times New Roman"/>
          <w:sz w:val="20"/>
        </w:rPr>
        <w:t xml:space="preserve">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Requiring Majority Approval </w:t>
      </w:r>
    </w:p>
    <w:p>
      <w:pPr>
        <w:pStyle w:val="TextBody"/>
        <w:bidi w:val="0"/>
        <w:spacing w:before="120" w:after="0"/>
        <w:jc w:val="left"/>
        <w:rPr>
          <w:rFonts w:ascii="Times New Roman" w:hAnsi="Times New Roman"/>
          <w:sz w:val="20"/>
        </w:rPr>
      </w:pPr>
      <w:r>
        <w:rPr>
          <w:rFonts w:ascii="Times New Roman" w:hAnsi="Times New Roman"/>
          <w:sz w:val="20"/>
        </w:rPr>
        <w:t xml:space="preserve">Any other change to the indenture and the debt securities would require the following approval: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one series of debt securities, it must be approved by the holders of a majority in principal amount of that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Further Details Concerning Voting </w:t>
      </w:r>
    </w:p>
    <w:p>
      <w:pPr>
        <w:pStyle w:val="TextBody"/>
        <w:bidi w:val="0"/>
        <w:spacing w:before="120" w:after="0"/>
        <w:jc w:val="left"/>
        <w:rPr>
          <w:rFonts w:ascii="Times New Roman" w:hAnsi="Times New Roman"/>
          <w:sz w:val="20"/>
        </w:rPr>
      </w:pPr>
      <w:r>
        <w:rPr>
          <w:rFonts w:ascii="Times New Roman" w:hAnsi="Times New Roman"/>
          <w:sz w:val="20"/>
        </w:rPr>
        <w:t xml:space="preserve">When taking a vote, we will use the following rules to decide how much principal to attribute to a debt security: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original issue discount securities, we will use the principal amount that would be due and payable on the voting date if the maturity of these debt securities were accelerated to that date because of a default.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whose principal amount is not known (for example, because it is based on an index), we will use a special rule for that debt security described in the prospectus supplement. </w:t>
            </w:r>
          </w:p>
        </w:tc>
      </w:tr>
    </w:tbl>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75"/>
        <w:gridCol w:w="110"/>
        <w:gridCol w:w="60"/>
        <w:gridCol w:w="8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denominated in one or more foreign currencies, we will use the U.S. dollar equivalent.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will not be considered outstanding, and therefore not eligible to vote, if we have deposited or set aside in trust money for their payment or redemption. Debt securities will also not be eligible to vote if they have been fully defeased as described later under “—Defeasance-Full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Book-entry and other indirect holders should consult their banks or brokers for information on how approval may be granted or denied if we seek to change the indenture or the debt securities or request a waiver.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provisions will be applicable to each series of debt securities unless we state in the applicable prospectus supplement that the provisions of covenant defeasance and full defeasance will not be applicable to that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and officers’ certificate stating that all conditions precedent to covenant defeasance have been complied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Full Defeasance </w:t>
      </w:r>
    </w:p>
    <w:p>
      <w:pPr>
        <w:pStyle w:val="TextBody"/>
        <w:bidi w:val="0"/>
        <w:spacing w:before="120" w:after="0"/>
        <w:jc w:val="left"/>
        <w:rPr>
          <w:rFonts w:ascii="Times New Roman" w:hAnsi="Times New Roman"/>
          <w:sz w:val="20"/>
        </w:rPr>
      </w:pPr>
      <w:r>
        <w:rPr>
          <w:rFonts w:ascii="Times New Roman" w:hAnsi="Times New Roman"/>
          <w:sz w:val="20"/>
        </w:rPr>
        <w:t xml:space="preserve">If there is a change in U.S. federal tax law, as described below, we can legally release ourselves from all payment and other obligations on the debt securities of a particular series (called “full defeasance”) if we put in place the following other arrangements for you to be repaid: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and officers’ certificate stating that all conditions precedent to defeasance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of Certificated 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Holders may exchange their certificated securities, if any, for debt securities of smaller denominations or combined into fewer debt securities of larger denominations, as long as the total principal amount is not changed. </w:t>
      </w:r>
    </w:p>
    <w:p>
      <w:pPr>
        <w:pStyle w:val="TextBody"/>
        <w:bidi w:val="0"/>
        <w:spacing w:before="240" w:after="0"/>
        <w:jc w:val="left"/>
        <w:rPr>
          <w:rFonts w:ascii="Times New Roman" w:hAnsi="Times New Roman"/>
          <w:sz w:val="20"/>
        </w:rPr>
      </w:pPr>
      <w:r>
        <w:rPr>
          <w:rFonts w:ascii="Times New Roman" w:hAnsi="Times New Roman"/>
          <w:sz w:val="20"/>
        </w:rPr>
        <w:t xml:space="preserve">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before="240" w:after="0"/>
        <w:jc w:val="left"/>
        <w:rPr>
          <w:rFonts w:ascii="Times New Roman" w:hAnsi="Times New Roman"/>
          <w:sz w:val="20"/>
        </w:rPr>
      </w:pPr>
      <w:r>
        <w:rPr>
          <w:rFonts w:ascii="Times New Roman" w:hAnsi="Times New Roman"/>
          <w:sz w:val="20"/>
        </w:rPr>
        <w:t xml:space="preserve">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 </w:t>
      </w:r>
    </w:p>
    <w:p>
      <w:pPr>
        <w:pStyle w:val="TextBody"/>
        <w:bidi w:val="0"/>
        <w:spacing w:before="240" w:after="0"/>
        <w:jc w:val="left"/>
        <w:rPr>
          <w:rFonts w:ascii="Times New Roman" w:hAnsi="Times New Roman"/>
          <w:sz w:val="20"/>
        </w:rPr>
      </w:pPr>
      <w:r>
        <w:rPr>
          <w:rFonts w:ascii="Times New Roman" w:hAnsi="Times New Roman"/>
          <w:sz w:val="20"/>
        </w:rPr>
        <w:t xml:space="preserve">If any certificated securities of a particular series are redeemable and we redeem less than all the debt securities of that series, we may block the transfer or exchange of those debt securities during the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of Trustee </w:t>
      </w:r>
    </w:p>
    <w:p>
      <w:pPr>
        <w:pStyle w:val="TextBody"/>
        <w:bidi w:val="0"/>
        <w:spacing w:before="120" w:after="0"/>
        <w:jc w:val="left"/>
        <w:rPr>
          <w:rFonts w:ascii="Times New Roman" w:hAnsi="Times New Roman"/>
          <w:sz w:val="20"/>
        </w:rPr>
      </w:pPr>
      <w:r>
        <w:rPr>
          <w:rFonts w:ascii="Times New Roman" w:hAnsi="Times New Roman"/>
          <w:sz w:val="20"/>
        </w:rPr>
        <w:t xml:space="preserve">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Indenture Provisions-Subordination </w:t>
      </w:r>
    </w:p>
    <w:p>
      <w:pPr>
        <w:pStyle w:val="TextBody"/>
        <w:bidi w:val="0"/>
        <w:spacing w:before="120" w:after="0"/>
        <w:jc w:val="left"/>
        <w:rPr>
          <w:rFonts w:ascii="Times New Roman" w:hAnsi="Times New Roman"/>
          <w:sz w:val="20"/>
        </w:rPr>
      </w:pPr>
      <w:r>
        <w:rPr>
          <w:rFonts w:ascii="Times New Roman" w:hAnsi="Times New Roman"/>
          <w:sz w:val="20"/>
        </w:rPr>
        <w:t xml:space="preserve">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 </w:t>
      </w:r>
    </w:p>
    <w:p>
      <w:pPr>
        <w:pStyle w:val="TextBody"/>
        <w:bidi w:val="0"/>
        <w:spacing w:before="240" w:after="0"/>
        <w:jc w:val="left"/>
        <w:rPr/>
      </w:pPr>
      <w:r>
        <w:rPr/>
        <w:t>“</w:t>
      </w:r>
      <w:r>
        <w:rPr>
          <w:rFonts w:ascii="Times New Roman" w:hAnsi="Times New Roman"/>
          <w:sz w:val="20"/>
        </w:rPr>
        <w:t xml:space="preserve">Senior Indebtedness” is defined in the indenture as the principal of (and premium, if any) and unpaid interest 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renewals, extensions, modifications and refinancings of any of this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Secured Indebtedness and Ranking </w:t>
      </w:r>
    </w:p>
    <w:p>
      <w:pPr>
        <w:pStyle w:val="TextBody"/>
        <w:bidi w:val="0"/>
        <w:spacing w:before="120" w:after="0"/>
        <w:jc w:val="left"/>
        <w:rPr>
          <w:rFonts w:ascii="Times New Roman" w:hAnsi="Times New Roman"/>
          <w:sz w:val="20"/>
        </w:rPr>
      </w:pPr>
      <w:r>
        <w:rPr>
          <w:rFonts w:ascii="Times New Roman" w:hAnsi="Times New Roman"/>
          <w:sz w:val="20"/>
        </w:rPr>
        <w:t xml:space="preserve">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Each prospectus supplement relating to an offering of debt securities will identify the financial institution to serve as trustee of such debt securities under the applicable indenture. This document and the related documents do not provide a comprehensive description of the rights, benefits, protections, immunities, indemnities, and privileges of the trustee. Rather, the applicable indenture sets forth the trustee’s rights, benefits, protections, immunities, indemnities, and privileges. The trustee assumes (and shall have) no responsibility or liability for the accuracy, correctness, or completeness of the information (including such information concerning us or our affiliates or any other party) contained in this document or the related documents or for any failure by us or any other party to disclose events that may have occurred and may affect the significance or accuracy of such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Considerations Relating To Foreign Currencies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 </w:t>
      </w:r>
    </w:p>
    <w:p>
      <w:pPr>
        <w:pStyle w:val="TextBody"/>
        <w:bidi w:val="0"/>
        <w:spacing w:before="240" w:after="0"/>
        <w:jc w:val="left"/>
        <w:rPr>
          <w:rFonts w:ascii="Times New Roman" w:hAnsi="Times New Roman"/>
          <w:sz w:val="20"/>
        </w:rPr>
      </w:pPr>
      <w:r>
        <w:rPr>
          <w:rFonts w:ascii="Times New Roman" w:hAnsi="Times New Roman"/>
          <w:sz w:val="20"/>
        </w:rPr>
        <w:t xml:space="preserve">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 </w:t>
      </w:r>
    </w:p>
    <w:p>
      <w:pPr>
        <w:pStyle w:val="TextBody"/>
        <w:bidi w:val="0"/>
        <w:spacing w:before="240" w:after="0"/>
        <w:jc w:val="left"/>
        <w:rPr>
          <w:rFonts w:ascii="Times New Roman" w:hAnsi="Times New Roman"/>
          <w:sz w:val="20"/>
        </w:rPr>
      </w:pPr>
      <w:r>
        <w:rPr>
          <w:rFonts w:ascii="Times New Roman" w:hAnsi="Times New Roman"/>
          <w:sz w:val="20"/>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shall be sent to DTC. If less than all of the debt securities within an issue are being redeemed, DTC’s practice is to determine by lot the amount of the interest of each Direct Participant in such issue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debt securities will be made to Cede &amp; Co., or such other nominee as may be requested by an authorized representative of DTC. DTC’s practice is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and DTC’s book-entry system has been obtained from sources that we believe to be reliable, but we take no responsibility for the accuracy thereof. </w:t>
      </w:r>
    </w:p>
    <w:p>
      <w:pPr>
        <w:pStyle w:val="TextBody"/>
        <w:bidi w:val="0"/>
        <w:spacing w:before="480" w:after="0"/>
        <w:jc w:val="center"/>
        <w:rPr>
          <w:rFonts w:ascii="Times New Roman" w:hAnsi="Times New Roman"/>
          <w:b/>
          <w:sz w:val="20"/>
        </w:rPr>
      </w:pPr>
      <w:bookmarkStart w:id="24" w:name="toc570824_22"/>
      <w:bookmarkEnd w:id="24"/>
      <w:r>
        <w:rPr>
          <w:rFonts w:ascii="Times New Roman" w:hAnsi="Times New Roman"/>
          <w:b/>
          <w:sz w:val="20"/>
        </w:rPr>
        <w:t xml:space="preserve">CUSTODIAN, TRANSFER AND DIVIDEND PAYING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Our securities and loan documents are held by State Street Bank and Trust Company pursuant to a custodian agreement and Equiniti Trust Company, LLC serves as our transfer agent, distribution paying agent and registrar. The principal business address of State Street Bank and Trust Company is 1 Lincoln Street, Boston, Massachusetts 02111. The principal business address of Equiniti Trust Company, LLC is 6201 15th Avenue, Brooklyn, NY 11219. </w:t>
      </w:r>
    </w:p>
    <w:p>
      <w:pPr>
        <w:pStyle w:val="TextBody"/>
        <w:bidi w:val="0"/>
        <w:spacing w:before="480" w:after="0"/>
        <w:jc w:val="center"/>
        <w:rPr>
          <w:rFonts w:ascii="Times New Roman" w:hAnsi="Times New Roman"/>
          <w:b/>
          <w:sz w:val="20"/>
        </w:rPr>
      </w:pPr>
      <w:bookmarkStart w:id="25" w:name="toc570824_23"/>
      <w:bookmarkEnd w:id="25"/>
      <w:r>
        <w:rPr>
          <w:rFonts w:ascii="Times New Roman" w:hAnsi="Times New Roman"/>
          <w:b/>
          <w:sz w:val="20"/>
        </w:rPr>
        <w:t xml:space="preserve">BROKERAGE ALLOCATION AND OTHER PRACTICES </w:t>
      </w:r>
    </w:p>
    <w:p>
      <w:pPr>
        <w:pStyle w:val="TextBody"/>
        <w:bidi w:val="0"/>
        <w:spacing w:before="240" w:after="0"/>
        <w:jc w:val="left"/>
        <w:rPr>
          <w:rFonts w:ascii="Times New Roman" w:hAnsi="Times New Roman"/>
          <w:sz w:val="20"/>
        </w:rPr>
      </w:pPr>
      <w:r>
        <w:rPr>
          <w:rFonts w:ascii="Times New Roman" w:hAnsi="Times New Roman"/>
          <w:sz w:val="20"/>
        </w:rPr>
        <w:t xml:space="preserve">Since we will acquire and dispose of many of our investments in privately negotiated transactions, many of the transactions that we engage in will not require the use of brokers or the payment of brokerage commissions. </w:t>
      </w:r>
    </w:p>
    <w:p>
      <w:pPr>
        <w:pStyle w:val="TextBody"/>
        <w:bidi w:val="0"/>
        <w:spacing w:before="240" w:after="0"/>
        <w:jc w:val="left"/>
        <w:rPr>
          <w:rFonts w:ascii="Times New Roman" w:hAnsi="Times New Roman"/>
          <w:sz w:val="20"/>
        </w:rPr>
      </w:pPr>
      <w:r>
        <w:rPr>
          <w:rFonts w:ascii="Times New Roman" w:hAnsi="Times New Roman"/>
          <w:sz w:val="20"/>
        </w:rPr>
        <w:t xml:space="preserve">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 </w:t>
      </w:r>
    </w:p>
    <w:p>
      <w:pPr>
        <w:pStyle w:val="TextBody"/>
        <w:bidi w:val="0"/>
        <w:spacing w:before="240" w:after="0"/>
        <w:jc w:val="left"/>
        <w:rPr>
          <w:rFonts w:ascii="Times New Roman" w:hAnsi="Times New Roman"/>
          <w:sz w:val="20"/>
        </w:rPr>
      </w:pPr>
      <w:r>
        <w:rPr>
          <w:rFonts w:ascii="Times New Roman" w:hAnsi="Times New Roman"/>
          <w:sz w:val="20"/>
        </w:rPr>
        <w:t xml:space="preserve">We also pay brokerage commissions incurred in connection with purchases pursuant to the Company 10b5-1 Plan.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amount of brokerage commissions paid by us during the three most recent completed fiscal years is less than $0.4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6" w:name="toc570824_24"/>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through underwriters or dealers, directly to one or more purchasers, including existing stockholders in a rights offering, through agents designated from time to time by us, in “at the market offerings” within the meaning of Rule 415(a)(4) of the Securities Act, to our thought a market maker or into an existing trading market, on an exchange or otherwise, in forward contracts of similar arrangements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 </w:t>
      </w:r>
    </w:p>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securities offered hereby will be sold in such jurisdictions only through registered or licensed brokers or dealers. </w:t>
      </w:r>
    </w:p>
    <w:p>
      <w:pPr>
        <w:pStyle w:val="TextBody"/>
        <w:bidi w:val="0"/>
        <w:spacing w:before="480" w:after="0"/>
        <w:jc w:val="center"/>
        <w:rPr>
          <w:rFonts w:ascii="Times New Roman" w:hAnsi="Times New Roman"/>
          <w:b/>
          <w:sz w:val="20"/>
        </w:rPr>
      </w:pPr>
      <w:bookmarkStart w:id="27" w:name="toc570824_25"/>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legality of the securities offered hereby will be passed upon for us by Simpson Thacher &amp; Bartlett LLP, Washington, D.C. Certain legal matters in connection with the offering will be passed upon for the underwriters, if any, by the counsel named in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8" w:name="toc570824_26"/>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Sixth Street Specialty Lending, Inc. (and subsidiaries) as of December 31, 2022 and 2021, and for each of the years in the three-year period ended December 31, 2022 and the Senior Securities table covering the last ten fiscal years ended December 31, 2022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respectively,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9" w:name="toc570824_27"/>
      <w:bookmarkEnd w:id="29"/>
      <w:r>
        <w:rPr>
          <w:rFonts w:ascii="Times New Roman" w:hAnsi="Times New Roman"/>
          <w:b/>
          <w:sz w:val="20"/>
        </w:rPr>
        <w:t xml:space="preserve">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file with or submit to the SEC periodic and current reports, proxy statements and other information meeting the informational requirements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maintain a website at https://sixthstreetspecialtylending.com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41st Floor, New York, NY 10106, Attention: TSLX Investor Relations, or by emailing us at IRTSLX@sixthstreet.com.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w:t>
      </w:r>
    </w:p>
    <w:p>
      <w:pPr>
        <w:pStyle w:val="TextBody"/>
        <w:bidi w:val="0"/>
        <w:spacing w:before="360" w:after="0"/>
        <w:jc w:val="left"/>
        <w:rPr>
          <w:rFonts w:ascii="Times New Roman" w:hAnsi="Times New Roman"/>
          <w:b/>
          <w:i/>
          <w:sz w:val="20"/>
        </w:rPr>
      </w:pPr>
      <w:r>
        <w:rPr>
          <w:rFonts w:ascii="Times New Roman" w:hAnsi="Times New Roman"/>
          <w:b/>
          <w:i/>
          <w:sz w:val="20"/>
        </w:rPr>
        <w:t xml:space="preserve">Code of Ethics </w:t>
      </w:r>
    </w:p>
    <w:p>
      <w:pPr>
        <w:pStyle w:val="TextBody"/>
        <w:bidi w:val="0"/>
        <w:spacing w:before="120" w:after="0"/>
        <w:jc w:val="left"/>
        <w:rPr>
          <w:rFonts w:ascii="Times New Roman" w:hAnsi="Times New Roman"/>
          <w:sz w:val="20"/>
        </w:rPr>
      </w:pPr>
      <w:r>
        <w:rPr>
          <w:rFonts w:ascii="Times New Roman" w:hAnsi="Times New Roman"/>
          <w:sz w:val="20"/>
        </w:rPr>
        <w:t xml:space="preserve">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Proxy Voting Policies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You may obtain information about how the Adviser voted proxies, free of charge, by making a written request for proxy voting information to: Sixth Street Specialty Lending Advisers, 888 7th Avenue, 41st Floor, New York, NY 10106, Attention: TSLX Investor Relations, or by emailing us at IRTSLX@sixthstreet.com. The SEC also maintains a website at http://www.sec.gov that contains such information. </w:t>
      </w:r>
    </w:p>
    <w:p>
      <w:pPr>
        <w:pStyle w:val="TextBody"/>
        <w:bidi w:val="0"/>
        <w:spacing w:before="480" w:after="0"/>
        <w:jc w:val="center"/>
        <w:rPr>
          <w:rFonts w:ascii="Times New Roman" w:hAnsi="Times New Roman"/>
          <w:b/>
          <w:sz w:val="20"/>
        </w:rPr>
      </w:pPr>
      <w:bookmarkStart w:id="30" w:name="toc570824_28"/>
      <w:bookmarkEnd w:id="30"/>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 xml:space="preserve">Our Annual Report on </w:t>
            </w:r>
            <w:hyperlink r:id="rId9">
              <w:r>
                <w:rPr>
                  <w:rStyle w:val="InternetLink"/>
                  <w:rFonts w:ascii="Times New Roman" w:hAnsi="Times New Roman"/>
                  <w:sz w:val="20"/>
                </w:rPr>
                <w:t>Form 10-K</w:t>
              </w:r>
            </w:hyperlink>
            <w:r>
              <w:rPr>
                <w:rFonts w:ascii="Times New Roman" w:hAnsi="Times New Roman"/>
                <w:sz w:val="20"/>
              </w:rPr>
              <w:t xml:space="preserve"> for the fiscal year ended December 31, 2022, filed with the SEC on February 16, 2023, including the information specifically incorporated by reference into the Form 10-K from our </w:t>
            </w:r>
            <w:hyperlink r:id="rId10">
              <w:r>
                <w:rPr>
                  <w:rStyle w:val="InternetLink"/>
                  <w:rFonts w:ascii="Times New Roman" w:hAnsi="Times New Roman"/>
                  <w:sz w:val="20"/>
                </w:rPr>
                <w:t>Definitive Proxy Statement</w:t>
              </w:r>
            </w:hyperlink>
            <w:r>
              <w:rPr>
                <w:rFonts w:ascii="Times New Roman" w:hAnsi="Times New Roman"/>
                <w:sz w:val="20"/>
              </w:rPr>
              <w:t xml:space="preserve"> on Schedule 14A relating to our 2023 Annual Meeting of Stockholders, filed with the SEC on April 13,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 xml:space="preserve">Our Quarterly Reports on Form 10-Q for the three months ended March 31, 2023, filed with the SEC on </w:t>
            </w:r>
            <w:hyperlink r:id="rId11">
              <w:r>
                <w:rPr>
                  <w:rStyle w:val="InternetLink"/>
                  <w:rFonts w:ascii="Times New Roman" w:hAnsi="Times New Roman"/>
                  <w:sz w:val="20"/>
                </w:rPr>
                <w:t>May 8, 2023</w:t>
              </w:r>
            </w:hyperlink>
            <w:r>
              <w:rPr>
                <w:rFonts w:ascii="Times New Roman" w:hAnsi="Times New Roman"/>
                <w:sz w:val="20"/>
              </w:rPr>
              <w:t xml:space="preserve">, for the three months ended June 30, 2023, filed with the SEC on </w:t>
            </w:r>
            <w:hyperlink r:id="rId12">
              <w:r>
                <w:rPr>
                  <w:rStyle w:val="InternetLink"/>
                  <w:rFonts w:ascii="Times New Roman" w:hAnsi="Times New Roman"/>
                  <w:sz w:val="20"/>
                </w:rPr>
                <w:t>August 3, 2023</w:t>
              </w:r>
            </w:hyperlink>
            <w:r>
              <w:rPr>
                <w:rFonts w:ascii="Times New Roman" w:hAnsi="Times New Roman"/>
                <w:sz w:val="20"/>
              </w:rPr>
              <w:t xml:space="preserve">, and for the three months ended September 30, 2023, filed with the SEC on </w:t>
            </w:r>
            <w:hyperlink r:id="rId13">
              <w:r>
                <w:rPr>
                  <w:rStyle w:val="InternetLink"/>
                  <w:rFonts w:ascii="Times New Roman" w:hAnsi="Times New Roman"/>
                  <w:sz w:val="20"/>
                </w:rPr>
                <w:t>November 2, 2023</w:t>
              </w:r>
            </w:hyperlink>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 xml:space="preserve">Our Current Reports on Form 8-K, filed with the SEC on </w:t>
            </w:r>
            <w:hyperlink r:id="rId14">
              <w:r>
                <w:rPr>
                  <w:rStyle w:val="InternetLink"/>
                  <w:rFonts w:ascii="Times New Roman" w:hAnsi="Times New Roman"/>
                  <w:sz w:val="20"/>
                </w:rPr>
                <w:t>May 15, 2023</w:t>
              </w:r>
            </w:hyperlink>
            <w:r>
              <w:rPr>
                <w:rFonts w:ascii="Times New Roman" w:hAnsi="Times New Roman"/>
                <w:sz w:val="20"/>
              </w:rPr>
              <w:t xml:space="preserve">, </w:t>
            </w:r>
            <w:hyperlink r:id="rId15">
              <w:r>
                <w:rPr>
                  <w:rStyle w:val="InternetLink"/>
                  <w:rFonts w:ascii="Times New Roman" w:hAnsi="Times New Roman"/>
                  <w:sz w:val="20"/>
                </w:rPr>
                <w:t>May 26, 2023</w:t>
              </w:r>
            </w:hyperlink>
            <w:r>
              <w:rPr>
                <w:rFonts w:ascii="Times New Roman" w:hAnsi="Times New Roman"/>
                <w:sz w:val="20"/>
              </w:rPr>
              <w:t xml:space="preserve">, </w:t>
            </w:r>
            <w:hyperlink r:id="rId16">
              <w:r>
                <w:rPr>
                  <w:rStyle w:val="InternetLink"/>
                  <w:rFonts w:ascii="Times New Roman" w:hAnsi="Times New Roman"/>
                  <w:sz w:val="20"/>
                </w:rPr>
                <w:t>June 12, 2023</w:t>
              </w:r>
            </w:hyperlink>
            <w:r>
              <w:rPr>
                <w:rFonts w:ascii="Times New Roman" w:hAnsi="Times New Roman"/>
                <w:sz w:val="20"/>
              </w:rPr>
              <w:t xml:space="preserve">, </w:t>
            </w:r>
            <w:hyperlink r:id="rId17">
              <w:r>
                <w:rPr>
                  <w:rStyle w:val="InternetLink"/>
                  <w:rFonts w:ascii="Times New Roman" w:hAnsi="Times New Roman"/>
                  <w:sz w:val="20"/>
                </w:rPr>
                <w:t>June 13, 2023</w:t>
              </w:r>
            </w:hyperlink>
            <w:r>
              <w:rPr>
                <w:rFonts w:ascii="Times New Roman" w:hAnsi="Times New Roman"/>
                <w:sz w:val="20"/>
              </w:rPr>
              <w:t xml:space="preserve">, </w:t>
            </w:r>
            <w:hyperlink r:id="rId18">
              <w:r>
                <w:rPr>
                  <w:rStyle w:val="InternetLink"/>
                  <w:rFonts w:ascii="Times New Roman" w:hAnsi="Times New Roman"/>
                  <w:sz w:val="20"/>
                </w:rPr>
                <w:t>July 14, 2023</w:t>
              </w:r>
            </w:hyperlink>
            <w:r>
              <w:rPr>
                <w:rFonts w:ascii="Times New Roman" w:hAnsi="Times New Roman"/>
                <w:sz w:val="20"/>
              </w:rPr>
              <w:t xml:space="preserve">, </w:t>
            </w:r>
            <w:hyperlink r:id="rId19">
              <w:r>
                <w:rPr>
                  <w:rStyle w:val="InternetLink"/>
                  <w:rFonts w:ascii="Times New Roman" w:hAnsi="Times New Roman"/>
                  <w:sz w:val="20"/>
                </w:rPr>
                <w:t>July 17, 2023</w:t>
              </w:r>
            </w:hyperlink>
            <w:r>
              <w:rPr>
                <w:rFonts w:ascii="Times New Roman" w:hAnsi="Times New Roman"/>
                <w:sz w:val="20"/>
              </w:rPr>
              <w:t xml:space="preserve">, </w:t>
            </w:r>
            <w:hyperlink r:id="rId20">
              <w:r>
                <w:rPr>
                  <w:rStyle w:val="InternetLink"/>
                  <w:rFonts w:ascii="Times New Roman" w:hAnsi="Times New Roman"/>
                  <w:sz w:val="20"/>
                </w:rPr>
                <w:t>August 10, 2023</w:t>
              </w:r>
            </w:hyperlink>
            <w:r>
              <w:rPr>
                <w:rFonts w:ascii="Times New Roman" w:hAnsi="Times New Roman"/>
                <w:sz w:val="20"/>
              </w:rPr>
              <w:t xml:space="preserve"> and </w:t>
            </w:r>
            <w:hyperlink r:id="rId21">
              <w:r>
                <w:rPr>
                  <w:rStyle w:val="InternetLink"/>
                  <w:rFonts w:ascii="Times New Roman" w:hAnsi="Times New Roman"/>
                  <w:sz w:val="20"/>
                </w:rPr>
                <w:t>August 14, 2023</w:t>
              </w:r>
            </w:hyperlink>
            <w:r>
              <w:rPr>
                <w:rFonts w:ascii="Times New Roman" w:hAnsi="Times New Roman"/>
                <w:sz w:val="20"/>
              </w:rPr>
              <w:t xml:space="preserv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2">
              <w:r>
                <w:rPr>
                  <w:rStyle w:val="InternetLink"/>
                  <w:rFonts w:ascii="Times New Roman" w:hAnsi="Times New Roman"/>
                  <w:sz w:val="20"/>
                </w:rPr>
                <w:t>Form 8-A</w:t>
              </w:r>
            </w:hyperlink>
            <w:r>
              <w:rPr>
                <w:rFonts w:ascii="Times New Roman" w:hAnsi="Times New Roman"/>
                <w:sz w:val="20"/>
              </w:rPr>
              <w:t xml:space="preserve"> (File No. 001-36364), as filed with the SEC on March 19, 2014, including any amendment or report filed for the purpose of updating such description prior to the termination of the offering of the common stock registered hereby.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Sixth Street Specialty Lending, Inc. </w:t>
      </w:r>
    </w:p>
    <w:p>
      <w:pPr>
        <w:pStyle w:val="TextBody"/>
        <w:bidi w:val="0"/>
        <w:spacing w:before="20" w:after="0"/>
        <w:jc w:val="center"/>
        <w:rPr>
          <w:rFonts w:ascii="Times New Roman" w:hAnsi="Times New Roman"/>
          <w:sz w:val="20"/>
        </w:rPr>
      </w:pPr>
      <w:r>
        <w:rPr>
          <w:rFonts w:ascii="Times New Roman" w:hAnsi="Times New Roman"/>
          <w:sz w:val="20"/>
        </w:rPr>
        <w:t xml:space="preserve">888 7th Avenue, 41st Floor </w:t>
      </w:r>
    </w:p>
    <w:p>
      <w:pPr>
        <w:pStyle w:val="TextBody"/>
        <w:bidi w:val="0"/>
        <w:spacing w:before="20" w:after="0"/>
        <w:jc w:val="center"/>
        <w:rPr>
          <w:rFonts w:ascii="Times New Roman" w:hAnsi="Times New Roman"/>
          <w:sz w:val="20"/>
        </w:rPr>
      </w:pPr>
      <w:r>
        <w:rPr>
          <w:rFonts w:ascii="Times New Roman" w:hAnsi="Times New Roman"/>
          <w:sz w:val="20"/>
        </w:rPr>
        <w:t xml:space="preserve">New York, NY 10106 </w:t>
      </w:r>
    </w:p>
    <w:p>
      <w:pPr>
        <w:pStyle w:val="TextBody"/>
        <w:bidi w:val="0"/>
        <w:spacing w:before="20" w:after="0"/>
        <w:jc w:val="center"/>
        <w:rPr>
          <w:rFonts w:ascii="Times New Roman" w:hAnsi="Times New Roman"/>
          <w:sz w:val="20"/>
        </w:rPr>
      </w:pPr>
      <w:r>
        <w:rPr>
          <w:rFonts w:ascii="Times New Roman" w:hAnsi="Times New Roman"/>
          <w:sz w:val="20"/>
        </w:rPr>
        <w:t xml:space="preserve">Attention: TSLX Investor Relations </w:t>
      </w:r>
    </w:p>
    <w:p>
      <w:pPr>
        <w:pStyle w:val="TextBody"/>
        <w:bidi w:val="0"/>
        <w:spacing w:before="20" w:after="0"/>
        <w:jc w:val="center"/>
        <w:rPr>
          <w:rFonts w:ascii="Times New Roman" w:hAnsi="Times New Roman"/>
          <w:sz w:val="20"/>
        </w:rPr>
      </w:pPr>
      <w:r>
        <w:rPr>
          <w:rFonts w:ascii="Times New Roman" w:hAnsi="Times New Roman"/>
          <w:sz w:val="20"/>
          <w:u w:val="single"/>
        </w:rPr>
        <w:t>Email</w:t>
      </w:r>
      <w:r>
        <w:rPr>
          <w:rFonts w:ascii="Times New Roman" w:hAnsi="Times New Roman"/>
          <w:sz w:val="20"/>
        </w:rPr>
        <w:t xml:space="preserve">: IRTSLX@sixthstreet.com.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bidi w:val="0"/>
        <w:jc w:val="left"/>
        <w:rPr/>
      </w:pPr>
      <w:r>
        <w:rPr/>
      </w:r>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0" w:after="0"/>
        <w:jc w:val="center"/>
        <w:rPr>
          <w:rFonts w:ascii="Times New Roman" w:hAnsi="Times New Roman"/>
          <w:b/>
          <w:sz w:val="32"/>
        </w:rPr>
      </w:pPr>
      <w:r>
        <w:rPr>
          <w:rFonts w:ascii="Times New Roman" w:hAnsi="Times New Roman"/>
          <w:b/>
          <w:sz w:val="32"/>
        </w:rPr>
        <w:t xml:space="preserve">4,000,000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5580" cy="609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3"/>
                    <a:stretch>
                      <a:fillRect/>
                    </a:stretch>
                  </pic:blipFill>
                  <pic:spPr bwMode="auto">
                    <a:xfrm>
                      <a:off x="0" y="0"/>
                      <a:ext cx="195580" cy="6096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p>
      <w:pPr>
        <w:pStyle w:val="TextBody"/>
        <w:bidi w:val="0"/>
        <w:spacing w:before="120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0" w:after="0"/>
        <w:jc w:val="left"/>
        <w:rPr/>
      </w:pPr>
      <w:r>
        <w:rPr/>
        <w:t> </w:t>
      </w:r>
    </w:p>
    <w:tbl>
      <w:tblPr>
        <w:tblW w:w="8015" w:type="dxa"/>
        <w:jc w:val="left"/>
        <w:tblInd w:w="0" w:type="dxa"/>
        <w:tblLayout w:type="fixed"/>
        <w:tblCellMar>
          <w:top w:w="0" w:type="dxa"/>
          <w:left w:w="0" w:type="dxa"/>
          <w:bottom w:w="0" w:type="dxa"/>
          <w:right w:w="0" w:type="dxa"/>
        </w:tblCellMar>
      </w:tblPr>
      <w:tblGrid>
        <w:gridCol w:w="1670"/>
        <w:gridCol w:w="60"/>
        <w:gridCol w:w="2285"/>
        <w:gridCol w:w="60"/>
        <w:gridCol w:w="1595"/>
        <w:gridCol w:w="60"/>
        <w:gridCol w:w="2285"/>
      </w:tblGrid>
      <w:tr>
        <w:trPr/>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b/>
              </w:rPr>
            </w:pPr>
            <w:r>
              <w:rPr>
                <w:b/>
              </w:rPr>
              <w:t>Morgan Stanley</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right"/>
              <w:rPr>
                <w:b/>
              </w:rPr>
            </w:pPr>
            <w:r>
              <w:rPr>
                <w:b/>
              </w:rPr>
              <w:t>Wells Fargo Securities</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b/>
              </w:rPr>
            </w:pPr>
            <w:r>
              <w:rPr>
                <w:b/>
              </w:rPr>
              <w:t>BofA Securities</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right"/>
              <w:rPr>
                <w:b/>
              </w:rPr>
            </w:pPr>
            <w:r>
              <w:rPr>
                <w:b/>
              </w:rPr>
              <w:t>RBC Capital Markets</w:t>
            </w:r>
          </w:p>
        </w:tc>
      </w:tr>
    </w:tbl>
    <w:tbl>
      <w:tblPr>
        <w:tblW w:w="4405" w:type="dxa"/>
        <w:jc w:val="left"/>
        <w:tblInd w:w="0" w:type="dxa"/>
        <w:tblLayout w:type="fixed"/>
        <w:tblCellMar>
          <w:top w:w="0" w:type="dxa"/>
          <w:left w:w="0" w:type="dxa"/>
          <w:bottom w:w="0" w:type="dxa"/>
          <w:right w:w="0" w:type="dxa"/>
        </w:tblCellMar>
      </w:tblPr>
      <w:tblGrid>
        <w:gridCol w:w="1216"/>
        <w:gridCol w:w="736"/>
        <w:gridCol w:w="738"/>
        <w:gridCol w:w="60"/>
        <w:gridCol w:w="1655"/>
      </w:tblGrid>
      <w:tr>
        <w:trPr/>
        <w:tc>
          <w:tcPr>
            <w:tcW w:w="121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vAlign w:val="center"/>
          </w:tcPr>
          <w:p>
            <w:pPr>
              <w:pStyle w:val="TableContents"/>
              <w:bidi w:val="0"/>
              <w:spacing w:before="0" w:after="283"/>
              <w:jc w:val="left"/>
              <w:rPr>
                <w:sz w:val="4"/>
                <w:szCs w:val="4"/>
              </w:rPr>
            </w:pPr>
            <w:r>
              <w:rPr>
                <w:sz w:val="4"/>
                <w:szCs w:val="4"/>
              </w:rPr>
            </w:r>
          </w:p>
        </w:tc>
        <w:tc>
          <w:tcPr>
            <w:tcW w:w="1715" w:type="dxa"/>
            <w:gridSpan w:val="2"/>
            <w:tcBorders/>
            <w:vAlign w:val="center"/>
          </w:tcPr>
          <w:p>
            <w:pPr>
              <w:pStyle w:val="TableContents"/>
              <w:bidi w:val="0"/>
              <w:spacing w:before="0" w:after="283"/>
              <w:jc w:val="left"/>
              <w:rPr>
                <w:sz w:val="4"/>
                <w:szCs w:val="4"/>
              </w:rPr>
            </w:pPr>
            <w:r>
              <w:rPr>
                <w:sz w:val="4"/>
                <w:szCs w:val="4"/>
              </w:rPr>
            </w:r>
          </w:p>
        </w:tc>
      </w:tr>
      <w:tr>
        <w:trPr/>
        <w:tc>
          <w:tcPr>
            <w:tcW w:w="2690" w:type="dxa"/>
            <w:gridSpan w:val="3"/>
            <w:tcBorders/>
            <w:vAlign w:val="center"/>
          </w:tcPr>
          <w:p>
            <w:pPr>
              <w:pStyle w:val="TableContents"/>
              <w:bidi w:val="0"/>
              <w:spacing w:before="0" w:after="283"/>
              <w:jc w:val="center"/>
              <w:rPr/>
            </w:pPr>
            <w:r>
              <w:rPr>
                <w:b/>
              </w:rPr>
              <w:t>Keefe, Bruyette &amp; Woods,</w:t>
              <w:br/>
            </w:r>
            <w:r>
              <w:rPr/>
              <w:t>   </w:t>
            </w:r>
            <w:r>
              <w:rPr>
                <w:b/>
                <w:i/>
              </w:rPr>
              <w:t>A Stifel Company</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0"/>
              <w:jc w:val="center"/>
              <w:rPr>
                <w:rFonts w:ascii="Times New Roman" w:hAnsi="Times New Roman"/>
                <w:b/>
                <w:sz w:val="22"/>
              </w:rPr>
            </w:pPr>
            <w:r>
              <w:rPr>
                <w:rFonts w:ascii="Times New Roman" w:hAnsi="Times New Roman"/>
                <w:b/>
                <w:sz w:val="22"/>
              </w:rPr>
              <w:t>Raymond James</w:t>
            </w:r>
          </w:p>
        </w:tc>
      </w:tr>
    </w:tbl>
    <w:tbl>
      <w:tblPr>
        <w:tblW w:w="5310" w:type="dxa"/>
        <w:jc w:val="left"/>
        <w:tblInd w:w="0" w:type="dxa"/>
        <w:tblLayout w:type="fixed"/>
        <w:tblCellMar>
          <w:top w:w="0" w:type="dxa"/>
          <w:left w:w="0" w:type="dxa"/>
          <w:bottom w:w="0" w:type="dxa"/>
          <w:right w:w="0" w:type="dxa"/>
        </w:tblCellMar>
      </w:tblPr>
      <w:tblGrid>
        <w:gridCol w:w="1025"/>
        <w:gridCol w:w="60"/>
        <w:gridCol w:w="951"/>
        <w:gridCol w:w="951"/>
        <w:gridCol w:w="953"/>
        <w:gridCol w:w="60"/>
        <w:gridCol w:w="1310"/>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283"/>
              <w:jc w:val="left"/>
              <w:rPr>
                <w:sz w:val="4"/>
                <w:szCs w:val="4"/>
              </w:rPr>
            </w:pPr>
            <w:r>
              <w:rPr>
                <w:sz w:val="4"/>
                <w:szCs w:val="4"/>
              </w:rPr>
            </w:r>
          </w:p>
        </w:tc>
        <w:tc>
          <w:tcPr>
            <w:tcW w:w="2915" w:type="dxa"/>
            <w:gridSpan w:val="4"/>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283"/>
              <w:jc w:val="left"/>
              <w:rPr>
                <w:b/>
              </w:rPr>
            </w:pPr>
            <w:r>
              <w:rPr>
                <w:b/>
              </w:rPr>
              <w:t>Citigroup</w:t>
            </w:r>
          </w:p>
        </w:tc>
        <w:tc>
          <w:tcPr>
            <w:tcW w:w="60" w:type="dxa"/>
            <w:tcBorders/>
            <w:vAlign w:val="center"/>
          </w:tcPr>
          <w:p>
            <w:pPr>
              <w:pStyle w:val="TableContents"/>
              <w:bidi w:val="0"/>
              <w:spacing w:before="0" w:after="283"/>
              <w:jc w:val="left"/>
              <w:rPr/>
            </w:pPr>
            <w:r>
              <w:rPr/>
              <w:t> </w:t>
            </w:r>
          </w:p>
        </w:tc>
        <w:tc>
          <w:tcPr>
            <w:tcW w:w="2855" w:type="dxa"/>
            <w:gridSpan w:val="3"/>
            <w:tcBorders/>
            <w:vAlign w:val="center"/>
          </w:tcPr>
          <w:p>
            <w:pPr>
              <w:pStyle w:val="TableContents"/>
              <w:bidi w:val="0"/>
              <w:spacing w:before="0" w:after="283"/>
              <w:jc w:val="center"/>
              <w:rPr>
                <w:b/>
              </w:rPr>
            </w:pPr>
            <w:r>
              <w:rPr>
                <w:b/>
              </w:rPr>
              <w:t>Goldman Sachs &amp; Co. LLC</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b/>
              </w:rPr>
            </w:pPr>
            <w:r>
              <w:rPr>
                <w:b/>
              </w:rPr>
              <w:t>J.P. Morgan</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960" w:after="0"/>
        <w:jc w:val="center"/>
        <w:rPr>
          <w:rFonts w:ascii="Times New Roman" w:hAnsi="Times New Roman"/>
          <w:b/>
          <w:sz w:val="20"/>
        </w:rPr>
      </w:pPr>
      <w:r>
        <w:rPr>
          <w:rFonts w:ascii="Times New Roman" w:hAnsi="Times New Roman"/>
          <w:b/>
          <w:sz w:val="20"/>
        </w:rPr>
        <w:t xml:space="preserve">February 29, 2024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p>
      <w:pPr>
        <w:pStyle w:val="TextBody"/>
        <w:bidi w:val="0"/>
        <w:spacing w:before="0" w:after="0"/>
        <w:jc w:val="right"/>
        <w:rPr>
          <w:rFonts w:ascii="Times New Roman" w:hAnsi="Times New Roman"/>
          <w:b/>
          <w:sz w:val="20"/>
        </w:rPr>
      </w:pPr>
      <w:bookmarkStart w:id="31" w:name="d570824dexfilingfees.htm"/>
      <w:bookmarkStart w:id="32" w:name="ksd570824dexfilingfees"/>
      <w:bookmarkEnd w:id="31"/>
      <w:bookmarkEnd w:id="32"/>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 xml:space="preserve">Form 424B2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Specialty Lending,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Table 1: Newly Registered and Carry Forward Securities </w:t>
      </w:r>
    </w:p>
    <w:p>
      <w:pPr>
        <w:pStyle w:val="TextBody"/>
        <w:bidi w:val="0"/>
        <w:spacing w:before="0" w:after="0"/>
        <w:jc w:val="left"/>
        <w:rPr/>
      </w:pPr>
      <w:r>
        <w:rPr/>
        <w:t> </w:t>
      </w:r>
    </w:p>
    <w:tbl>
      <w:tblPr>
        <w:tblW w:w="10635" w:type="dxa"/>
        <w:jc w:val="center"/>
        <w:tblInd w:w="0" w:type="dxa"/>
        <w:tblLayout w:type="fixed"/>
        <w:tblCellMar>
          <w:top w:w="0" w:type="dxa"/>
          <w:left w:w="0" w:type="dxa"/>
          <w:bottom w:w="0" w:type="dxa"/>
          <w:right w:w="0" w:type="dxa"/>
        </w:tblCellMar>
      </w:tblPr>
      <w:tblGrid>
        <w:gridCol w:w="815"/>
        <w:gridCol w:w="60"/>
        <w:gridCol w:w="860"/>
        <w:gridCol w:w="60"/>
        <w:gridCol w:w="1280"/>
        <w:gridCol w:w="60"/>
        <w:gridCol w:w="1190"/>
        <w:gridCol w:w="60"/>
        <w:gridCol w:w="1175"/>
        <w:gridCol w:w="60"/>
        <w:gridCol w:w="1070"/>
        <w:gridCol w:w="60"/>
        <w:gridCol w:w="1340"/>
        <w:gridCol w:w="60"/>
        <w:gridCol w:w="1160"/>
        <w:gridCol w:w="60"/>
        <w:gridCol w:w="1265"/>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center"/>
              <w:rPr>
                <w:b/>
              </w:rPr>
            </w:pPr>
            <w:r>
              <w:rPr>
                <w:b/>
              </w:rPr>
              <w:t>Security</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b/>
              </w:rPr>
            </w:pPr>
            <w:r>
              <w:rPr>
                <w:b/>
              </w:rPr>
              <w:t>Security</w:t>
              <w:br/>
              <w:t>Class</w:t>
              <w:b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b/>
              </w:rPr>
            </w:pPr>
            <w:r>
              <w:rPr>
                <w:b/>
              </w:rPr>
              <w:t>Fee</w:t>
              <w:br/>
              <w:t>Calculation</w:t>
              <w:br/>
              <w:t>or Carry</w:t>
              <w:br/>
              <w:t>Forward 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b/>
              </w:rPr>
            </w:pPr>
            <w:r>
              <w:rPr>
                <w:b/>
              </w:rPr>
              <w:t>Amount</w:t>
              <w:br/>
              <w:t>Registered(1)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b/>
              </w:rPr>
            </w:pPr>
            <w:r>
              <w:rPr>
                <w:b/>
              </w:rPr>
              <w:t>Proposed</w:t>
              <w:br/>
              <w:t>Maximum</w:t>
              <w:br/>
              <w:t>Offering</w:t>
              <w:br/>
              <w:t>Price</w:t>
              <w:br/>
              <w:t>Per Unit(2)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b/>
              </w:rPr>
            </w:pPr>
            <w:r>
              <w:rPr>
                <w:b/>
              </w:rPr>
              <w:t>Maximum</w:t>
              <w:br/>
              <w:t>Aggregate</w:t>
              <w:br/>
              <w:t>Offering 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b/>
              </w:rPr>
            </w:pPr>
            <w:r>
              <w:rPr>
                <w:b/>
              </w:rPr>
              <w:t>Fee 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b/>
              </w:rPr>
            </w:pPr>
            <w:r>
              <w:rPr>
                <w:b/>
              </w:rPr>
              <w:t>Amount of</w:t>
              <w:br/>
              <w:t>Registration</w:t>
              <w:br/>
              <w:t>Fee(3)</w:t>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tcBorders>
            <w:tcMar>
              <w:left w:w="160" w:type="dxa"/>
            </w:tcMar>
            <w:vAlign w:val="bottom"/>
          </w:tcPr>
          <w:p>
            <w:pPr>
              <w:pStyle w:val="TableContents"/>
              <w:bidi w:val="0"/>
              <w:spacing w:before="0" w:after="283"/>
              <w:jc w:val="center"/>
              <w:rPr/>
            </w:pPr>
            <w:r>
              <w:rPr/>
              <w:t>Fees to Be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Common Stock,</w:t>
            </w:r>
          </w:p>
          <w:p>
            <w:pPr>
              <w:pStyle w:val="TableContents"/>
              <w:bidi w:val="0"/>
              <w:spacing w:before="0" w:after="0"/>
              <w:jc w:val="center"/>
              <w:rPr>
                <w:rFonts w:ascii="Times New Roman" w:hAnsi="Times New Roman"/>
                <w:sz w:val="20"/>
              </w:rPr>
            </w:pPr>
            <w:r>
              <w:rPr>
                <w:rFonts w:ascii="Times New Roman" w:hAnsi="Times New Roman"/>
                <w:sz w:val="20"/>
              </w:rPr>
              <w:t>$0.01 par value</w:t>
            </w:r>
          </w:p>
          <w:p>
            <w:pPr>
              <w:pStyle w:val="TableContents"/>
              <w:bidi w:val="0"/>
              <w:spacing w:before="0" w:after="20"/>
              <w:jc w:val="center"/>
              <w:rPr>
                <w:rFonts w:ascii="Times New Roman" w:hAnsi="Times New Roman"/>
                <w:sz w:val="20"/>
              </w:rPr>
            </w:pPr>
            <w:r>
              <w:rPr>
                <w:rFonts w:ascii="Times New Roman" w:hAnsi="Times New Roman"/>
                <w:sz w:val="20"/>
              </w:rPr>
              <w:t>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Rule 456(b),</w:t>
            </w:r>
          </w:p>
          <w:p>
            <w:pPr>
              <w:pStyle w:val="TableContents"/>
              <w:bidi w:val="0"/>
              <w:spacing w:before="0" w:after="0"/>
              <w:jc w:val="center"/>
              <w:rPr>
                <w:rFonts w:ascii="Times New Roman" w:hAnsi="Times New Roman"/>
                <w:sz w:val="20"/>
              </w:rPr>
            </w:pPr>
            <w:r>
              <w:rPr>
                <w:rFonts w:ascii="Times New Roman" w:hAnsi="Times New Roman"/>
                <w:sz w:val="20"/>
              </w:rPr>
              <w:t>Rule 457(c) and</w:t>
            </w:r>
          </w:p>
          <w:p>
            <w:pPr>
              <w:pStyle w:val="TableContents"/>
              <w:bidi w:val="0"/>
              <w:spacing w:before="0" w:after="20"/>
              <w:jc w:val="center"/>
              <w:rPr>
                <w:rFonts w:ascii="Times New Roman" w:hAnsi="Times New Roman"/>
                <w:sz w:val="20"/>
              </w:rPr>
            </w:pPr>
            <w:r>
              <w:rPr>
                <w:rFonts w:ascii="Times New Roman" w:hAnsi="Times New Roman"/>
                <w:sz w:val="20"/>
              </w:rPr>
              <w:t>Rule 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4,600,000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$21.83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$100,418,000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0.00014760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$14,821.70</w:t>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Carry</w:t>
            </w:r>
          </w:p>
          <w:p>
            <w:pPr>
              <w:pStyle w:val="TableContents"/>
              <w:bidi w:val="0"/>
              <w:spacing w:before="0" w:after="0"/>
              <w:jc w:val="center"/>
              <w:rPr>
                <w:rFonts w:ascii="Times New Roman" w:hAnsi="Times New Roman"/>
                <w:sz w:val="20"/>
              </w:rPr>
            </w:pPr>
            <w:r>
              <w:rPr>
                <w:rFonts w:ascii="Times New Roman" w:hAnsi="Times New Roman"/>
                <w:sz w:val="20"/>
              </w:rPr>
              <w:t>Forward</w:t>
            </w:r>
          </w:p>
          <w:p>
            <w:pPr>
              <w:pStyle w:val="TableContents"/>
              <w:bidi w:val="0"/>
              <w:spacing w:before="0" w:after="20"/>
              <w:jc w:val="center"/>
              <w:rPr>
                <w:rFonts w:ascii="Times New Roman" w:hAnsi="Times New Roman"/>
                <w:sz w:val="20"/>
              </w:rPr>
            </w:pPr>
            <w:r>
              <w:rPr>
                <w:rFonts w:ascii="Times New Roman" w:hAnsi="Times New Roman"/>
                <w:sz w:val="20"/>
              </w:rPr>
              <w:t>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74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685" w:type="dxa"/>
            <w:gridSpan w:val="7"/>
            <w:tcBorders/>
            <w:vAlign w:val="bottom"/>
          </w:tcPr>
          <w:p>
            <w:pPr>
              <w:pStyle w:val="TableContents"/>
              <w:bidi w:val="0"/>
              <w:spacing w:before="0" w:after="283"/>
              <w:jc w:val="left"/>
              <w:rPr>
                <w:b/>
              </w:rPr>
            </w:pPr>
            <w:r>
              <w:rPr>
                <w:b/>
              </w:rPr>
              <w:t>Total Offering Amounts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$100,418,000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$14,821.70</w:t>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74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685" w:type="dxa"/>
            <w:gridSpan w:val="7"/>
            <w:tcBorders/>
            <w:vAlign w:val="bottom"/>
          </w:tcPr>
          <w:p>
            <w:pPr>
              <w:pStyle w:val="TableContents"/>
              <w:bidi w:val="0"/>
              <w:spacing w:before="0" w:after="283"/>
              <w:jc w:val="left"/>
              <w:rPr>
                <w:b/>
              </w:rPr>
            </w:pPr>
            <w:r>
              <w:rPr>
                <w:b/>
              </w:rPr>
              <w:t>Total Fees Previously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74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685" w:type="dxa"/>
            <w:gridSpan w:val="7"/>
            <w:tcBorders/>
            <w:vAlign w:val="bottom"/>
          </w:tcPr>
          <w:p>
            <w:pPr>
              <w:pStyle w:val="TableContents"/>
              <w:bidi w:val="0"/>
              <w:spacing w:before="0" w:after="283"/>
              <w:jc w:val="left"/>
              <w:rPr>
                <w:b/>
              </w:rPr>
            </w:pPr>
            <w:r>
              <w:rPr>
                <w:b/>
              </w:rPr>
              <w:t>Total Fee Offsets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74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685" w:type="dxa"/>
            <w:gridSpan w:val="7"/>
            <w:tcBorders>
              <w:bottom w:val="single" w:sz="2" w:space="0" w:color="000000"/>
            </w:tcBorders>
            <w:tcMar>
              <w:bottom w:w="28" w:type="dxa"/>
            </w:tcMar>
            <w:vAlign w:val="bottom"/>
          </w:tcPr>
          <w:p>
            <w:pPr>
              <w:pStyle w:val="TableContents"/>
              <w:bidi w:val="0"/>
              <w:spacing w:before="0" w:after="283"/>
              <w:jc w:val="left"/>
              <w:rPr>
                <w:b/>
              </w:rPr>
            </w:pPr>
            <w:r>
              <w:rPr>
                <w:b/>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4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$14,821.70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exercise in full of the underwriters option to purchase up to 600,000 additional shares of common stock, par value $0.01 per share.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solely for the purpose of calculating the registration fee. Pursuant to Rule 457(c) under the Securities Act of 1933, as amended (the Securities Act), the maximum offering price per share and the maximum aggregate offering price have been determined on the basis of the average of the high and low prices reported on the New York Stock Exchange on February 28,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and paid pursuant to Rule 456(b) and Rule 457(r) under the Securities Act of 1933.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08655/000095017024015845/tslx-20231231.htm" TargetMode="External"/><Relationship Id="rId4" Type="http://schemas.openxmlformats.org/officeDocument/2006/relationships/hyperlink" Target="http://www.sec.gov/Archives/edgar/data/../../../ix?doc=/Archives/edgar/data/1508655/000095017024015845/tslx-20231231.htm" TargetMode="External"/><Relationship Id="rId5" Type="http://schemas.openxmlformats.org/officeDocument/2006/relationships/hyperlink" Target="http://www.sec.gov/Archives/edgar/data/../../../ix?doc=/Archives/edgar/data/1508655/000119312524008558/d652899d8k.htm" TargetMode="External"/><Relationship Id="rId6" Type="http://schemas.openxmlformats.org/officeDocument/2006/relationships/hyperlink" Target="http://www.sec.gov/Archives/edgar/data/../../../ix?doc=/Archives/edgar/data/1508655/000119312524008558/d652899d8k.htm" TargetMode="External"/><Relationship Id="rId7" Type="http://schemas.openxmlformats.org/officeDocument/2006/relationships/hyperlink" Target="http://www.sec.gov/Archives/edgar/data/1508655/000119312523100535/d393322ddef14a.htm" TargetMode="External"/><Relationship Id="rId8" Type="http://schemas.openxmlformats.org/officeDocument/2006/relationships/image" Target="media/image1.jpeg"/><Relationship Id="rId9" Type="http://schemas.openxmlformats.org/officeDocument/2006/relationships/hyperlink" Target="http://www.sec.gov/Archives/edgar/data/../../../ix?doc=/Archives/edgar/data/1508655/000095017023003042/tslx-20221231.htm" TargetMode="External"/><Relationship Id="rId10" Type="http://schemas.openxmlformats.org/officeDocument/2006/relationships/hyperlink" Target="http://www.sec.gov/Archives/edgar/data/1508655/000119312523100535/d393322ddef14a.htm" TargetMode="External"/><Relationship Id="rId11" Type="http://schemas.openxmlformats.org/officeDocument/2006/relationships/hyperlink" Target="http://www.sec.gov/Archives/edgar/data/../../../ix?doc=/Archives/edgar/data/1508655/000095017023018777/tslx-20230331.htm" TargetMode="External"/><Relationship Id="rId12" Type="http://schemas.openxmlformats.org/officeDocument/2006/relationships/hyperlink" Target="http://www.sec.gov/Archives/edgar/data/../../../ix?doc=/Archives/edgar/data/1508655/000095017023038066/tslx-20230630.htm" TargetMode="External"/><Relationship Id="rId13" Type="http://schemas.openxmlformats.org/officeDocument/2006/relationships/hyperlink" Target="http://www.sec.gov/Archives/edgar/data/../../../ix?doc=/Archives/edgar/data/1508655/000095017023058321/tslx-20230930.htm" TargetMode="External"/><Relationship Id="rId14" Type="http://schemas.openxmlformats.org/officeDocument/2006/relationships/hyperlink" Target="http://www.sec.gov/Archives/edgar/data/../../../ix?doc=/Archives/edgar/data/1508655/000119312523144982/d509627d8k.htm" TargetMode="External"/><Relationship Id="rId15" Type="http://schemas.openxmlformats.org/officeDocument/2006/relationships/hyperlink" Target="http://www.sec.gov/Archives/edgar/data/../../../ix?doc=/Archives/edgar/data/1508655/000119312523155431/d495066d8k.htm" TargetMode="External"/><Relationship Id="rId16" Type="http://schemas.openxmlformats.org/officeDocument/2006/relationships/hyperlink" Target="http://www.sec.gov/Archives/edgar/data/../../../ix?doc=/Archives/edgar/data/1508655/000119312523165276/d509708d8k.htm" TargetMode="External"/><Relationship Id="rId17" Type="http://schemas.openxmlformats.org/officeDocument/2006/relationships/hyperlink" Target="http://www.sec.gov/Archives/edgar/data/../../../ix?doc=/Archives/edgar/data/1508655/000119312523165451/d509555d8k.htm" TargetMode="External"/><Relationship Id="rId18" Type="http://schemas.openxmlformats.org/officeDocument/2006/relationships/hyperlink" Target="http://www.sec.gov/Archives/edgar/data/../../../ix?doc=/Archives/edgar/data/1508655/000119312523187256/d513136d8k.htm" TargetMode="External"/><Relationship Id="rId19" Type="http://schemas.openxmlformats.org/officeDocument/2006/relationships/hyperlink" Target="http://www.sec.gov/Archives/edgar/data/../../../ix?doc=/Archives/edgar/data/1508655/000119312523188221/d534568d8ka.htm" TargetMode="External"/><Relationship Id="rId20" Type="http://schemas.openxmlformats.org/officeDocument/2006/relationships/hyperlink" Target="http://www.sec.gov/Archives/edgar/data/../../../ix?doc=/Archives/edgar/data/1508655/000119312523209093/d513738d8k.htm" TargetMode="External"/><Relationship Id="rId21" Type="http://schemas.openxmlformats.org/officeDocument/2006/relationships/hyperlink" Target="http://www.sec.gov/Archives/edgar/data/../../../ix?doc=/Archives/edgar/data/1508655/000119312523212327/d480136d8k.htm" TargetMode="External"/><Relationship Id="rId22" Type="http://schemas.openxmlformats.org/officeDocument/2006/relationships/hyperlink" Target="http://www.sec.gov/Archives/edgar/data/1508655/000119312514106230/d688211d8a12b.htm" TargetMode="External"/><Relationship Id="rId23" Type="http://schemas.openxmlformats.org/officeDocument/2006/relationships/image" Target="media/image1.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106</Pages>
  <Words>64678</Words>
  <Characters>336222</Characters>
  <CharactersWithSpaces>407788</CharactersWithSpaces>
  <Paragraphs>15491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