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91440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0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5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500" w:type="dxa"/>
            <w:vAlign w:val="bottom"/>
          </w:tcPr>
          <w:p>
            <w:pPr>
              <w:jc w:val="center"/>
              <w:ind w:right="1859"/>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500" w:type="dxa"/>
            <w:vAlign w:val="bottom"/>
          </w:tcPr>
          <w:p>
            <w:pPr>
              <w:jc w:val="center"/>
              <w:ind w:right="18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00" w:type="dxa"/>
            <w:vAlign w:val="bottom"/>
          </w:tcPr>
          <w:p>
            <w:pPr>
              <w:jc w:val="center"/>
              <w:ind w:right="1859"/>
              <w:spacing w:after="0"/>
              <w:rPr>
                <w:sz w:val="20"/>
                <w:szCs w:val="20"/>
                <w:color w:val="auto"/>
              </w:rPr>
            </w:pPr>
            <w:r>
              <w:rPr>
                <w:rFonts w:ascii="Arial" w:cs="Arial" w:eastAsia="Arial" w:hAnsi="Arial"/>
                <w:sz w:val="14"/>
                <w:szCs w:val="14"/>
                <w:b w:val="1"/>
                <w:bCs w:val="1"/>
                <w:color w:val="auto"/>
                <w:w w:val="94"/>
              </w:rPr>
              <w:t>incorporation or organization)</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4500" w:type="dxa"/>
            <w:vAlign w:val="bottom"/>
          </w:tcPr>
          <w:p>
            <w:pPr>
              <w:jc w:val="center"/>
              <w:ind w:right="1839"/>
              <w:spacing w:after="0"/>
              <w:rPr>
                <w:sz w:val="20"/>
                <w:szCs w:val="20"/>
                <w:color w:val="auto"/>
              </w:rPr>
            </w:pPr>
            <w:r>
              <w:rPr>
                <w:rFonts w:ascii="Arial" w:cs="Arial" w:eastAsia="Arial" w:hAnsi="Arial"/>
                <w:sz w:val="18"/>
                <w:szCs w:val="18"/>
                <w:b w:val="1"/>
                <w:bCs w:val="1"/>
                <w:color w:val="auto"/>
                <w:w w:val="89"/>
              </w:rPr>
              <w:t>301 Commerce Street, Suite 3300,</w:t>
            </w:r>
          </w:p>
        </w:tc>
        <w:tc>
          <w:tcPr>
            <w:tcW w:w="3060" w:type="dxa"/>
            <w:vAlign w:val="bottom"/>
          </w:tcPr>
          <w:p>
            <w:pPr>
              <w:spacing w:after="0"/>
              <w:rPr>
                <w:sz w:val="22"/>
                <w:szCs w:val="22"/>
                <w:color w:val="auto"/>
              </w:rPr>
            </w:pPr>
          </w:p>
        </w:tc>
      </w:tr>
      <w:tr>
        <w:trPr>
          <w:trHeight w:val="212"/>
        </w:trPr>
        <w:tc>
          <w:tcPr>
            <w:tcW w:w="4500" w:type="dxa"/>
            <w:vAlign w:val="bottom"/>
          </w:tcPr>
          <w:p>
            <w:pPr>
              <w:jc w:val="center"/>
              <w:ind w:right="1839"/>
              <w:spacing w:after="0"/>
              <w:rPr>
                <w:sz w:val="20"/>
                <w:szCs w:val="20"/>
                <w:color w:val="auto"/>
              </w:rPr>
            </w:pPr>
            <w:r>
              <w:rPr>
                <w:rFonts w:ascii="Arial" w:cs="Arial" w:eastAsia="Arial" w:hAnsi="Arial"/>
                <w:sz w:val="18"/>
                <w:szCs w:val="18"/>
                <w:b w:val="1"/>
                <w:bCs w:val="1"/>
                <w:color w:val="auto"/>
                <w:w w:val="97"/>
              </w:rPr>
              <w:t>Fort Worth, TX</w:t>
            </w:r>
          </w:p>
        </w:tc>
        <w:tc>
          <w:tcPr>
            <w:tcW w:w="306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45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6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(Zip Code)</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39"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3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96"/>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TSLX</w:t>
            </w:r>
          </w:p>
        </w:tc>
        <w:tc>
          <w:tcPr>
            <w:tcW w:w="3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The New York Stock Exchange</w:t>
            </w:r>
          </w:p>
        </w:tc>
      </w:tr>
    </w:tbl>
    <w:p>
      <w:pPr>
        <w:spacing w:after="0" w:line="62" w:lineRule="exact"/>
        <w:rPr>
          <w:sz w:val="24"/>
          <w:szCs w:val="24"/>
          <w:color w:val="auto"/>
        </w:rPr>
      </w:pPr>
    </w:p>
    <w:p>
      <w:pPr>
        <w:ind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26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62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1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420" w:type="dxa"/>
            <w:vAlign w:val="bottom"/>
          </w:tcPr>
          <w:p>
            <w:pPr>
              <w:ind w:left="800"/>
              <w:spacing w:after="0" w:line="141" w:lineRule="exact"/>
              <w:rPr>
                <w:sz w:val="20"/>
                <w:szCs w:val="20"/>
                <w:color w:val="auto"/>
              </w:rPr>
            </w:pPr>
            <w:r>
              <w:rPr>
                <w:rFonts w:ascii="MS PGothic" w:cs="MS PGothic" w:eastAsia="MS PGothic" w:hAnsi="MS PGothic"/>
                <w:sz w:val="14"/>
                <w:szCs w:val="14"/>
                <w:color w:val="auto"/>
              </w:rPr>
              <w:t>☒</w:t>
            </w:r>
          </w:p>
        </w:tc>
        <w:tc>
          <w:tcPr>
            <w:tcW w:w="4720" w:type="dxa"/>
            <w:vAlign w:val="bottom"/>
          </w:tcPr>
          <w:p>
            <w:pPr>
              <w:ind w:left="2480"/>
              <w:spacing w:after="0"/>
              <w:rPr>
                <w:sz w:val="20"/>
                <w:szCs w:val="20"/>
                <w:color w:val="auto"/>
              </w:rPr>
            </w:pPr>
            <w:r>
              <w:rPr>
                <w:rFonts w:ascii="Arial" w:cs="Arial" w:eastAsia="Arial" w:hAnsi="Arial"/>
                <w:sz w:val="14"/>
                <w:szCs w:val="14"/>
                <w:color w:val="auto"/>
              </w:rPr>
              <w:t>Accelerated filer</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0"/>
        </w:trPr>
        <w:tc>
          <w:tcPr>
            <w:tcW w:w="2120" w:type="dxa"/>
            <w:vAlign w:val="bottom"/>
          </w:tcPr>
          <w:p>
            <w:pPr>
              <w:spacing w:after="0"/>
              <w:rPr>
                <w:sz w:val="20"/>
                <w:szCs w:val="20"/>
                <w:color w:val="auto"/>
              </w:rPr>
            </w:pPr>
            <w:r>
              <w:rPr>
                <w:rFonts w:ascii="Arial" w:cs="Arial" w:eastAsia="Arial" w:hAnsi="Arial"/>
                <w:sz w:val="14"/>
                <w:szCs w:val="14"/>
                <w:color w:val="auto"/>
              </w:rPr>
              <w:t>Non-accelerated filer</w:t>
            </w:r>
          </w:p>
        </w:tc>
        <w:tc>
          <w:tcPr>
            <w:tcW w:w="3420" w:type="dxa"/>
            <w:vAlign w:val="bottom"/>
          </w:tcPr>
          <w:p>
            <w:pPr>
              <w:ind w:left="800"/>
              <w:spacing w:after="0" w:line="141" w:lineRule="exact"/>
              <w:rPr>
                <w:sz w:val="20"/>
                <w:szCs w:val="20"/>
                <w:color w:val="auto"/>
              </w:rPr>
            </w:pPr>
            <w:r>
              <w:rPr>
                <w:rFonts w:ascii="MS PGothic" w:cs="MS PGothic" w:eastAsia="MS PGothic" w:hAnsi="MS PGothic"/>
                <w:sz w:val="14"/>
                <w:szCs w:val="14"/>
                <w:color w:val="auto"/>
              </w:rPr>
              <w:t>☐</w:t>
            </w:r>
          </w:p>
        </w:tc>
        <w:tc>
          <w:tcPr>
            <w:tcW w:w="4720" w:type="dxa"/>
            <w:vAlign w:val="bottom"/>
          </w:tcPr>
          <w:p>
            <w:pPr>
              <w:ind w:left="2480"/>
              <w:spacing w:after="0"/>
              <w:rPr>
                <w:sz w:val="20"/>
                <w:szCs w:val="20"/>
                <w:color w:val="auto"/>
              </w:rPr>
            </w:pPr>
            <w:r>
              <w:rPr>
                <w:rFonts w:ascii="Arial" w:cs="Arial" w:eastAsia="Arial" w:hAnsi="Arial"/>
                <w:sz w:val="14"/>
                <w:szCs w:val="14"/>
                <w:color w:val="auto"/>
              </w:rPr>
              <w:t>Smaller reporting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1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720" w:type="dxa"/>
            <w:vAlign w:val="bottom"/>
          </w:tcPr>
          <w:p>
            <w:pPr>
              <w:ind w:left="2480"/>
              <w:spacing w:after="0"/>
              <w:rPr>
                <w:sz w:val="20"/>
                <w:szCs w:val="20"/>
                <w:color w:val="auto"/>
              </w:rPr>
            </w:pPr>
            <w:r>
              <w:rPr>
                <w:rFonts w:ascii="Arial" w:cs="Arial" w:eastAsia="Arial" w:hAnsi="Arial"/>
                <w:sz w:val="14"/>
                <w:szCs w:val="14"/>
                <w:color w:val="auto"/>
              </w:rPr>
              <w:t>Emerging growth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9" w:lineRule="exact"/>
        <w:rPr>
          <w:sz w:val="24"/>
          <w:szCs w:val="24"/>
          <w:color w:val="auto"/>
        </w:rPr>
      </w:pPr>
    </w:p>
    <w:p>
      <w:pPr>
        <w:ind w:right="1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3800"/>
        <w:spacing w:after="0" w:line="22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The number of shares of the registrant’s common stock, $.01 par value per share, outstanding at July 30, 2019 was 66,270,717.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749935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gridSpan w:val="7"/>
            <w:vMerge w:val="restart"/>
          </w:tcPr>
          <w:p>
            <w:pPr>
              <w:ind w:left="80"/>
              <w:spacing w:after="0"/>
              <w:rPr>
                <w:sz w:val="20"/>
                <w:szCs w:val="20"/>
                <w:color w:val="auto"/>
              </w:rPr>
            </w:pPr>
            <w:r>
              <w:rPr>
                <w:rFonts w:ascii="Arial" w:cs="Arial" w:eastAsia="Arial" w:hAnsi="Arial"/>
                <w:sz w:val="14"/>
                <w:szCs w:val="14"/>
                <w:b w:val="1"/>
                <w:bCs w:val="1"/>
                <w:color w:val="auto"/>
              </w:rPr>
              <w:t>INDEX</w:t>
            </w:r>
          </w:p>
        </w:tc>
        <w:tc>
          <w:tcPr>
            <w:tcW w:w="120" w:type="dxa"/>
            <w:vAlign w:val="bottom"/>
            <w:vMerge w:val="restart"/>
          </w:tcPr>
          <w:p>
            <w:pPr>
              <w:spacing w:after="0"/>
              <w:rPr>
                <w:sz w:val="14"/>
                <w:szCs w:val="14"/>
                <w:color w:val="auto"/>
              </w:rPr>
            </w:pPr>
          </w:p>
        </w:tc>
        <w:tc>
          <w:tcPr>
            <w:tcW w:w="90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980" w:type="dxa"/>
            <w:vAlign w:val="bottom"/>
            <w:tcBorders>
              <w:bottom w:val="single" w:sz="8" w:color="auto"/>
            </w:tcBorders>
            <w:gridSpan w:val="7"/>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91"/>
        </w:trPr>
        <w:tc>
          <w:tcPr>
            <w:tcW w:w="1100" w:type="dxa"/>
            <w:vAlign w:val="bottom"/>
          </w:tcPr>
          <w:p>
            <w:pPr>
              <w:spacing w:after="0"/>
              <w:rPr>
                <w:sz w:val="20"/>
                <w:szCs w:val="20"/>
                <w:color w:val="auto"/>
              </w:rPr>
            </w:pPr>
            <w:r>
              <w:rPr>
                <w:rFonts w:ascii="Arial" w:cs="Arial" w:eastAsia="Arial" w:hAnsi="Arial"/>
                <w:sz w:val="18"/>
                <w:szCs w:val="18"/>
                <w:color w:val="auto"/>
              </w:rPr>
              <w:t>PART I.</w:t>
            </w:r>
          </w:p>
        </w:tc>
        <w:tc>
          <w:tcPr>
            <w:tcW w:w="942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14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Financial Statements</w:t>
              </w:r>
            </w:hyperlink>
          </w:p>
        </w:tc>
        <w:tc>
          <w:tcPr>
            <w:tcW w:w="740" w:type="dxa"/>
            <w:vAlign w:val="bottom"/>
            <w:tcBorders>
              <w:top w:val="single" w:sz="8" w:color="0000EE"/>
            </w:tcBorders>
            <w:gridSpan w:val="4"/>
          </w:tcPr>
          <w:p>
            <w:pPr>
              <w:spacing w:after="0"/>
              <w:rPr>
                <w:sz w:val="24"/>
                <w:szCs w:val="24"/>
                <w:color w:val="auto"/>
              </w:rPr>
            </w:pPr>
          </w:p>
        </w:tc>
        <w:tc>
          <w:tcPr>
            <w:tcW w:w="722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942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June 30, 2019 (Unaudited) and December 31, 2018</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tcPr>
          <w:p>
            <w:pPr>
              <w:spacing w:after="0"/>
              <w:rPr>
                <w:sz w:val="24"/>
                <w:szCs w:val="24"/>
                <w:color w:val="auto"/>
              </w:rPr>
            </w:pPr>
          </w:p>
        </w:tc>
        <w:tc>
          <w:tcPr>
            <w:tcW w:w="798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Statements of Operations for the three and six months ended June 30, 2019 and 2018 (Unaudited)</w:t>
              </w:r>
            </w:hyperlink>
          </w:p>
        </w:tc>
        <w:tc>
          <w:tcPr>
            <w:tcW w:w="144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942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Schedules of Investments as of June 30, 2019 (Unaudited) and December 31, 2018</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9420" w:type="dxa"/>
            <w:vAlign w:val="bottom"/>
            <w:gridSpan w:val="21"/>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Consolidated Statements of Changes in Net Assets for the three and six months ended June 30, 2019 and 2018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732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Consolidated Statements of Cash Flows for the six months ended June 30, 2019 and 2018 (Unaudited)</w:t>
              </w:r>
            </w:hyperlink>
          </w:p>
        </w:tc>
        <w:tc>
          <w:tcPr>
            <w:tcW w:w="1480" w:type="dxa"/>
            <w:vAlign w:val="bottom"/>
            <w:tcBorders>
              <w:top w:val="single" w:sz="8" w:color="0000EE"/>
            </w:tcBorders>
            <w:gridSpan w:val="2"/>
          </w:tcPr>
          <w:p>
            <w:pPr>
              <w:spacing w:after="0"/>
              <w:rPr>
                <w:sz w:val="24"/>
                <w:szCs w:val="24"/>
                <w:color w:val="auto"/>
              </w:rPr>
            </w:pPr>
          </w:p>
        </w:tc>
        <w:tc>
          <w:tcPr>
            <w:tcW w:w="62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4"/>
                <w:szCs w:val="24"/>
                <w:color w:val="auto"/>
              </w:rPr>
            </w:pPr>
          </w:p>
        </w:tc>
        <w:tc>
          <w:tcPr>
            <w:tcW w:w="40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Notes to Consolidated Financial Statements (Unaudited)</w:t>
              </w:r>
            </w:hyperlink>
          </w:p>
        </w:tc>
        <w:tc>
          <w:tcPr>
            <w:tcW w:w="540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21"/>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02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69">
              <w:r>
                <w:rPr>
                  <w:rFonts w:ascii="Arial" w:cs="Arial" w:eastAsia="Arial" w:hAnsi="Arial"/>
                  <w:sz w:val="18"/>
                  <w:szCs w:val="18"/>
                  <w:color w:val="0000EE"/>
                  <w:w w:val="86"/>
                </w:rPr>
                <w:t>Controls and Procedures</w:t>
              </w:r>
            </w:hyperlink>
          </w:p>
        </w:tc>
        <w:tc>
          <w:tcPr>
            <w:tcW w:w="768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PART II.</w:t>
            </w:r>
          </w:p>
        </w:tc>
        <w:tc>
          <w:tcPr>
            <w:tcW w:w="18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70">
              <w:r>
                <w:rPr>
                  <w:rFonts w:ascii="Arial" w:cs="Arial" w:eastAsia="Arial" w:hAnsi="Arial"/>
                  <w:sz w:val="18"/>
                  <w:szCs w:val="18"/>
                  <w:color w:val="0000EE"/>
                  <w:w w:val="93"/>
                </w:rPr>
                <w:t>OTHER INFORMATION</w:t>
              </w:r>
            </w:hyperlink>
          </w:p>
        </w:tc>
        <w:tc>
          <w:tcPr>
            <w:tcW w:w="758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9420" w:type="dxa"/>
            <w:vAlign w:val="bottom"/>
            <w:gridSpan w:val="21"/>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Legal Proceedings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8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3"/>
              </w:rPr>
            </w:pPr>
            <w:hyperlink w:anchor="page70">
              <w:r>
                <w:rPr>
                  <w:rFonts w:ascii="Arial" w:cs="Arial" w:eastAsia="Arial" w:hAnsi="Arial"/>
                  <w:sz w:val="18"/>
                  <w:szCs w:val="18"/>
                  <w:color w:val="0000EE"/>
                  <w:w w:val="83"/>
                </w:rPr>
                <w:t>Risk Factors</w:t>
              </w:r>
            </w:hyperlink>
          </w:p>
        </w:tc>
        <w:tc>
          <w:tcPr>
            <w:tcW w:w="420" w:type="dxa"/>
            <w:vAlign w:val="bottom"/>
            <w:tcBorders>
              <w:top w:val="single" w:sz="8" w:color="0000EE"/>
            </w:tcBorders>
            <w:gridSpan w:val="2"/>
          </w:tcPr>
          <w:p>
            <w:pPr>
              <w:spacing w:after="0"/>
              <w:rPr>
                <w:sz w:val="24"/>
                <w:szCs w:val="24"/>
                <w:color w:val="auto"/>
              </w:rPr>
            </w:pPr>
          </w:p>
        </w:tc>
        <w:tc>
          <w:tcPr>
            <w:tcW w:w="814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43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75">
              <w:r>
                <w:rPr>
                  <w:rFonts w:ascii="Arial" w:cs="Arial" w:eastAsia="Arial" w:hAnsi="Arial"/>
                  <w:sz w:val="18"/>
                  <w:szCs w:val="18"/>
                  <w:color w:val="0000EE"/>
                  <w:w w:val="88"/>
                </w:rPr>
                <w:t>Unregistered Sales of Equity Securities and Use of Proceeds</w:t>
              </w:r>
            </w:hyperlink>
          </w:p>
        </w:tc>
        <w:tc>
          <w:tcPr>
            <w:tcW w:w="512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22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75">
              <w:r>
                <w:rPr>
                  <w:rFonts w:ascii="Arial" w:cs="Arial" w:eastAsia="Arial" w:hAnsi="Arial"/>
                  <w:sz w:val="18"/>
                  <w:szCs w:val="18"/>
                  <w:color w:val="0000EE"/>
                  <w:w w:val="88"/>
                </w:rPr>
                <w:t>Defaults Upon Senior Securities</w:t>
              </w:r>
            </w:hyperlink>
          </w:p>
        </w:tc>
        <w:tc>
          <w:tcPr>
            <w:tcW w:w="714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75">
              <w:r>
                <w:rPr>
                  <w:rFonts w:ascii="Arial" w:cs="Arial" w:eastAsia="Arial" w:hAnsi="Arial"/>
                  <w:sz w:val="18"/>
                  <w:szCs w:val="18"/>
                  <w:color w:val="0000EE"/>
                  <w:w w:val="88"/>
                </w:rPr>
                <w:t>Mine Safety Disclosures</w:t>
              </w:r>
            </w:hyperlink>
          </w:p>
        </w:tc>
        <w:tc>
          <w:tcPr>
            <w:tcW w:w="7700" w:type="dxa"/>
            <w:vAlign w:val="bottom"/>
            <w:gridSpan w:val="1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9420" w:type="dxa"/>
            <w:vAlign w:val="bottom"/>
            <w:gridSpan w:val="21"/>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1260" w:type="dxa"/>
            <w:vAlign w:val="bottom"/>
            <w:tcBorders>
              <w:top w:val="single" w:sz="8" w:color="0000EE"/>
            </w:tcBorders>
            <w:gridSpan w:val="3"/>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Exhibits</w:t>
              </w:r>
            </w:hyperlink>
          </w:p>
        </w:tc>
        <w:tc>
          <w:tcPr>
            <w:tcW w:w="8160" w:type="dxa"/>
            <w:vAlign w:val="bottom"/>
            <w:gridSpan w:val="1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80" w:type="dxa"/>
            <w:vAlign w:val="bottom"/>
            <w:gridSpan w:val="2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520" w:type="dxa"/>
            <w:vAlign w:val="bottom"/>
            <w:gridSpan w:val="22"/>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SIGNATURES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80" w:firstLine="259"/>
        <w:spacing w:after="0" w:line="273" w:lineRule="auto"/>
        <w:rPr>
          <w:sz w:val="20"/>
          <w:szCs w:val="20"/>
          <w:color w:val="auto"/>
        </w:rPr>
      </w:pPr>
      <w:r>
        <w:rPr>
          <w:rFonts w:ascii="Arial" w:cs="Arial" w:eastAsia="Arial" w:hAnsi="Arial"/>
          <w:sz w:val="17"/>
          <w:szCs w:val="17"/>
          <w:color w:val="auto"/>
        </w:rPr>
        <w:t>This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78" w:lineRule="exact"/>
        <w:rPr>
          <w:sz w:val="20"/>
          <w:szCs w:val="20"/>
          <w:color w:val="auto"/>
        </w:rPr>
      </w:pPr>
    </w:p>
    <w:p>
      <w:pPr>
        <w:ind w:right="340" w:firstLine="259"/>
        <w:spacing w:after="0" w:line="264"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or SEC, the following factors, among others, could cause actual results to differ materially from forward-looking statements or historical performance:</w:t>
      </w:r>
    </w:p>
    <w:p>
      <w:pPr>
        <w:spacing w:after="0" w:line="73" w:lineRule="exact"/>
        <w:rPr>
          <w:sz w:val="20"/>
          <w:szCs w:val="20"/>
          <w:color w:val="auto"/>
        </w:rPr>
      </w:pPr>
    </w:p>
    <w:p>
      <w:pPr>
        <w:ind w:left="520" w:right="620" w:hanging="255"/>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62" w:lineRule="exact"/>
        <w:rPr>
          <w:rFonts w:ascii="Arial" w:cs="Arial" w:eastAsia="Arial" w:hAnsi="Arial"/>
          <w:sz w:val="18"/>
          <w:szCs w:val="18"/>
          <w:color w:val="auto"/>
        </w:rPr>
      </w:pPr>
    </w:p>
    <w:p>
      <w:pPr>
        <w:ind w:left="520" w:right="420" w:hanging="255"/>
        <w:spacing w:after="0" w:line="342" w:lineRule="auto"/>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17" w:lineRule="exact"/>
        <w:rPr>
          <w:rFonts w:ascii="Arial" w:cs="Arial" w:eastAsia="Arial" w:hAnsi="Arial"/>
          <w:sz w:val="18"/>
          <w:szCs w:val="18"/>
          <w:color w:val="auto"/>
        </w:rPr>
      </w:pPr>
    </w:p>
    <w:p>
      <w:pPr>
        <w:ind w:left="520" w:right="20" w:hanging="255"/>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in this report and in our Annual Report on Form 10-K for the year ended December 31, 2018, filed with the SEC on February 20, 2019, and elsewhere in our filings with the SEC.</w:t>
      </w:r>
    </w:p>
    <w:p>
      <w:pPr>
        <w:spacing w:after="0" w:line="170" w:lineRule="exact"/>
        <w:rPr>
          <w:sz w:val="20"/>
          <w:szCs w:val="20"/>
          <w:color w:val="auto"/>
        </w:rPr>
      </w:pPr>
    </w:p>
    <w:p>
      <w:pPr>
        <w:ind w:firstLine="259"/>
        <w:spacing w:after="0" w:line="291"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as amended, or the Exchange Act, which preclude civil liability for certain forward-looking statements, do not apply to the forward-looking statements in this report.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44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 (amortized cost of $1,912,392 and $1,546,780,</w:t>
            </w: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1,959,122</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1,565,532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Arial" w:cs="Arial" w:eastAsia="Arial" w:hAnsi="Arial"/>
                <w:sz w:val="18"/>
                <w:szCs w:val="18"/>
                <w:color w:val="auto"/>
                <w:w w:val="98"/>
              </w:rPr>
              <w:t>Non-controlled, affiliated investments (amortized cost of $49,962 and $84,602, respectively)</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49,918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83,932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 (amortized cost of $87,974 and $85,018, respectively)</w:t>
            </w:r>
          </w:p>
        </w:tc>
        <w:tc>
          <w:tcPr>
            <w:tcW w:w="3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51,493</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Total investments at fair value (amortized cost of $2,050,328 and $1,716,400, respectively)</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2,060,533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1,705,969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(restricted cash of $4,965 and $7,303, respectively)</w:t>
            </w: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Interest receivable</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11,012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8,225</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2,089,732</w:t>
            </w:r>
          </w:p>
        </w:tc>
        <w:tc>
          <w:tcPr>
            <w:tcW w:w="2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1,730,324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Debt (net of deferred financing costs of $16,790 and $15,508, respectively)</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929,855</w:t>
            </w:r>
          </w:p>
        </w:tc>
        <w:tc>
          <w:tcPr>
            <w:tcW w:w="28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608,007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6,606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25,752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Other payables to affiliate</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2,458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16,045</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988,089</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667,122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100,000,000 shares authorized; no shares</w:t>
            </w: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issued and outstanding</w:t>
            </w:r>
          </w:p>
        </w:tc>
        <w:tc>
          <w:tcPr>
            <w:tcW w:w="360" w:type="dxa"/>
            <w:vAlign w:val="bottom"/>
            <w:shd w:val="clear" w:color="auto" w:fill="CFF0FC"/>
          </w:tcPr>
          <w:p>
            <w:pPr>
              <w:spacing w:after="0"/>
              <w:rPr>
                <w:sz w:val="20"/>
                <w:szCs w:val="20"/>
                <w:color w:val="auto"/>
              </w:rPr>
            </w:pP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440" w:type="dxa"/>
            <w:vAlign w:val="bottom"/>
          </w:tcPr>
          <w:p>
            <w:pPr>
              <w:spacing w:after="0"/>
              <w:rPr>
                <w:sz w:val="20"/>
                <w:szCs w:val="20"/>
                <w:color w:val="auto"/>
              </w:rPr>
            </w:pPr>
            <w:r>
              <w:rPr>
                <w:rFonts w:ascii="Arial" w:cs="Arial" w:eastAsia="Arial" w:hAnsi="Arial"/>
                <w:sz w:val="18"/>
                <w:szCs w:val="18"/>
                <w:color w:val="auto"/>
              </w:rPr>
              <w:t>Common stock, $0.01 par value; 400,000,000 shares authorized, 66,127,370 and</w:t>
            </w: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65,501,897 shares issued, respectively; and 66,038,290 and 65,412,817 shares</w:t>
            </w:r>
          </w:p>
        </w:tc>
        <w:tc>
          <w:tcPr>
            <w:tcW w:w="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40"/>
              <w:spacing w:after="0"/>
              <w:rPr>
                <w:sz w:val="20"/>
                <w:szCs w:val="20"/>
                <w:color w:val="auto"/>
              </w:rPr>
            </w:pPr>
            <w:r>
              <w:rPr>
                <w:rFonts w:ascii="Arial" w:cs="Arial" w:eastAsia="Arial" w:hAnsi="Arial"/>
                <w:sz w:val="18"/>
                <w:szCs w:val="18"/>
                <w:color w:val="auto"/>
              </w:rPr>
              <w:t>outstanding, respectively</w:t>
            </w: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1,003,391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991,919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Treasury stock at cost; 89,080 and 89,080 shares held, respectively</w:t>
            </w:r>
          </w:p>
        </w:tc>
        <w:tc>
          <w:tcPr>
            <w:tcW w:w="36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(1,359)</w:t>
            </w:r>
          </w:p>
        </w:tc>
        <w:tc>
          <w:tcPr>
            <w:tcW w:w="280" w:type="dxa"/>
            <w:vAlign w:val="bottom"/>
          </w:tcPr>
          <w:p>
            <w:pPr>
              <w:spacing w:after="0"/>
              <w:rPr>
                <w:sz w:val="19"/>
                <w:szCs w:val="19"/>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Distributable earnings</w:t>
            </w:r>
          </w:p>
        </w:tc>
        <w:tc>
          <w:tcPr>
            <w:tcW w:w="3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98,950</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Net Assets</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1,101,643</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1,063,202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2,089,732</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1,730,324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w:t>
            </w:r>
          </w:p>
        </w:tc>
        <w:tc>
          <w:tcPr>
            <w:tcW w:w="28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0" w:type="dxa"/>
            <w:vAlign w:val="bottom"/>
            <w:gridSpan w:val="6"/>
          </w:tcPr>
          <w:p>
            <w:pPr>
              <w:jc w:val="right"/>
              <w:ind w:right="100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80" w:type="dxa"/>
            <w:vAlign w:val="bottom"/>
            <w:gridSpan w:val="6"/>
          </w:tcPr>
          <w:p>
            <w:pPr>
              <w:jc w:val="right"/>
              <w:ind w:right="104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3"/>
        </w:trPr>
        <w:tc>
          <w:tcPr>
            <w:tcW w:w="5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4"/>
              </w:rPr>
              <w:t>June 30, 2019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6"/>
              </w:rPr>
              <w:t>June 30, 2018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6"/>
              </w:rPr>
              <w:t>June 30, 2019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6"/>
              </w:rPr>
              <w:t>June 30, 2018</w:t>
            </w:r>
          </w:p>
        </w:tc>
        <w:tc>
          <w:tcPr>
            <w:tcW w:w="0" w:type="dxa"/>
            <w:vAlign w:val="bottom"/>
          </w:tcPr>
          <w:p>
            <w:pPr>
              <w:spacing w:after="0"/>
              <w:rPr>
                <w:sz w:val="1"/>
                <w:szCs w:val="1"/>
                <w:color w:val="auto"/>
              </w:rPr>
            </w:pPr>
          </w:p>
        </w:tc>
      </w:tr>
      <w:tr>
        <w:trPr>
          <w:trHeight w:val="156"/>
        </w:trPr>
        <w:tc>
          <w:tcPr>
            <w:tcW w:w="54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Income</w:t>
            </w:r>
          </w:p>
        </w:tc>
        <w:tc>
          <w:tcPr>
            <w:tcW w:w="16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Investment income from non-controlled, non-affiliated investments: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from investments</w:t>
            </w:r>
          </w:p>
        </w:tc>
        <w:tc>
          <w:tcPr>
            <w:tcW w:w="160" w:type="dxa"/>
            <w:vAlign w:val="bottom"/>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57,632</w:t>
            </w:r>
          </w:p>
        </w:tc>
        <w:tc>
          <w:tcPr>
            <w:tcW w:w="16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58,640</w:t>
            </w:r>
          </w:p>
        </w:tc>
        <w:tc>
          <w:tcPr>
            <w:tcW w:w="16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104,155</w:t>
            </w:r>
          </w:p>
        </w:tc>
        <w:tc>
          <w:tcPr>
            <w:tcW w:w="16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4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106,607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Dividend income</w:t>
            </w:r>
          </w:p>
        </w:tc>
        <w:tc>
          <w:tcPr>
            <w:tcW w:w="16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income</w:t>
            </w:r>
          </w:p>
        </w:tc>
        <w:tc>
          <w:tcPr>
            <w:tcW w:w="16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1,940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3,035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4,018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8,854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420" w:type="dxa"/>
            <w:vAlign w:val="bottom"/>
          </w:tcPr>
          <w:p>
            <w:pPr>
              <w:ind w:left="500"/>
              <w:spacing w:after="0" w:line="137" w:lineRule="exact"/>
              <w:rPr>
                <w:sz w:val="20"/>
                <w:szCs w:val="20"/>
                <w:color w:val="auto"/>
              </w:rPr>
            </w:pPr>
            <w:r>
              <w:rPr>
                <w:rFonts w:ascii="Arial" w:cs="Arial" w:eastAsia="Arial" w:hAnsi="Arial"/>
                <w:sz w:val="14"/>
                <w:szCs w:val="14"/>
                <w:color w:val="auto"/>
              </w:rPr>
              <w:t>Total investment income from non-controlled, non-affiliated</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420" w:type="dxa"/>
            <w:vAlign w:val="bottom"/>
          </w:tcPr>
          <w:p>
            <w:pPr>
              <w:ind w:left="600"/>
              <w:spacing w:after="0"/>
              <w:rPr>
                <w:sz w:val="20"/>
                <w:szCs w:val="20"/>
                <w:color w:val="auto"/>
              </w:rPr>
            </w:pPr>
            <w:r>
              <w:rPr>
                <w:rFonts w:ascii="Arial" w:cs="Arial" w:eastAsia="Arial" w:hAnsi="Arial"/>
                <w:sz w:val="14"/>
                <w:szCs w:val="14"/>
                <w:color w:val="auto"/>
              </w:rPr>
              <w:t>investments</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59,572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61,675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108,173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115,657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spacing w:after="0"/>
              <w:rPr>
                <w:sz w:val="20"/>
                <w:szCs w:val="20"/>
                <w:color w:val="auto"/>
              </w:rPr>
            </w:pPr>
            <w:r>
              <w:rPr>
                <w:rFonts w:ascii="Arial" w:cs="Arial" w:eastAsia="Arial" w:hAnsi="Arial"/>
                <w:sz w:val="14"/>
                <w:szCs w:val="14"/>
                <w:color w:val="auto"/>
              </w:rPr>
              <w:t>Investment income from non-controlled, affiliated investments:</w:t>
            </w: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Interest from investments</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1,351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3,762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income</w:t>
            </w:r>
          </w:p>
        </w:tc>
        <w:tc>
          <w:tcPr>
            <w:tcW w:w="16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420" w:type="dxa"/>
            <w:vAlign w:val="bottom"/>
          </w:tcPr>
          <w:p>
            <w:pPr>
              <w:ind w:left="500"/>
              <w:spacing w:after="0" w:line="137" w:lineRule="exact"/>
              <w:rPr>
                <w:sz w:val="20"/>
                <w:szCs w:val="20"/>
                <w:color w:val="auto"/>
              </w:rPr>
            </w:pPr>
            <w:r>
              <w:rPr>
                <w:rFonts w:ascii="Arial" w:cs="Arial" w:eastAsia="Arial" w:hAnsi="Arial"/>
                <w:sz w:val="14"/>
                <w:szCs w:val="14"/>
                <w:color w:val="auto"/>
              </w:rPr>
              <w:t>Total investment income from non-controlled, affiliated</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420" w:type="dxa"/>
            <w:vAlign w:val="bottom"/>
          </w:tcPr>
          <w:p>
            <w:pPr>
              <w:ind w:left="600"/>
              <w:spacing w:after="0"/>
              <w:rPr>
                <w:sz w:val="20"/>
                <w:szCs w:val="20"/>
                <w:color w:val="auto"/>
              </w:rPr>
            </w:pPr>
            <w:r>
              <w:rPr>
                <w:rFonts w:ascii="Arial" w:cs="Arial" w:eastAsia="Arial" w:hAnsi="Arial"/>
                <w:sz w:val="14"/>
                <w:szCs w:val="14"/>
                <w:color w:val="auto"/>
              </w:rPr>
              <w:t>investments</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1,370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591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spacing w:after="0"/>
              <w:rPr>
                <w:sz w:val="20"/>
                <w:szCs w:val="20"/>
                <w:color w:val="auto"/>
              </w:rPr>
            </w:pPr>
            <w:r>
              <w:rPr>
                <w:rFonts w:ascii="Arial" w:cs="Arial" w:eastAsia="Arial" w:hAnsi="Arial"/>
                <w:sz w:val="14"/>
                <w:szCs w:val="14"/>
                <w:color w:val="auto"/>
              </w:rPr>
              <w:t>Investment income from controlled, affiliated investments:</w:t>
            </w: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Interest from investments</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1,481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4,084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7,818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income</w:t>
            </w:r>
          </w:p>
        </w:tc>
        <w:tc>
          <w:tcPr>
            <w:tcW w:w="16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2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investment income from controlled, affiliated investments</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1,485</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4,135</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2,928</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shd w:val="clear" w:color="auto" w:fill="CFF0FC"/>
          </w:tcPr>
          <w:p>
            <w:pPr>
              <w:ind w:left="74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16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62,427</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66,401</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114,913</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124,169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spacing w:after="0"/>
              <w:rPr>
                <w:sz w:val="20"/>
                <w:szCs w:val="20"/>
                <w:color w:val="auto"/>
              </w:rPr>
            </w:pPr>
            <w:r>
              <w:rPr>
                <w:rFonts w:ascii="Arial" w:cs="Arial" w:eastAsia="Arial" w:hAnsi="Arial"/>
                <w:sz w:val="14"/>
                <w:szCs w:val="14"/>
                <w:color w:val="auto"/>
              </w:rPr>
              <w:t>Interest</w:t>
            </w: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12,724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11,161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23,094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20,231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Management fees</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7,373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7,322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13,995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13,982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spacing w:after="0"/>
              <w:rPr>
                <w:sz w:val="20"/>
                <w:szCs w:val="20"/>
                <w:color w:val="auto"/>
              </w:rPr>
            </w:pPr>
            <w:r>
              <w:rPr>
                <w:rFonts w:ascii="Arial" w:cs="Arial" w:eastAsia="Arial" w:hAnsi="Arial"/>
                <w:sz w:val="14"/>
                <w:szCs w:val="14"/>
                <w:color w:val="auto"/>
              </w:rPr>
              <w:t>Incentive fees</w:t>
            </w: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6,606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12,256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14,309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Professional fees</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1,897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1,621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3,191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spacing w:after="0"/>
              <w:rPr>
                <w:sz w:val="20"/>
                <w:szCs w:val="20"/>
                <w:color w:val="auto"/>
              </w:rPr>
            </w:pPr>
            <w:r>
              <w:rPr>
                <w:rFonts w:ascii="Arial" w:cs="Arial" w:eastAsia="Arial" w:hAnsi="Arial"/>
                <w:sz w:val="14"/>
                <w:szCs w:val="14"/>
                <w:color w:val="auto"/>
              </w:rPr>
              <w:t>Directors’ fees</w:t>
            </w: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general and administrative</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1,556</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1,297</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3,033</w:t>
            </w:r>
          </w:p>
        </w:tc>
        <w:tc>
          <w:tcPr>
            <w:tcW w:w="1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2,535</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2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expenses</w:t>
            </w:r>
          </w:p>
        </w:tc>
        <w:tc>
          <w:tcPr>
            <w:tcW w:w="16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30,285</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29,199</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55,833</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54,993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Management and incentive fees waived (Note 3)</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shd w:val="clear" w:color="auto" w:fill="CFF0FC"/>
          </w:tcPr>
          <w:p>
            <w:pPr>
              <w:ind w:left="740"/>
              <w:spacing w:after="0" w:line="155" w:lineRule="exact"/>
              <w:rPr>
                <w:sz w:val="20"/>
                <w:szCs w:val="20"/>
                <w:color w:val="auto"/>
              </w:rPr>
            </w:pPr>
            <w:r>
              <w:rPr>
                <w:rFonts w:ascii="Arial" w:cs="Arial" w:eastAsia="Arial" w:hAnsi="Arial"/>
                <w:sz w:val="14"/>
                <w:szCs w:val="14"/>
                <w:b w:val="1"/>
                <w:bCs w:val="1"/>
                <w:color w:val="auto"/>
              </w:rPr>
              <w:t>Net Expenses</w:t>
            </w:r>
          </w:p>
        </w:tc>
        <w:tc>
          <w:tcPr>
            <w:tcW w:w="16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30,285</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29,199</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55,833</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54,930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tcPr>
          <w:p>
            <w:pPr>
              <w:spacing w:after="0" w:line="155" w:lineRule="exact"/>
              <w:rPr>
                <w:sz w:val="20"/>
                <w:szCs w:val="20"/>
                <w:color w:val="auto"/>
              </w:rPr>
            </w:pPr>
            <w:r>
              <w:rPr>
                <w:rFonts w:ascii="Arial" w:cs="Arial" w:eastAsia="Arial" w:hAnsi="Arial"/>
                <w:sz w:val="14"/>
                <w:szCs w:val="14"/>
                <w:b w:val="1"/>
                <w:bCs w:val="1"/>
                <w:color w:val="auto"/>
              </w:rPr>
              <w:t>Net Investment Income Before Income Taxes</w:t>
            </w:r>
          </w:p>
        </w:tc>
        <w:tc>
          <w:tcPr>
            <w:tcW w:w="16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32,142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37,202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59,080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69,239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spacing w:after="0"/>
              <w:rPr>
                <w:sz w:val="20"/>
                <w:szCs w:val="20"/>
                <w:color w:val="auto"/>
              </w:rPr>
            </w:pPr>
            <w:r>
              <w:rPr>
                <w:rFonts w:ascii="Arial" w:cs="Arial" w:eastAsia="Arial" w:hAnsi="Arial"/>
                <w:sz w:val="14"/>
                <w:szCs w:val="14"/>
                <w:color w:val="auto"/>
              </w:rPr>
              <w:t>Income taxes, including excise taxes</w:t>
            </w:r>
          </w:p>
        </w:tc>
        <w:tc>
          <w:tcPr>
            <w:tcW w:w="16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1,300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20" w:type="dxa"/>
            <w:vAlign w:val="bottom"/>
          </w:tcPr>
          <w:p>
            <w:pPr>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6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31,142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36,302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57,780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4"/>
                <w:szCs w:val="14"/>
                <w:color w:val="auto"/>
              </w:rPr>
              <w:t>67,489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Unrealized and Realized Gains (Losses)</w:t>
            </w: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20"/>
                <w:szCs w:val="20"/>
                <w:color w:val="auto"/>
              </w:rPr>
            </w:pPr>
            <w:r>
              <w:rPr>
                <w:rFonts w:ascii="Arial" w:cs="Arial" w:eastAsia="Arial" w:hAnsi="Arial"/>
                <w:sz w:val="14"/>
                <w:szCs w:val="14"/>
                <w:color w:val="auto"/>
              </w:rPr>
              <w:t>Net change in unrealized gains (losses):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15,253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(5,274)</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28,067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3,065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Non-controlled, affiliated investments</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Controlled, affiliated investments</w:t>
            </w: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(4,299)</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8,616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(7,966)</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5,244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Translation of other assets and liabilities in foreign currencies</w:t>
            </w:r>
          </w:p>
        </w:tc>
        <w:tc>
          <w:tcPr>
            <w:tcW w:w="16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(764)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4,886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(2,196)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rate swaps</w:t>
            </w: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6,124</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(1,785)</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9,443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(5,979)</w:t>
            </w:r>
          </w:p>
        </w:tc>
        <w:tc>
          <w:tcPr>
            <w:tcW w:w="0" w:type="dxa"/>
            <w:vAlign w:val="bottom"/>
          </w:tcPr>
          <w:p>
            <w:pPr>
              <w:spacing w:after="0"/>
              <w:rPr>
                <w:sz w:val="1"/>
                <w:szCs w:val="1"/>
                <w:color w:val="auto"/>
              </w:rPr>
            </w:pPr>
          </w:p>
        </w:tc>
      </w:tr>
      <w:tr>
        <w:trPr>
          <w:trHeight w:val="156"/>
        </w:trPr>
        <w:tc>
          <w:tcPr>
            <w:tcW w:w="542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color w:val="auto"/>
              </w:rPr>
              <w:t>Total net change in unrealized gains</w:t>
            </w:r>
          </w:p>
        </w:tc>
        <w:tc>
          <w:tcPr>
            <w:tcW w:w="1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16,423</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6,434</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27,884</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6,226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Realized gains (losses):</w:t>
            </w:r>
          </w:p>
        </w:tc>
        <w:tc>
          <w:tcPr>
            <w:tcW w:w="1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Controlled, affiliated investments</w:t>
            </w: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(9,589)</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(9,589)</w:t>
            </w:r>
          </w:p>
        </w:tc>
        <w:tc>
          <w:tcPr>
            <w:tcW w:w="0" w:type="dxa"/>
            <w:vAlign w:val="bottom"/>
          </w:tcPr>
          <w:p>
            <w:pPr>
              <w:spacing w:after="0"/>
              <w:rPr>
                <w:sz w:val="1"/>
                <w:szCs w:val="1"/>
                <w:color w:val="auto"/>
              </w:rPr>
            </w:pPr>
          </w:p>
        </w:tc>
      </w:tr>
      <w:tr>
        <w:trPr>
          <w:trHeight w:val="162"/>
        </w:trPr>
        <w:tc>
          <w:tcPr>
            <w:tcW w:w="5420" w:type="dxa"/>
            <w:vAlign w:val="bottom"/>
          </w:tcPr>
          <w:p>
            <w:pPr>
              <w:ind w:left="260"/>
              <w:spacing w:after="0"/>
              <w:rPr>
                <w:sz w:val="20"/>
                <w:szCs w:val="20"/>
                <w:color w:val="auto"/>
              </w:rPr>
            </w:pPr>
            <w:r>
              <w:rPr>
                <w:rFonts w:ascii="Arial" w:cs="Arial" w:eastAsia="Arial" w:hAnsi="Arial"/>
                <w:sz w:val="14"/>
                <w:szCs w:val="14"/>
                <w:color w:val="auto"/>
              </w:rPr>
              <w:t>Foreign currency transactions</w:t>
            </w:r>
          </w:p>
        </w:tc>
        <w:tc>
          <w:tcPr>
            <w:tcW w:w="16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2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Total net realized gains (losses)</w:t>
            </w: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230</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(9,167)</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877</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(6,310)</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tcBorders>
              <w:bottom w:val="single" w:sz="8" w:color="CFF0FC"/>
            </w:tcBorders>
          </w:tcPr>
          <w:p>
            <w:pPr>
              <w:ind w:left="1000"/>
              <w:spacing w:after="0" w:line="155" w:lineRule="exact"/>
              <w:rPr>
                <w:sz w:val="20"/>
                <w:szCs w:val="20"/>
                <w:color w:val="auto"/>
              </w:rPr>
            </w:pPr>
            <w:r>
              <w:rPr>
                <w:rFonts w:ascii="Arial" w:cs="Arial" w:eastAsia="Arial" w:hAnsi="Arial"/>
                <w:sz w:val="14"/>
                <w:szCs w:val="14"/>
                <w:b w:val="1"/>
                <w:bCs w:val="1"/>
                <w:color w:val="auto"/>
              </w:rPr>
              <w:t>Total Net Unrealized and Realized Gains (Losses)</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16,653</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(2,733)</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28,761</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20" w:type="dxa"/>
            <w:vAlign w:val="bottom"/>
            <w:tcBorders>
              <w:bottom w:val="single" w:sz="8" w:color="CFF0FC"/>
            </w:tcBorders>
            <w:shd w:val="clear" w:color="auto" w:fill="CFF0FC"/>
          </w:tcPr>
          <w:p>
            <w:pPr>
              <w:ind w:left="1000"/>
              <w:spacing w:after="0" w:line="155" w:lineRule="exact"/>
              <w:rPr>
                <w:sz w:val="20"/>
                <w:szCs w:val="20"/>
                <w:color w:val="auto"/>
              </w:rPr>
            </w:pPr>
            <w:r>
              <w:rPr>
                <w:rFonts w:ascii="Arial" w:cs="Arial" w:eastAsia="Arial" w:hAnsi="Arial"/>
                <w:sz w:val="14"/>
                <w:szCs w:val="14"/>
                <w:b w:val="1"/>
                <w:bCs w:val="1"/>
                <w:color w:val="auto"/>
              </w:rPr>
              <w:t>Increase in Net Assets Resulting from Operations</w:t>
            </w:r>
          </w:p>
        </w:tc>
        <w:tc>
          <w:tcPr>
            <w:tcW w:w="16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47,795</w:t>
            </w:r>
          </w:p>
        </w:tc>
        <w:tc>
          <w:tcPr>
            <w:tcW w:w="1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33,569</w:t>
            </w:r>
          </w:p>
        </w:tc>
        <w:tc>
          <w:tcPr>
            <w:tcW w:w="1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86,541</w:t>
            </w:r>
          </w:p>
        </w:tc>
        <w:tc>
          <w:tcPr>
            <w:tcW w:w="1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67,405</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4"/>
                <w:szCs w:val="14"/>
                <w:color w:val="auto"/>
              </w:rPr>
              <w:t>Earnings per common share—basic and diluted</w:t>
            </w: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20" w:type="dxa"/>
            <w:vAlign w:val="bottom"/>
            <w:tcBorders>
              <w:bottom w:val="single" w:sz="8" w:color="CFF0FC"/>
            </w:tcBorders>
            <w:vMerge w:val="continue"/>
          </w:tcPr>
          <w:p>
            <w:pPr>
              <w:spacing w:after="0"/>
              <w:rPr>
                <w:sz w:val="12"/>
                <w:szCs w:val="12"/>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0.72</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0.52</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1.32</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1.07</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4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Weighted average shares of common stock outstanding—basic and diluted</w:t>
            </w:r>
          </w:p>
        </w:tc>
        <w:tc>
          <w:tcPr>
            <w:tcW w:w="16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65,982,373</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64,758,752</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65,789,976</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62,810,429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Schedule of Investments as of June 30, 2019</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Initial</w:t>
            </w: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Reference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Acquisition</w:t>
            </w: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Rate and</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Interest</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Amortized</w:t>
            </w:r>
          </w:p>
        </w:tc>
        <w:tc>
          <w:tcPr>
            <w:tcW w:w="20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Fair</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Percentage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5"/>
                <w:szCs w:val="15"/>
                <w:b w:val="1"/>
                <w:bCs w:val="1"/>
                <w:color w:val="auto"/>
              </w:rPr>
              <w:t>(1)</w:t>
            </w:r>
          </w:p>
        </w:tc>
        <w:tc>
          <w:tcPr>
            <w:tcW w:w="80" w:type="dxa"/>
            <w:vAlign w:val="bottom"/>
          </w:tcPr>
          <w:p>
            <w:pPr>
              <w:spacing w:after="0"/>
              <w:rPr>
                <w:sz w:val="20"/>
                <w:szCs w:val="20"/>
                <w:color w:val="auto"/>
              </w:rPr>
            </w:pPr>
          </w:p>
        </w:tc>
        <w:tc>
          <w:tcPr>
            <w:tcW w:w="2540" w:type="dxa"/>
            <w:vAlign w:val="bottom"/>
            <w:gridSpan w:val="2"/>
          </w:tcPr>
          <w:p>
            <w:pPr>
              <w:ind w:left="780"/>
              <w:spacing w:after="0"/>
              <w:rPr>
                <w:sz w:val="20"/>
                <w:szCs w:val="20"/>
                <w:color w:val="auto"/>
              </w:rPr>
            </w:pPr>
            <w:r>
              <w:rPr>
                <w:rFonts w:ascii="Arial" w:cs="Arial" w:eastAsia="Arial" w:hAnsi="Arial"/>
                <w:sz w:val="18"/>
                <w:szCs w:val="18"/>
                <w:b w:val="1"/>
                <w:bCs w:val="1"/>
                <w:color w:val="auto"/>
              </w:rPr>
              <w:t>Investment</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Spread</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Rate</w:t>
            </w:r>
          </w:p>
        </w:tc>
        <w:tc>
          <w:tcPr>
            <w:tcW w:w="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w w:val="93"/>
              </w:rPr>
              <w:t xml:space="preserve">Cost </w:t>
            </w:r>
            <w:r>
              <w:rPr>
                <w:rFonts w:ascii="Arial" w:cs="Arial" w:eastAsia="Arial" w:hAnsi="Arial"/>
                <w:sz w:val="15"/>
                <w:szCs w:val="15"/>
                <w:b w:val="1"/>
                <w:bCs w:val="1"/>
                <w:color w:val="auto"/>
                <w:w w:val="93"/>
              </w:rPr>
              <w:t>(2)(8)</w:t>
            </w:r>
          </w:p>
        </w:tc>
        <w:tc>
          <w:tcPr>
            <w:tcW w:w="2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 xml:space="preserve">Value </w:t>
            </w:r>
            <w:r>
              <w:rPr>
                <w:rFonts w:ascii="Arial" w:cs="Arial" w:eastAsia="Arial" w:hAnsi="Arial"/>
                <w:sz w:val="15"/>
                <w:szCs w:val="15"/>
                <w:b w:val="1"/>
                <w:bCs w:val="1"/>
                <w:color w:val="auto"/>
                <w:w w:val="92"/>
              </w:rPr>
              <w:t>(10)</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3"/>
              </w:rPr>
              <w:t>of Net Assets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Debt Investments</w:t>
            </w:r>
          </w:p>
        </w:tc>
        <w:tc>
          <w:tcPr>
            <w:tcW w:w="80" w:type="dxa"/>
            <w:vAlign w:val="bottom"/>
            <w:tcBorders>
              <w:top w:val="single" w:sz="8" w:color="CFF0FC"/>
            </w:tcBorders>
            <w:shd w:val="clear" w:color="auto" w:fill="CFF0FC"/>
          </w:tcPr>
          <w:p>
            <w:pPr>
              <w:spacing w:after="0"/>
              <w:rPr>
                <w:sz w:val="19"/>
                <w:szCs w:val="19"/>
                <w:color w:val="auto"/>
              </w:rPr>
            </w:pPr>
          </w:p>
        </w:tc>
        <w:tc>
          <w:tcPr>
            <w:tcW w:w="2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b w:val="1"/>
                <w:bCs w:val="1"/>
                <w:color w:val="auto"/>
              </w:rPr>
              <w:t>Beverage, food and tobacco</w:t>
            </w:r>
          </w:p>
        </w:tc>
        <w:tc>
          <w:tcPr>
            <w:tcW w:w="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w w:val="98"/>
              </w:rPr>
              <w:t xml:space="preserve">AFS Technologies, Inc. </w:t>
            </w:r>
            <w:r>
              <w:rPr>
                <w:rFonts w:ascii="Arial" w:cs="Arial" w:eastAsia="Arial" w:hAnsi="Arial"/>
                <w:sz w:val="15"/>
                <w:szCs w:val="15"/>
                <w:color w:val="auto"/>
                <w:w w:val="98"/>
              </w:rPr>
              <w:t>(3)(5)(6)</w:t>
            </w:r>
          </w:p>
        </w:tc>
        <w:tc>
          <w:tcPr>
            <w:tcW w:w="262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w w:val="98"/>
              </w:rPr>
              <w:t>First-lien loan ($46,147 par, due</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10/16/2018</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+ 6.25%</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8.65%</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45,521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45,455</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FF0FC"/>
          </w:tcPr>
          <w:p>
            <w:pPr>
              <w:spacing w:after="0"/>
              <w:rPr>
                <w:sz w:val="20"/>
                <w:szCs w:val="20"/>
                <w:color w:val="auto"/>
              </w:rPr>
            </w:pPr>
          </w:p>
        </w:tc>
        <w:tc>
          <w:tcPr>
            <w:tcW w:w="25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10/2023)</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b w:val="1"/>
                <w:bCs w:val="1"/>
                <w:color w:val="auto"/>
              </w:rPr>
              <w:t>Business services</w:t>
            </w:r>
          </w:p>
        </w:tc>
        <w:tc>
          <w:tcPr>
            <w:tcW w:w="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Acceo Solutions, Inc. </w:t>
            </w:r>
            <w:r>
              <w:rPr>
                <w:rFonts w:ascii="Arial" w:cs="Arial" w:eastAsia="Arial" w:hAnsi="Arial"/>
                <w:sz w:val="15"/>
                <w:szCs w:val="15"/>
                <w:color w:val="auto"/>
              </w:rPr>
              <w:t>(3)(4)(5)</w:t>
            </w:r>
          </w:p>
        </w:tc>
        <w:tc>
          <w:tcPr>
            <w:tcW w:w="262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w w:val="99"/>
              </w:rPr>
              <w:t>First-lien loan (CAD 64,350 par,</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7/6/2018</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C + 5.25%</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7.21%</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48,136</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48,506</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FF0FC"/>
          </w:tcPr>
          <w:p>
            <w:pPr>
              <w:spacing w:after="0"/>
              <w:rPr>
                <w:sz w:val="18"/>
                <w:szCs w:val="18"/>
                <w:color w:val="auto"/>
              </w:rPr>
            </w:pPr>
          </w:p>
        </w:tc>
        <w:tc>
          <w:tcPr>
            <w:tcW w:w="262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rPr>
              <w:t>due 7/2023)</w:t>
            </w: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(CAD</w:t>
            </w: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63,385)</w:t>
            </w: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 xml:space="preserve">Integration Appliance, Inc. </w:t>
            </w:r>
            <w:r>
              <w:rPr>
                <w:rFonts w:ascii="Arial" w:cs="Arial" w:eastAsia="Arial" w:hAnsi="Arial"/>
                <w:sz w:val="15"/>
                <w:szCs w:val="15"/>
                <w:color w:val="auto"/>
              </w:rPr>
              <w:t>(3)</w:t>
            </w:r>
          </w:p>
        </w:tc>
        <w:tc>
          <w:tcPr>
            <w:tcW w:w="2620" w:type="dxa"/>
            <w:vAlign w:val="bottom"/>
            <w:gridSpan w:val="3"/>
          </w:tcPr>
          <w:p>
            <w:pPr>
              <w:ind w:left="80"/>
              <w:spacing w:after="0"/>
              <w:rPr>
                <w:sz w:val="20"/>
                <w:szCs w:val="20"/>
                <w:color w:val="auto"/>
              </w:rPr>
            </w:pPr>
            <w:r>
              <w:rPr>
                <w:rFonts w:ascii="Arial" w:cs="Arial" w:eastAsia="Arial" w:hAnsi="Arial"/>
                <w:sz w:val="18"/>
                <w:szCs w:val="18"/>
                <w:color w:val="auto"/>
                <w:w w:val="98"/>
              </w:rPr>
              <w:t>First-lien loan ($71,500 par, due</w:t>
            </w:r>
          </w:p>
        </w:tc>
        <w:tc>
          <w:tcPr>
            <w:tcW w:w="900" w:type="dxa"/>
            <w:vAlign w:val="bottom"/>
          </w:tcPr>
          <w:p>
            <w:pPr>
              <w:jc w:val="right"/>
              <w:spacing w:after="0"/>
              <w:rPr>
                <w:sz w:val="20"/>
                <w:szCs w:val="20"/>
                <w:color w:val="auto"/>
              </w:rPr>
            </w:pPr>
            <w:r>
              <w:rPr>
                <w:rFonts w:ascii="Arial" w:cs="Arial" w:eastAsia="Arial" w:hAnsi="Arial"/>
                <w:sz w:val="18"/>
                <w:szCs w:val="18"/>
                <w:color w:val="auto"/>
              </w:rPr>
              <w:t>8/13/2018</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+ 7.25%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9.69%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70,517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71,315</w:t>
            </w: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Arial" w:cs="Arial" w:eastAsia="Arial" w:hAnsi="Arial"/>
                <w:sz w:val="18"/>
                <w:szCs w:val="18"/>
                <w:color w:val="auto"/>
              </w:rPr>
              <w:t>8/2023)</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Jive Software, Inc. </w:t>
            </w:r>
            <w:r>
              <w:rPr>
                <w:rFonts w:ascii="Arial" w:cs="Arial" w:eastAsia="Arial" w:hAnsi="Arial"/>
                <w:sz w:val="15"/>
                <w:szCs w:val="15"/>
                <w:color w:val="auto"/>
              </w:rPr>
              <w:t>(3)(5)</w:t>
            </w:r>
          </w:p>
        </w:tc>
        <w:tc>
          <w:tcPr>
            <w:tcW w:w="262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w w:val="98"/>
              </w:rPr>
              <w:t>First-lien loan ($50,760 par, due</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6/12/2017</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+ 9.25%</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11.65%</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49,513</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53,044</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FF0FC"/>
          </w:tcPr>
          <w:p>
            <w:pPr>
              <w:spacing w:after="0"/>
              <w:rPr>
                <w:sz w:val="20"/>
                <w:szCs w:val="20"/>
                <w:color w:val="auto"/>
              </w:rPr>
            </w:pPr>
          </w:p>
        </w:tc>
        <w:tc>
          <w:tcPr>
            <w:tcW w:w="25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6/2022)</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 xml:space="preserve">Motus, LLC </w:t>
            </w:r>
            <w:r>
              <w:rPr>
                <w:rFonts w:ascii="Arial" w:cs="Arial" w:eastAsia="Arial" w:hAnsi="Arial"/>
                <w:sz w:val="15"/>
                <w:szCs w:val="15"/>
                <w:color w:val="auto"/>
              </w:rPr>
              <w:t>(3)(5)</w:t>
            </w:r>
          </w:p>
        </w:tc>
        <w:tc>
          <w:tcPr>
            <w:tcW w:w="2620" w:type="dxa"/>
            <w:vAlign w:val="bottom"/>
            <w:gridSpan w:val="3"/>
          </w:tcPr>
          <w:p>
            <w:pPr>
              <w:ind w:left="80"/>
              <w:spacing w:after="0"/>
              <w:rPr>
                <w:sz w:val="20"/>
                <w:szCs w:val="20"/>
                <w:color w:val="auto"/>
              </w:rPr>
            </w:pPr>
            <w:r>
              <w:rPr>
                <w:rFonts w:ascii="Arial" w:cs="Arial" w:eastAsia="Arial" w:hAnsi="Arial"/>
                <w:sz w:val="18"/>
                <w:szCs w:val="18"/>
                <w:color w:val="auto"/>
                <w:w w:val="98"/>
              </w:rPr>
              <w:t>First-lien loan ($60,313 par, due</w:t>
            </w:r>
          </w:p>
        </w:tc>
        <w:tc>
          <w:tcPr>
            <w:tcW w:w="900" w:type="dxa"/>
            <w:vAlign w:val="bottom"/>
          </w:tcPr>
          <w:p>
            <w:pPr>
              <w:jc w:val="right"/>
              <w:spacing w:after="0"/>
              <w:rPr>
                <w:sz w:val="20"/>
                <w:szCs w:val="20"/>
                <w:color w:val="auto"/>
              </w:rPr>
            </w:pPr>
            <w:r>
              <w:rPr>
                <w:rFonts w:ascii="Arial" w:cs="Arial" w:eastAsia="Arial" w:hAnsi="Arial"/>
                <w:sz w:val="18"/>
                <w:szCs w:val="18"/>
                <w:color w:val="auto"/>
              </w:rPr>
              <w:t>1/17/2018</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+ 5.75%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8.08%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59,102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61,067</w:t>
            </w: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Arial" w:cs="Arial" w:eastAsia="Arial" w:hAnsi="Arial"/>
                <w:sz w:val="18"/>
                <w:szCs w:val="18"/>
                <w:color w:val="auto"/>
              </w:rPr>
              <w:t>1/2024)</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Nintex Global, Ltd. </w:t>
            </w:r>
            <w:r>
              <w:rPr>
                <w:rFonts w:ascii="Arial" w:cs="Arial" w:eastAsia="Arial" w:hAnsi="Arial"/>
                <w:sz w:val="15"/>
                <w:szCs w:val="15"/>
                <w:color w:val="auto"/>
              </w:rPr>
              <w:t>(3)(5)</w:t>
            </w:r>
          </w:p>
        </w:tc>
        <w:tc>
          <w:tcPr>
            <w:tcW w:w="262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w w:val="98"/>
              </w:rPr>
              <w:t>First-lien loan ($74,601 par, due</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3/30/2018</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+ 6.50%</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8.91%</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73,079</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74,974</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FF0FC"/>
          </w:tcPr>
          <w:p>
            <w:pPr>
              <w:spacing w:after="0"/>
              <w:rPr>
                <w:sz w:val="20"/>
                <w:szCs w:val="20"/>
                <w:color w:val="auto"/>
              </w:rPr>
            </w:pPr>
          </w:p>
        </w:tc>
        <w:tc>
          <w:tcPr>
            <w:tcW w:w="25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4/2024)</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300,347</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308,906</w:t>
            </w:r>
          </w:p>
        </w:tc>
        <w:tc>
          <w:tcPr>
            <w:tcW w:w="2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Chemicals</w:t>
            </w:r>
          </w:p>
        </w:tc>
        <w:tc>
          <w:tcPr>
            <w:tcW w:w="80" w:type="dxa"/>
            <w:vAlign w:val="bottom"/>
            <w:tcBorders>
              <w:top w:val="single" w:sz="8" w:color="CFF0FC"/>
            </w:tcBorders>
            <w:shd w:val="clear" w:color="auto" w:fill="CFF0FC"/>
          </w:tcPr>
          <w:p>
            <w:pPr>
              <w:spacing w:after="0"/>
              <w:rPr>
                <w:sz w:val="19"/>
                <w:szCs w:val="19"/>
                <w:color w:val="auto"/>
              </w:rPr>
            </w:pPr>
          </w:p>
        </w:tc>
        <w:tc>
          <w:tcPr>
            <w:tcW w:w="24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(3)</w:t>
            </w:r>
          </w:p>
        </w:tc>
        <w:tc>
          <w:tcPr>
            <w:tcW w:w="2620" w:type="dxa"/>
            <w:vAlign w:val="bottom"/>
            <w:gridSpan w:val="3"/>
          </w:tcPr>
          <w:p>
            <w:pPr>
              <w:ind w:left="80"/>
              <w:spacing w:after="0"/>
              <w:rPr>
                <w:sz w:val="20"/>
                <w:szCs w:val="20"/>
                <w:color w:val="auto"/>
              </w:rPr>
            </w:pPr>
            <w:r>
              <w:rPr>
                <w:rFonts w:ascii="Arial" w:cs="Arial" w:eastAsia="Arial" w:hAnsi="Arial"/>
                <w:sz w:val="18"/>
                <w:szCs w:val="18"/>
                <w:color w:val="auto"/>
              </w:rPr>
              <w:t>Second-lien loan ($3,341 par,</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10/31/2016</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+ 12.00%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14.38%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3,341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3,333</w:t>
            </w: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620" w:type="dxa"/>
            <w:vAlign w:val="bottom"/>
            <w:gridSpan w:val="3"/>
          </w:tcPr>
          <w:p>
            <w:pPr>
              <w:ind w:left="80"/>
              <w:spacing w:after="0"/>
              <w:rPr>
                <w:sz w:val="20"/>
                <w:szCs w:val="20"/>
                <w:color w:val="auto"/>
              </w:rPr>
            </w:pPr>
            <w:r>
              <w:rPr>
                <w:rFonts w:ascii="Arial" w:cs="Arial" w:eastAsia="Arial" w:hAnsi="Arial"/>
                <w:sz w:val="18"/>
                <w:szCs w:val="18"/>
                <w:color w:val="auto"/>
              </w:rPr>
              <w:t>due 10/2021)</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b w:val="1"/>
                <w:bCs w:val="1"/>
                <w:color w:val="auto"/>
              </w:rPr>
              <w:t>Education</w:t>
            </w:r>
          </w:p>
        </w:tc>
        <w:tc>
          <w:tcPr>
            <w:tcW w:w="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w w:val="98"/>
              </w:rPr>
              <w:t xml:space="preserve">Curriculum Associates, LLC </w:t>
            </w:r>
            <w:r>
              <w:rPr>
                <w:rFonts w:ascii="Arial" w:cs="Arial" w:eastAsia="Arial" w:hAnsi="Arial"/>
                <w:sz w:val="15"/>
                <w:szCs w:val="15"/>
                <w:color w:val="auto"/>
                <w:w w:val="98"/>
              </w:rPr>
              <w:t>(3)</w:t>
            </w:r>
          </w:p>
        </w:tc>
        <w:tc>
          <w:tcPr>
            <w:tcW w:w="262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w w:val="98"/>
              </w:rPr>
              <w:t>First-lien loan ($49,625 par, due</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2/28/2018</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+ 5.50%</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7.83%</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48,361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50,617</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FF0FC"/>
          </w:tcPr>
          <w:p>
            <w:pPr>
              <w:spacing w:after="0"/>
              <w:rPr>
                <w:sz w:val="20"/>
                <w:szCs w:val="20"/>
                <w:color w:val="auto"/>
              </w:rPr>
            </w:pPr>
            <w:r>
              <w:rPr>
                <w:rFonts w:ascii="Arial" w:cs="Arial" w:eastAsia="Arial" w:hAnsi="Arial"/>
                <w:sz w:val="15"/>
                <w:szCs w:val="15"/>
                <w:color w:val="auto"/>
              </w:rPr>
              <w:t>(5)</w:t>
            </w:r>
          </w:p>
        </w:tc>
        <w:tc>
          <w:tcPr>
            <w:tcW w:w="25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2/2024)</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w w:val="99"/>
              </w:rPr>
              <w:t>Frontline Technologies Group,</w:t>
            </w:r>
          </w:p>
        </w:tc>
        <w:tc>
          <w:tcPr>
            <w:tcW w:w="2620" w:type="dxa"/>
            <w:vAlign w:val="bottom"/>
            <w:gridSpan w:val="3"/>
          </w:tcPr>
          <w:p>
            <w:pPr>
              <w:ind w:left="80"/>
              <w:spacing w:after="0"/>
              <w:rPr>
                <w:sz w:val="20"/>
                <w:szCs w:val="20"/>
                <w:color w:val="auto"/>
              </w:rPr>
            </w:pPr>
            <w:r>
              <w:rPr>
                <w:rFonts w:ascii="Arial" w:cs="Arial" w:eastAsia="Arial" w:hAnsi="Arial"/>
                <w:sz w:val="18"/>
                <w:szCs w:val="18"/>
                <w:color w:val="auto"/>
                <w:w w:val="98"/>
              </w:rPr>
              <w:t>First-lien loan ($49,067 par, due</w:t>
            </w:r>
          </w:p>
        </w:tc>
        <w:tc>
          <w:tcPr>
            <w:tcW w:w="900" w:type="dxa"/>
            <w:vAlign w:val="bottom"/>
          </w:tcPr>
          <w:p>
            <w:pPr>
              <w:jc w:val="right"/>
              <w:spacing w:after="0"/>
              <w:rPr>
                <w:sz w:val="20"/>
                <w:szCs w:val="20"/>
                <w:color w:val="auto"/>
              </w:rPr>
            </w:pPr>
            <w:r>
              <w:rPr>
                <w:rFonts w:ascii="Arial" w:cs="Arial" w:eastAsia="Arial" w:hAnsi="Arial"/>
                <w:sz w:val="18"/>
                <w:szCs w:val="18"/>
                <w:color w:val="auto"/>
              </w:rPr>
              <w:t>9/18/2017</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+ 6.50%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8.83%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48,615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49,208</w:t>
            </w: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120"/>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w:t>
            </w:r>
          </w:p>
        </w:tc>
        <w:tc>
          <w:tcPr>
            <w:tcW w:w="2520" w:type="dxa"/>
            <w:vAlign w:val="bottom"/>
            <w:gridSpan w:val="2"/>
          </w:tcPr>
          <w:p>
            <w:pPr>
              <w:ind w:left="80"/>
              <w:spacing w:after="0"/>
              <w:rPr>
                <w:sz w:val="20"/>
                <w:szCs w:val="20"/>
                <w:color w:val="auto"/>
              </w:rPr>
            </w:pPr>
            <w:r>
              <w:rPr>
                <w:rFonts w:ascii="Arial" w:cs="Arial" w:eastAsia="Arial" w:hAnsi="Arial"/>
                <w:sz w:val="18"/>
                <w:szCs w:val="18"/>
                <w:color w:val="auto"/>
              </w:rPr>
              <w:t>9/2023)</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Illuminate Education, Inc.</w:t>
            </w:r>
            <w:r>
              <w:rPr>
                <w:rFonts w:ascii="Arial" w:cs="Arial" w:eastAsia="Arial" w:hAnsi="Arial"/>
                <w:sz w:val="15"/>
                <w:szCs w:val="15"/>
                <w:color w:val="auto"/>
              </w:rPr>
              <w:t>(3)(5)</w:t>
            </w:r>
          </w:p>
        </w:tc>
        <w:tc>
          <w:tcPr>
            <w:tcW w:w="262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w w:val="98"/>
              </w:rPr>
              <w:t>First-lien loan ($64,350 par, due</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8/25/2017</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+ 7.25%</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9.66%</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63,415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63,546</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FF0FC"/>
          </w:tcPr>
          <w:p>
            <w:pPr>
              <w:spacing w:after="0"/>
              <w:rPr>
                <w:sz w:val="20"/>
                <w:szCs w:val="20"/>
                <w:color w:val="auto"/>
              </w:rPr>
            </w:pPr>
          </w:p>
        </w:tc>
        <w:tc>
          <w:tcPr>
            <w:tcW w:w="25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8/2022)</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160,391</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163,371</w:t>
            </w:r>
          </w:p>
        </w:tc>
        <w:tc>
          <w:tcPr>
            <w:tcW w:w="2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Electronics</w:t>
            </w:r>
          </w:p>
        </w:tc>
        <w:tc>
          <w:tcPr>
            <w:tcW w:w="80" w:type="dxa"/>
            <w:vAlign w:val="bottom"/>
            <w:tcBorders>
              <w:top w:val="single" w:sz="8" w:color="CFF0FC"/>
            </w:tcBorders>
            <w:shd w:val="clear" w:color="auto" w:fill="CFF0FC"/>
          </w:tcPr>
          <w:p>
            <w:pPr>
              <w:spacing w:after="0"/>
              <w:rPr>
                <w:sz w:val="19"/>
                <w:szCs w:val="19"/>
                <w:color w:val="auto"/>
              </w:rPr>
            </w:pPr>
          </w:p>
        </w:tc>
        <w:tc>
          <w:tcPr>
            <w:tcW w:w="24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 xml:space="preserve">APX Group, Inc. </w:t>
            </w:r>
            <w:r>
              <w:rPr>
                <w:rFonts w:ascii="Arial" w:cs="Arial" w:eastAsia="Arial" w:hAnsi="Arial"/>
                <w:sz w:val="15"/>
                <w:szCs w:val="15"/>
                <w:color w:val="auto"/>
              </w:rPr>
              <w:t>(11)</w:t>
            </w:r>
          </w:p>
        </w:tc>
        <w:tc>
          <w:tcPr>
            <w:tcW w:w="2620" w:type="dxa"/>
            <w:vAlign w:val="bottom"/>
            <w:gridSpan w:val="3"/>
          </w:tcPr>
          <w:p>
            <w:pPr>
              <w:ind w:left="80"/>
              <w:spacing w:after="0"/>
              <w:rPr>
                <w:sz w:val="20"/>
                <w:szCs w:val="20"/>
                <w:color w:val="auto"/>
              </w:rPr>
            </w:pPr>
            <w:r>
              <w:rPr>
                <w:rFonts w:ascii="Arial" w:cs="Arial" w:eastAsia="Arial" w:hAnsi="Arial"/>
                <w:sz w:val="18"/>
                <w:szCs w:val="18"/>
                <w:color w:val="auto"/>
              </w:rPr>
              <w:t>Secured note ($3,750 par, due</w:t>
            </w:r>
          </w:p>
        </w:tc>
        <w:tc>
          <w:tcPr>
            <w:tcW w:w="900" w:type="dxa"/>
            <w:vAlign w:val="bottom"/>
          </w:tcPr>
          <w:p>
            <w:pPr>
              <w:jc w:val="right"/>
              <w:spacing w:after="0"/>
              <w:rPr>
                <w:sz w:val="20"/>
                <w:szCs w:val="20"/>
                <w:color w:val="auto"/>
              </w:rPr>
            </w:pPr>
            <w:r>
              <w:rPr>
                <w:rFonts w:ascii="Arial" w:cs="Arial" w:eastAsia="Arial" w:hAnsi="Arial"/>
                <w:sz w:val="18"/>
                <w:szCs w:val="18"/>
                <w:color w:val="auto"/>
              </w:rPr>
              <w:t>5/31/2019</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7.88%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7.88%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3,483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3,572</w:t>
            </w: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Arial" w:cs="Arial" w:eastAsia="Arial" w:hAnsi="Arial"/>
                <w:sz w:val="18"/>
                <w:szCs w:val="18"/>
                <w:color w:val="auto"/>
              </w:rPr>
              <w:t>12/2022)</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services</w:t>
            </w:r>
          </w:p>
        </w:tc>
        <w:tc>
          <w:tcPr>
            <w:tcW w:w="80" w:type="dxa"/>
            <w:vAlign w:val="bottom"/>
            <w:shd w:val="clear" w:color="auto" w:fill="CFF0FC"/>
          </w:tcPr>
          <w:p>
            <w:pPr>
              <w:spacing w:after="0"/>
              <w:rPr>
                <w:sz w:val="19"/>
                <w:szCs w:val="19"/>
                <w:color w:val="auto"/>
              </w:rPr>
            </w:pPr>
          </w:p>
        </w:tc>
        <w:tc>
          <w:tcPr>
            <w:tcW w:w="2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 xml:space="preserve">AppStar Financial, LLC </w:t>
            </w:r>
            <w:r>
              <w:rPr>
                <w:rFonts w:ascii="Arial" w:cs="Arial" w:eastAsia="Arial" w:hAnsi="Arial"/>
                <w:sz w:val="15"/>
                <w:szCs w:val="15"/>
                <w:color w:val="auto"/>
              </w:rPr>
              <w:t>(3)</w:t>
            </w:r>
          </w:p>
        </w:tc>
        <w:tc>
          <w:tcPr>
            <w:tcW w:w="2620" w:type="dxa"/>
            <w:vAlign w:val="bottom"/>
            <w:gridSpan w:val="3"/>
          </w:tcPr>
          <w:p>
            <w:pPr>
              <w:ind w:left="80"/>
              <w:spacing w:after="0"/>
              <w:rPr>
                <w:sz w:val="20"/>
                <w:szCs w:val="20"/>
                <w:color w:val="auto"/>
              </w:rPr>
            </w:pPr>
            <w:r>
              <w:rPr>
                <w:rFonts w:ascii="Arial" w:cs="Arial" w:eastAsia="Arial" w:hAnsi="Arial"/>
                <w:sz w:val="18"/>
                <w:szCs w:val="18"/>
                <w:color w:val="auto"/>
                <w:w w:val="98"/>
              </w:rPr>
              <w:t>First-lien loan ($17,055 par, due</w:t>
            </w:r>
          </w:p>
        </w:tc>
        <w:tc>
          <w:tcPr>
            <w:tcW w:w="900" w:type="dxa"/>
            <w:vAlign w:val="bottom"/>
          </w:tcPr>
          <w:p>
            <w:pPr>
              <w:jc w:val="right"/>
              <w:spacing w:after="0"/>
              <w:rPr>
                <w:sz w:val="20"/>
                <w:szCs w:val="20"/>
                <w:color w:val="auto"/>
              </w:rPr>
            </w:pPr>
            <w:r>
              <w:rPr>
                <w:rFonts w:ascii="Arial" w:cs="Arial" w:eastAsia="Arial" w:hAnsi="Arial"/>
                <w:sz w:val="18"/>
                <w:szCs w:val="18"/>
                <w:color w:val="auto"/>
              </w:rPr>
              <w:t>8/18/2015</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+ 7.50%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9.90%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16,941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17,293</w:t>
            </w: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Arial" w:cs="Arial" w:eastAsia="Arial" w:hAnsi="Arial"/>
                <w:sz w:val="18"/>
                <w:szCs w:val="18"/>
                <w:color w:val="auto"/>
              </w:rPr>
              <w:t>8/2020)</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(3)</w:t>
            </w:r>
          </w:p>
        </w:tc>
        <w:tc>
          <w:tcPr>
            <w:tcW w:w="262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w w:val="98"/>
              </w:rPr>
              <w:t>First-lien loan ($54,449 par, due</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8/7/2015</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+ 9.50%</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11.88%</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54,188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54,994</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FF0FC"/>
          </w:tcPr>
          <w:p>
            <w:pPr>
              <w:spacing w:after="0"/>
              <w:rPr>
                <w:sz w:val="20"/>
                <w:szCs w:val="20"/>
                <w:color w:val="auto"/>
              </w:rPr>
            </w:pPr>
          </w:p>
        </w:tc>
        <w:tc>
          <w:tcPr>
            <w:tcW w:w="25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8/2020)</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 xml:space="preserve">G Treasury SS, LLC </w:t>
            </w:r>
            <w:r>
              <w:rPr>
                <w:rFonts w:ascii="Arial" w:cs="Arial" w:eastAsia="Arial" w:hAnsi="Arial"/>
                <w:sz w:val="15"/>
                <w:szCs w:val="15"/>
                <w:color w:val="auto"/>
              </w:rPr>
              <w:t>(3)</w:t>
            </w:r>
          </w:p>
        </w:tc>
        <w:tc>
          <w:tcPr>
            <w:tcW w:w="2620" w:type="dxa"/>
            <w:vAlign w:val="bottom"/>
            <w:gridSpan w:val="3"/>
          </w:tcPr>
          <w:p>
            <w:pPr>
              <w:ind w:left="80"/>
              <w:spacing w:after="0"/>
              <w:rPr>
                <w:sz w:val="20"/>
                <w:szCs w:val="20"/>
                <w:color w:val="auto"/>
              </w:rPr>
            </w:pPr>
            <w:r>
              <w:rPr>
                <w:rFonts w:ascii="Arial" w:cs="Arial" w:eastAsia="Arial" w:hAnsi="Arial"/>
                <w:sz w:val="18"/>
                <w:szCs w:val="18"/>
                <w:color w:val="auto"/>
                <w:w w:val="98"/>
              </w:rPr>
              <w:t>First-lien loan ($34,577 par, due</w:t>
            </w:r>
          </w:p>
        </w:tc>
        <w:tc>
          <w:tcPr>
            <w:tcW w:w="900" w:type="dxa"/>
            <w:vAlign w:val="bottom"/>
          </w:tcPr>
          <w:p>
            <w:pPr>
              <w:jc w:val="right"/>
              <w:spacing w:after="0"/>
              <w:rPr>
                <w:sz w:val="20"/>
                <w:szCs w:val="20"/>
                <w:color w:val="auto"/>
              </w:rPr>
            </w:pPr>
            <w:r>
              <w:rPr>
                <w:rFonts w:ascii="Arial" w:cs="Arial" w:eastAsia="Arial" w:hAnsi="Arial"/>
                <w:sz w:val="18"/>
                <w:szCs w:val="18"/>
                <w:color w:val="auto"/>
              </w:rPr>
              <w:t>4/9/2018</w:t>
            </w:r>
          </w:p>
        </w:tc>
        <w:tc>
          <w:tcPr>
            <w:tcW w:w="1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L + 9.25%</w:t>
            </w:r>
          </w:p>
        </w:tc>
        <w:tc>
          <w:tcPr>
            <w:tcW w:w="760" w:type="dxa"/>
            <w:vAlign w:val="bottom"/>
          </w:tcPr>
          <w:p>
            <w:pPr>
              <w:jc w:val="right"/>
              <w:spacing w:after="0"/>
              <w:rPr>
                <w:sz w:val="20"/>
                <w:szCs w:val="20"/>
                <w:color w:val="auto"/>
              </w:rPr>
            </w:pPr>
            <w:r>
              <w:rPr>
                <w:rFonts w:ascii="Arial" w:cs="Arial" w:eastAsia="Arial" w:hAnsi="Arial"/>
                <w:sz w:val="18"/>
                <w:szCs w:val="18"/>
                <w:color w:val="auto"/>
              </w:rPr>
              <w:t>11.83%</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34,066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34,197</w:t>
            </w: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520" w:type="dxa"/>
            <w:vAlign w:val="bottom"/>
            <w:gridSpan w:val="2"/>
          </w:tcPr>
          <w:p>
            <w:pPr>
              <w:ind w:left="80"/>
              <w:spacing w:after="0"/>
              <w:rPr>
                <w:sz w:val="20"/>
                <w:szCs w:val="20"/>
                <w:color w:val="auto"/>
              </w:rPr>
            </w:pPr>
            <w:r>
              <w:rPr>
                <w:rFonts w:ascii="Arial" w:cs="Arial" w:eastAsia="Arial" w:hAnsi="Arial"/>
                <w:sz w:val="18"/>
                <w:szCs w:val="18"/>
                <w:color w:val="auto"/>
              </w:rPr>
              <w:t>4/2022)</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(incl.</w:t>
            </w: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PIK)</w:t>
            </w: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GC Agile Holdings, Ltd. </w:t>
            </w:r>
            <w:r>
              <w:rPr>
                <w:rFonts w:ascii="Arial" w:cs="Arial" w:eastAsia="Arial" w:hAnsi="Arial"/>
                <w:sz w:val="15"/>
                <w:szCs w:val="15"/>
                <w:color w:val="auto"/>
              </w:rPr>
              <w:t>(3)(4)</w:t>
            </w:r>
          </w:p>
        </w:tc>
        <w:tc>
          <w:tcPr>
            <w:tcW w:w="2620" w:type="dxa"/>
            <w:vAlign w:val="bottom"/>
            <w:gridSpan w:val="3"/>
            <w:shd w:val="clear" w:color="auto" w:fill="CFF0FC"/>
          </w:tcPr>
          <w:p>
            <w:pPr>
              <w:ind w:left="80"/>
              <w:spacing w:after="0"/>
              <w:rPr>
                <w:sz w:val="20"/>
                <w:szCs w:val="20"/>
                <w:color w:val="auto"/>
              </w:rPr>
            </w:pPr>
            <w:r>
              <w:rPr>
                <w:rFonts w:ascii="Arial" w:cs="Arial" w:eastAsia="Arial" w:hAnsi="Arial"/>
                <w:sz w:val="18"/>
                <w:szCs w:val="18"/>
                <w:color w:val="auto"/>
                <w:w w:val="98"/>
              </w:rPr>
              <w:t>First-lien loan ($39,903 par, due</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1/31/2019</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L + 7.00%</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9.32%</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39,220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39,305</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FF0FC"/>
          </w:tcPr>
          <w:p>
            <w:pPr>
              <w:spacing w:after="0"/>
              <w:rPr>
                <w:sz w:val="20"/>
                <w:szCs w:val="20"/>
                <w:color w:val="auto"/>
              </w:rPr>
            </w:pPr>
          </w:p>
        </w:tc>
        <w:tc>
          <w:tcPr>
            <w:tcW w:w="25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6/2025)</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 xml:space="preserve">Government Brands, LLC </w:t>
            </w:r>
            <w:r>
              <w:rPr>
                <w:rFonts w:ascii="Arial" w:cs="Arial" w:eastAsia="Arial" w:hAnsi="Arial"/>
                <w:sz w:val="15"/>
                <w:szCs w:val="15"/>
                <w:color w:val="auto"/>
              </w:rPr>
              <w:t>(3)</w:t>
            </w:r>
          </w:p>
        </w:tc>
        <w:tc>
          <w:tcPr>
            <w:tcW w:w="2780" w:type="dxa"/>
            <w:vAlign w:val="bottom"/>
          </w:tcPr>
          <w:p>
            <w:pPr>
              <w:ind w:left="140"/>
              <w:spacing w:after="0"/>
              <w:rPr>
                <w:sz w:val="20"/>
                <w:szCs w:val="20"/>
                <w:color w:val="auto"/>
              </w:rPr>
            </w:pPr>
            <w:r>
              <w:rPr>
                <w:rFonts w:ascii="Arial" w:cs="Arial" w:eastAsia="Arial" w:hAnsi="Arial"/>
                <w:sz w:val="18"/>
                <w:szCs w:val="18"/>
                <w:color w:val="auto"/>
              </w:rPr>
              <w:t>First-lien loan ($46,444 par, due</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3/15/2018</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L + 9.25%</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11.69%</w:t>
            </w:r>
          </w:p>
        </w:tc>
        <w:tc>
          <w:tcPr>
            <w:tcW w:w="820" w:type="dxa"/>
            <w:vAlign w:val="bottom"/>
          </w:tcPr>
          <w:p>
            <w:pPr>
              <w:jc w:val="right"/>
              <w:spacing w:after="0"/>
              <w:rPr>
                <w:sz w:val="20"/>
                <w:szCs w:val="20"/>
                <w:color w:val="auto"/>
              </w:rPr>
            </w:pPr>
            <w:r>
              <w:rPr>
                <w:rFonts w:ascii="Arial" w:cs="Arial" w:eastAsia="Arial" w:hAnsi="Arial"/>
                <w:sz w:val="18"/>
                <w:szCs w:val="18"/>
                <w:color w:val="auto"/>
              </w:rPr>
              <w:t>45,736</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47,837</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tcPr>
          <w:p>
            <w:pPr>
              <w:ind w:left="140"/>
              <w:spacing w:after="0"/>
              <w:rPr>
                <w:sz w:val="20"/>
                <w:szCs w:val="20"/>
                <w:color w:val="auto"/>
              </w:rPr>
            </w:pPr>
            <w:r>
              <w:rPr>
                <w:rFonts w:ascii="Arial" w:cs="Arial" w:eastAsia="Arial" w:hAnsi="Arial"/>
                <w:sz w:val="18"/>
                <w:szCs w:val="18"/>
                <w:color w:val="auto"/>
              </w:rPr>
              <w:t>3/2023)</w:t>
            </w: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(incl.</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2.50%</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PIK)</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60" w:type="dxa"/>
            <w:vAlign w:val="bottom"/>
            <w:shd w:val="clear" w:color="auto" w:fill="CFF0FC"/>
          </w:tcPr>
          <w:p>
            <w:pPr>
              <w:spacing w:after="0"/>
              <w:rPr>
                <w:sz w:val="18"/>
                <w:szCs w:val="18"/>
                <w:color w:val="auto"/>
              </w:rPr>
            </w:pPr>
          </w:p>
        </w:tc>
        <w:tc>
          <w:tcPr>
            <w:tcW w:w="2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First-lien revolving loan ($4,000</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3/15/2018</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L + 9.25%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11.69%</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3,926</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4,150</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r>
      <w:tr>
        <w:trPr>
          <w:trHeight w:val="230"/>
        </w:trPr>
        <w:tc>
          <w:tcPr>
            <w:tcW w:w="2560" w:type="dxa"/>
            <w:vAlign w:val="bottom"/>
            <w:shd w:val="clear" w:color="auto" w:fill="CFF0FC"/>
          </w:tcPr>
          <w:p>
            <w:pPr>
              <w:spacing w:after="0"/>
              <w:rPr>
                <w:sz w:val="20"/>
                <w:szCs w:val="20"/>
                <w:color w:val="auto"/>
              </w:rPr>
            </w:pPr>
          </w:p>
        </w:tc>
        <w:tc>
          <w:tcPr>
            <w:tcW w:w="2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 due 3/2023)</w:t>
            </w:r>
          </w:p>
        </w:tc>
        <w:tc>
          <w:tcPr>
            <w:tcW w:w="10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60" w:type="dxa"/>
            <w:vAlign w:val="bottom"/>
          </w:tcPr>
          <w:p>
            <w:pPr>
              <w:spacing w:after="0"/>
              <w:rPr>
                <w:sz w:val="20"/>
                <w:szCs w:val="20"/>
                <w:color w:val="auto"/>
              </w:rPr>
            </w:pPr>
            <w:r>
              <w:rPr>
                <w:rFonts w:ascii="Arial" w:cs="Arial" w:eastAsia="Arial" w:hAnsi="Arial"/>
                <w:sz w:val="18"/>
                <w:szCs w:val="18"/>
                <w:color w:val="auto"/>
              </w:rPr>
              <w:t>Kyriba Corp.</w:t>
            </w:r>
            <w:r>
              <w:rPr>
                <w:rFonts w:ascii="Arial" w:cs="Arial" w:eastAsia="Arial" w:hAnsi="Arial"/>
                <w:sz w:val="15"/>
                <w:szCs w:val="15"/>
                <w:color w:val="auto"/>
              </w:rPr>
              <w:t>(3)</w:t>
            </w:r>
          </w:p>
        </w:tc>
        <w:tc>
          <w:tcPr>
            <w:tcW w:w="2780" w:type="dxa"/>
            <w:vAlign w:val="bottom"/>
          </w:tcPr>
          <w:p>
            <w:pPr>
              <w:ind w:left="140"/>
              <w:spacing w:after="0"/>
              <w:rPr>
                <w:sz w:val="20"/>
                <w:szCs w:val="20"/>
                <w:color w:val="auto"/>
              </w:rPr>
            </w:pPr>
            <w:r>
              <w:rPr>
                <w:rFonts w:ascii="Arial" w:cs="Arial" w:eastAsia="Arial" w:hAnsi="Arial"/>
                <w:sz w:val="18"/>
                <w:szCs w:val="18"/>
                <w:color w:val="auto"/>
              </w:rPr>
              <w:t>First-lien loan ($11,907 par, due</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4/9/2019</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L + 9.00%</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11.59%</w:t>
            </w:r>
          </w:p>
        </w:tc>
        <w:tc>
          <w:tcPr>
            <w:tcW w:w="820" w:type="dxa"/>
            <w:vAlign w:val="bottom"/>
          </w:tcPr>
          <w:p>
            <w:pPr>
              <w:jc w:val="right"/>
              <w:spacing w:after="0"/>
              <w:rPr>
                <w:sz w:val="20"/>
                <w:szCs w:val="20"/>
                <w:color w:val="auto"/>
              </w:rPr>
            </w:pPr>
            <w:r>
              <w:rPr>
                <w:rFonts w:ascii="Arial" w:cs="Arial" w:eastAsia="Arial" w:hAnsi="Arial"/>
                <w:sz w:val="18"/>
                <w:szCs w:val="18"/>
                <w:color w:val="auto"/>
              </w:rPr>
              <w:t>11,507</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11,900</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tcPr>
          <w:p>
            <w:pPr>
              <w:ind w:left="140"/>
              <w:spacing w:after="0"/>
              <w:rPr>
                <w:sz w:val="20"/>
                <w:szCs w:val="20"/>
                <w:color w:val="auto"/>
              </w:rPr>
            </w:pPr>
            <w:r>
              <w:rPr>
                <w:rFonts w:ascii="Arial" w:cs="Arial" w:eastAsia="Arial" w:hAnsi="Arial"/>
                <w:sz w:val="18"/>
                <w:szCs w:val="18"/>
                <w:color w:val="auto"/>
              </w:rPr>
              <w:t>4/2025)</w:t>
            </w: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(incl.</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9.00%</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PIK)</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60" w:type="dxa"/>
            <w:vAlign w:val="bottom"/>
            <w:shd w:val="clear" w:color="auto" w:fill="CFF0FC"/>
          </w:tcPr>
          <w:p>
            <w:pPr>
              <w:spacing w:after="0"/>
              <w:rPr>
                <w:sz w:val="18"/>
                <w:szCs w:val="18"/>
                <w:color w:val="auto"/>
              </w:rPr>
            </w:pPr>
          </w:p>
        </w:tc>
        <w:tc>
          <w:tcPr>
            <w:tcW w:w="278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4"/>
              </w:rPr>
              <w:t>First-lien loan (EUR 7,089 par, due</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4/9/2019</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E + 9.00%</w:t>
            </w:r>
          </w:p>
        </w:tc>
        <w:tc>
          <w:tcPr>
            <w:tcW w:w="10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9.00%</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7,707</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7,251</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r>
      <w:tr>
        <w:trPr>
          <w:trHeight w:val="216"/>
        </w:trPr>
        <w:tc>
          <w:tcPr>
            <w:tcW w:w="2560" w:type="dxa"/>
            <w:vAlign w:val="bottom"/>
            <w:shd w:val="clear" w:color="auto" w:fill="CFF0FC"/>
          </w:tcPr>
          <w:p>
            <w:pPr>
              <w:spacing w:after="0"/>
              <w:rPr>
                <w:sz w:val="18"/>
                <w:szCs w:val="18"/>
                <w:color w:val="auto"/>
              </w:rPr>
            </w:pPr>
          </w:p>
        </w:tc>
        <w:tc>
          <w:tcPr>
            <w:tcW w:w="2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4/2025)</w:t>
            </w:r>
          </w:p>
        </w:tc>
        <w:tc>
          <w:tcPr>
            <w:tcW w:w="10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(incl.</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(EUR</w:t>
            </w: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560" w:type="dxa"/>
            <w:vAlign w:val="bottom"/>
            <w:shd w:val="clear" w:color="auto" w:fill="CFF0FC"/>
          </w:tcPr>
          <w:p>
            <w:pPr>
              <w:spacing w:after="0"/>
              <w:rPr>
                <w:sz w:val="18"/>
                <w:szCs w:val="18"/>
                <w:color w:val="auto"/>
              </w:rPr>
            </w:pPr>
          </w:p>
        </w:tc>
        <w:tc>
          <w:tcPr>
            <w:tcW w:w="27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9.00%</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6,367)</w:t>
            </w: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60" w:type="dxa"/>
            <w:vAlign w:val="bottom"/>
            <w:shd w:val="clear" w:color="auto" w:fill="CFF0FC"/>
          </w:tcPr>
          <w:p>
            <w:pPr>
              <w:spacing w:after="0"/>
              <w:rPr>
                <w:sz w:val="20"/>
                <w:szCs w:val="20"/>
                <w:color w:val="auto"/>
              </w:rPr>
            </w:pPr>
          </w:p>
        </w:tc>
        <w:tc>
          <w:tcPr>
            <w:tcW w:w="27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PIK)</w:t>
            </w: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60" w:type="dxa"/>
            <w:vAlign w:val="bottom"/>
          </w:tcPr>
          <w:p>
            <w:pPr>
              <w:spacing w:after="0"/>
              <w:rPr>
                <w:sz w:val="20"/>
                <w:szCs w:val="20"/>
                <w:color w:val="auto"/>
              </w:rPr>
            </w:pPr>
            <w:r>
              <w:rPr>
                <w:rFonts w:ascii="Arial" w:cs="Arial" w:eastAsia="Arial" w:hAnsi="Arial"/>
                <w:sz w:val="18"/>
                <w:szCs w:val="18"/>
                <w:color w:val="auto"/>
              </w:rPr>
              <w:t xml:space="preserve">PayLease, LLC </w:t>
            </w:r>
            <w:r>
              <w:rPr>
                <w:rFonts w:ascii="Arial" w:cs="Arial" w:eastAsia="Arial" w:hAnsi="Arial"/>
                <w:sz w:val="15"/>
                <w:szCs w:val="15"/>
                <w:color w:val="auto"/>
              </w:rPr>
              <w:t>(3)</w:t>
            </w:r>
          </w:p>
        </w:tc>
        <w:tc>
          <w:tcPr>
            <w:tcW w:w="2780" w:type="dxa"/>
            <w:vAlign w:val="bottom"/>
          </w:tcPr>
          <w:p>
            <w:pPr>
              <w:ind w:left="140"/>
              <w:spacing w:after="0"/>
              <w:rPr>
                <w:sz w:val="20"/>
                <w:szCs w:val="20"/>
                <w:color w:val="auto"/>
              </w:rPr>
            </w:pPr>
            <w:r>
              <w:rPr>
                <w:rFonts w:ascii="Arial" w:cs="Arial" w:eastAsia="Arial" w:hAnsi="Arial"/>
                <w:sz w:val="18"/>
                <w:szCs w:val="18"/>
                <w:color w:val="auto"/>
              </w:rPr>
              <w:t>First-lien loan ($64,655 par, due</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7/28/2017</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L + 7.25%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9.65%</w:t>
            </w:r>
          </w:p>
        </w:tc>
        <w:tc>
          <w:tcPr>
            <w:tcW w:w="820" w:type="dxa"/>
            <w:vAlign w:val="bottom"/>
          </w:tcPr>
          <w:p>
            <w:pPr>
              <w:jc w:val="right"/>
              <w:spacing w:after="0"/>
              <w:rPr>
                <w:sz w:val="20"/>
                <w:szCs w:val="20"/>
                <w:color w:val="auto"/>
              </w:rPr>
            </w:pPr>
            <w:r>
              <w:rPr>
                <w:rFonts w:ascii="Arial" w:cs="Arial" w:eastAsia="Arial" w:hAnsi="Arial"/>
                <w:sz w:val="18"/>
                <w:szCs w:val="18"/>
                <w:color w:val="auto"/>
              </w:rPr>
              <w:t>63,702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64,485</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r>
      <w:tr>
        <w:trPr>
          <w:trHeight w:val="230"/>
        </w:trPr>
        <w:tc>
          <w:tcPr>
            <w:tcW w:w="2560" w:type="dxa"/>
            <w:vAlign w:val="bottom"/>
          </w:tcPr>
          <w:p>
            <w:pPr>
              <w:spacing w:after="0"/>
              <w:rPr>
                <w:sz w:val="20"/>
                <w:szCs w:val="20"/>
                <w:color w:val="auto"/>
              </w:rPr>
            </w:pPr>
          </w:p>
        </w:tc>
        <w:tc>
          <w:tcPr>
            <w:tcW w:w="2780" w:type="dxa"/>
            <w:vAlign w:val="bottom"/>
          </w:tcPr>
          <w:p>
            <w:pPr>
              <w:ind w:left="140"/>
              <w:spacing w:after="0"/>
              <w:rPr>
                <w:sz w:val="20"/>
                <w:szCs w:val="20"/>
                <w:color w:val="auto"/>
              </w:rPr>
            </w:pPr>
            <w:r>
              <w:rPr>
                <w:rFonts w:ascii="Arial" w:cs="Arial" w:eastAsia="Arial" w:hAnsi="Arial"/>
                <w:sz w:val="18"/>
                <w:szCs w:val="18"/>
                <w:color w:val="auto"/>
              </w:rPr>
              <w:t>7/2022)</w:t>
            </w:r>
          </w:p>
        </w:tc>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PaySimple, Inc. </w:t>
            </w:r>
            <w:r>
              <w:rPr>
                <w:rFonts w:ascii="Arial" w:cs="Arial" w:eastAsia="Arial" w:hAnsi="Arial"/>
                <w:sz w:val="15"/>
                <w:szCs w:val="15"/>
                <w:color w:val="auto"/>
              </w:rPr>
              <w:t>(3)(5)</w:t>
            </w:r>
          </w:p>
        </w:tc>
        <w:tc>
          <w:tcPr>
            <w:tcW w:w="2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First-lien loan ($59,476 par, due</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4/17/2018</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L + 8.25%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10.69%</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59,240</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60,666</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r>
      <w:tr>
        <w:trPr>
          <w:trHeight w:val="230"/>
        </w:trPr>
        <w:tc>
          <w:tcPr>
            <w:tcW w:w="2560" w:type="dxa"/>
            <w:vAlign w:val="bottom"/>
            <w:shd w:val="clear" w:color="auto" w:fill="CFF0FC"/>
          </w:tcPr>
          <w:p>
            <w:pPr>
              <w:spacing w:after="0"/>
              <w:rPr>
                <w:sz w:val="20"/>
                <w:szCs w:val="20"/>
                <w:color w:val="auto"/>
              </w:rPr>
            </w:pPr>
          </w:p>
        </w:tc>
        <w:tc>
          <w:tcPr>
            <w:tcW w:w="2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3/2022)</w:t>
            </w:r>
          </w:p>
        </w:tc>
        <w:tc>
          <w:tcPr>
            <w:tcW w:w="10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60" w:type="dxa"/>
            <w:vAlign w:val="bottom"/>
          </w:tcPr>
          <w:p>
            <w:pPr>
              <w:spacing w:after="0"/>
              <w:rPr>
                <w:sz w:val="20"/>
                <w:szCs w:val="20"/>
                <w:color w:val="auto"/>
              </w:rPr>
            </w:pPr>
            <w:r>
              <w:rPr>
                <w:rFonts w:ascii="Arial" w:cs="Arial" w:eastAsia="Arial" w:hAnsi="Arial"/>
                <w:sz w:val="18"/>
                <w:szCs w:val="18"/>
                <w:color w:val="auto"/>
              </w:rPr>
              <w:t xml:space="preserve">PrimeRevenue, Inc. </w:t>
            </w:r>
            <w:r>
              <w:rPr>
                <w:rFonts w:ascii="Arial" w:cs="Arial" w:eastAsia="Arial" w:hAnsi="Arial"/>
                <w:sz w:val="15"/>
                <w:szCs w:val="15"/>
                <w:color w:val="auto"/>
              </w:rPr>
              <w:t>(3)</w:t>
            </w:r>
          </w:p>
        </w:tc>
        <w:tc>
          <w:tcPr>
            <w:tcW w:w="2780" w:type="dxa"/>
            <w:vAlign w:val="bottom"/>
          </w:tcPr>
          <w:p>
            <w:pPr>
              <w:ind w:left="140"/>
              <w:spacing w:after="0"/>
              <w:rPr>
                <w:sz w:val="20"/>
                <w:szCs w:val="20"/>
                <w:color w:val="auto"/>
              </w:rPr>
            </w:pPr>
            <w:r>
              <w:rPr>
                <w:rFonts w:ascii="Arial" w:cs="Arial" w:eastAsia="Arial" w:hAnsi="Arial"/>
                <w:sz w:val="18"/>
                <w:szCs w:val="18"/>
                <w:color w:val="auto"/>
              </w:rPr>
              <w:t>First-lien loan ($20,553 par, due</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w w:val="97"/>
              </w:rPr>
              <w:t>12/31/2018</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L + 8.50%</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10.90%</w:t>
            </w:r>
          </w:p>
        </w:tc>
        <w:tc>
          <w:tcPr>
            <w:tcW w:w="820" w:type="dxa"/>
            <w:vAlign w:val="bottom"/>
          </w:tcPr>
          <w:p>
            <w:pPr>
              <w:jc w:val="right"/>
              <w:spacing w:after="0"/>
              <w:rPr>
                <w:sz w:val="20"/>
                <w:szCs w:val="20"/>
                <w:color w:val="auto"/>
              </w:rPr>
            </w:pPr>
            <w:r>
              <w:rPr>
                <w:rFonts w:ascii="Arial" w:cs="Arial" w:eastAsia="Arial" w:hAnsi="Arial"/>
                <w:sz w:val="18"/>
                <w:szCs w:val="18"/>
                <w:color w:val="auto"/>
              </w:rPr>
              <w:t>20,255</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20,486</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tcPr>
          <w:p>
            <w:pPr>
              <w:ind w:left="140"/>
              <w:spacing w:after="0"/>
              <w:rPr>
                <w:sz w:val="20"/>
                <w:szCs w:val="20"/>
                <w:color w:val="auto"/>
              </w:rPr>
            </w:pPr>
            <w:r>
              <w:rPr>
                <w:rFonts w:ascii="Arial" w:cs="Arial" w:eastAsia="Arial" w:hAnsi="Arial"/>
                <w:sz w:val="18"/>
                <w:szCs w:val="18"/>
                <w:color w:val="auto"/>
              </w:rPr>
              <w:t>12/2023)</w:t>
            </w: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(incl.</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5.50%</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PIK)</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Swift Gift, Ltd. </w:t>
            </w:r>
            <w:r>
              <w:rPr>
                <w:rFonts w:ascii="Arial" w:cs="Arial" w:eastAsia="Arial" w:hAnsi="Arial"/>
                <w:sz w:val="15"/>
                <w:szCs w:val="15"/>
                <w:color w:val="auto"/>
              </w:rPr>
              <w:t>(3)(5)</w:t>
            </w:r>
          </w:p>
        </w:tc>
        <w:tc>
          <w:tcPr>
            <w:tcW w:w="2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First-lien loan ($28,510 par, due</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7/31/2017</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L + 6.50%</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8.94%</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28,055</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29,580</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30"/>
        </w:trPr>
        <w:tc>
          <w:tcPr>
            <w:tcW w:w="2560" w:type="dxa"/>
            <w:vAlign w:val="bottom"/>
            <w:shd w:val="clear" w:color="auto" w:fill="CFF0FC"/>
          </w:tcPr>
          <w:p>
            <w:pPr>
              <w:spacing w:after="0"/>
              <w:rPr>
                <w:sz w:val="20"/>
                <w:szCs w:val="20"/>
                <w:color w:val="auto"/>
              </w:rPr>
            </w:pPr>
          </w:p>
        </w:tc>
        <w:tc>
          <w:tcPr>
            <w:tcW w:w="2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1/2022)</w:t>
            </w:r>
          </w:p>
        </w:tc>
        <w:tc>
          <w:tcPr>
            <w:tcW w:w="10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384,543</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392,144</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19"/>
                <w:szCs w:val="19"/>
                <w:color w:val="auto"/>
              </w:rPr>
            </w:pPr>
          </w:p>
        </w:tc>
      </w:tr>
      <w:tr>
        <w:trPr>
          <w:trHeight w:val="223"/>
        </w:trPr>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Healthcare</w:t>
            </w:r>
          </w:p>
        </w:tc>
        <w:tc>
          <w:tcPr>
            <w:tcW w:w="27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60" w:type="dxa"/>
            <w:vAlign w:val="bottom"/>
          </w:tcPr>
          <w:p>
            <w:pPr>
              <w:spacing w:after="0"/>
              <w:rPr>
                <w:sz w:val="20"/>
                <w:szCs w:val="20"/>
                <w:color w:val="auto"/>
              </w:rPr>
            </w:pPr>
            <w:r>
              <w:rPr>
                <w:rFonts w:ascii="Arial" w:cs="Arial" w:eastAsia="Arial" w:hAnsi="Arial"/>
                <w:sz w:val="18"/>
                <w:szCs w:val="18"/>
                <w:color w:val="auto"/>
              </w:rPr>
              <w:t>Caris Life Sciences, Ltd.</w:t>
            </w:r>
          </w:p>
        </w:tc>
        <w:tc>
          <w:tcPr>
            <w:tcW w:w="2780" w:type="dxa"/>
            <w:vAlign w:val="bottom"/>
          </w:tcPr>
          <w:p>
            <w:pPr>
              <w:ind w:left="140"/>
              <w:spacing w:after="0"/>
              <w:rPr>
                <w:sz w:val="20"/>
                <w:szCs w:val="20"/>
                <w:color w:val="auto"/>
              </w:rPr>
            </w:pPr>
            <w:r>
              <w:rPr>
                <w:rFonts w:ascii="Arial" w:cs="Arial" w:eastAsia="Arial" w:hAnsi="Arial"/>
                <w:sz w:val="18"/>
                <w:szCs w:val="18"/>
                <w:color w:val="auto"/>
              </w:rPr>
              <w:t>First-lien loan ($2,500 par, due</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9/21/2018</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11.30%</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11.30%</w:t>
            </w:r>
          </w:p>
        </w:tc>
        <w:tc>
          <w:tcPr>
            <w:tcW w:w="820" w:type="dxa"/>
            <w:vAlign w:val="bottom"/>
          </w:tcPr>
          <w:p>
            <w:pPr>
              <w:jc w:val="right"/>
              <w:spacing w:after="0"/>
              <w:rPr>
                <w:sz w:val="20"/>
                <w:szCs w:val="20"/>
                <w:color w:val="auto"/>
              </w:rPr>
            </w:pPr>
            <w:r>
              <w:rPr>
                <w:rFonts w:ascii="Arial" w:cs="Arial" w:eastAsia="Arial" w:hAnsi="Arial"/>
                <w:sz w:val="18"/>
                <w:szCs w:val="18"/>
                <w:color w:val="auto"/>
              </w:rPr>
              <w:t>2,334</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2,388</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r>
      <w:tr>
        <w:trPr>
          <w:trHeight w:val="230"/>
        </w:trPr>
        <w:tc>
          <w:tcPr>
            <w:tcW w:w="2560" w:type="dxa"/>
            <w:vAlign w:val="bottom"/>
          </w:tcPr>
          <w:p>
            <w:pPr>
              <w:spacing w:after="0"/>
              <w:rPr>
                <w:sz w:val="20"/>
                <w:szCs w:val="20"/>
                <w:color w:val="auto"/>
              </w:rPr>
            </w:pPr>
          </w:p>
        </w:tc>
        <w:tc>
          <w:tcPr>
            <w:tcW w:w="2780" w:type="dxa"/>
            <w:vAlign w:val="bottom"/>
          </w:tcPr>
          <w:p>
            <w:pPr>
              <w:ind w:left="140"/>
              <w:spacing w:after="0"/>
              <w:rPr>
                <w:sz w:val="20"/>
                <w:szCs w:val="20"/>
                <w:color w:val="auto"/>
              </w:rPr>
            </w:pPr>
            <w:r>
              <w:rPr>
                <w:rFonts w:ascii="Arial" w:cs="Arial" w:eastAsia="Arial" w:hAnsi="Arial"/>
                <w:sz w:val="18"/>
                <w:szCs w:val="18"/>
                <w:color w:val="auto"/>
              </w:rPr>
              <w:t>9/2023)</w:t>
            </w:r>
          </w:p>
        </w:tc>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60" w:type="dxa"/>
            <w:vAlign w:val="bottom"/>
            <w:shd w:val="clear" w:color="auto" w:fill="CFF0FC"/>
          </w:tcPr>
          <w:p>
            <w:pPr>
              <w:spacing w:after="0"/>
              <w:rPr>
                <w:sz w:val="18"/>
                <w:szCs w:val="18"/>
                <w:color w:val="auto"/>
              </w:rPr>
            </w:pPr>
          </w:p>
        </w:tc>
        <w:tc>
          <w:tcPr>
            <w:tcW w:w="278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7"/>
              </w:rPr>
              <w:t>Convertible note ($2,500 par, due</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9/21/2018</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8.00%</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8.00%</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r>
      <w:tr>
        <w:trPr>
          <w:trHeight w:val="230"/>
        </w:trPr>
        <w:tc>
          <w:tcPr>
            <w:tcW w:w="2560" w:type="dxa"/>
            <w:vAlign w:val="bottom"/>
            <w:shd w:val="clear" w:color="auto" w:fill="CFF0FC"/>
          </w:tcPr>
          <w:p>
            <w:pPr>
              <w:spacing w:after="0"/>
              <w:rPr>
                <w:sz w:val="20"/>
                <w:szCs w:val="20"/>
                <w:color w:val="auto"/>
              </w:rPr>
            </w:pPr>
          </w:p>
        </w:tc>
        <w:tc>
          <w:tcPr>
            <w:tcW w:w="2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9/2023)</w:t>
            </w:r>
          </w:p>
        </w:tc>
        <w:tc>
          <w:tcPr>
            <w:tcW w:w="10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60" w:type="dxa"/>
            <w:vAlign w:val="bottom"/>
          </w:tcPr>
          <w:p>
            <w:pPr>
              <w:spacing w:after="0"/>
              <w:rPr>
                <w:sz w:val="20"/>
                <w:szCs w:val="20"/>
                <w:color w:val="auto"/>
              </w:rPr>
            </w:pPr>
            <w:r>
              <w:rPr>
                <w:rFonts w:ascii="Arial" w:cs="Arial" w:eastAsia="Arial" w:hAnsi="Arial"/>
                <w:sz w:val="18"/>
                <w:szCs w:val="18"/>
                <w:color w:val="auto"/>
              </w:rPr>
              <w:t>Clinicient, Inc.</w:t>
            </w:r>
            <w:r>
              <w:rPr>
                <w:rFonts w:ascii="Arial" w:cs="Arial" w:eastAsia="Arial" w:hAnsi="Arial"/>
                <w:sz w:val="15"/>
                <w:szCs w:val="15"/>
                <w:color w:val="auto"/>
              </w:rPr>
              <w:t>(3)</w:t>
            </w:r>
          </w:p>
        </w:tc>
        <w:tc>
          <w:tcPr>
            <w:tcW w:w="2780" w:type="dxa"/>
            <w:vAlign w:val="bottom"/>
          </w:tcPr>
          <w:p>
            <w:pPr>
              <w:ind w:left="140"/>
              <w:spacing w:after="0"/>
              <w:rPr>
                <w:sz w:val="20"/>
                <w:szCs w:val="20"/>
                <w:color w:val="auto"/>
              </w:rPr>
            </w:pPr>
            <w:r>
              <w:rPr>
                <w:rFonts w:ascii="Arial" w:cs="Arial" w:eastAsia="Arial" w:hAnsi="Arial"/>
                <w:sz w:val="18"/>
                <w:szCs w:val="18"/>
                <w:color w:val="auto"/>
              </w:rPr>
              <w:t>First-lien loan ($15,000 par, due</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5/31/2019</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L + 7.00%</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9.52%</w:t>
            </w:r>
          </w:p>
        </w:tc>
        <w:tc>
          <w:tcPr>
            <w:tcW w:w="820" w:type="dxa"/>
            <w:vAlign w:val="bottom"/>
          </w:tcPr>
          <w:p>
            <w:pPr>
              <w:jc w:val="right"/>
              <w:spacing w:after="0"/>
              <w:rPr>
                <w:sz w:val="20"/>
                <w:szCs w:val="20"/>
                <w:color w:val="auto"/>
              </w:rPr>
            </w:pPr>
            <w:r>
              <w:rPr>
                <w:rFonts w:ascii="Arial" w:cs="Arial" w:eastAsia="Arial" w:hAnsi="Arial"/>
                <w:sz w:val="18"/>
                <w:szCs w:val="18"/>
                <w:color w:val="auto"/>
              </w:rPr>
              <w:t>14,813</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14,763</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r>
      <w:tr>
        <w:trPr>
          <w:trHeight w:val="230"/>
        </w:trPr>
        <w:tc>
          <w:tcPr>
            <w:tcW w:w="2560" w:type="dxa"/>
            <w:vAlign w:val="bottom"/>
          </w:tcPr>
          <w:p>
            <w:pPr>
              <w:spacing w:after="0"/>
              <w:rPr>
                <w:sz w:val="20"/>
                <w:szCs w:val="20"/>
                <w:color w:val="auto"/>
              </w:rPr>
            </w:pPr>
          </w:p>
        </w:tc>
        <w:tc>
          <w:tcPr>
            <w:tcW w:w="2780" w:type="dxa"/>
            <w:vAlign w:val="bottom"/>
          </w:tcPr>
          <w:p>
            <w:pPr>
              <w:ind w:left="140"/>
              <w:spacing w:after="0"/>
              <w:rPr>
                <w:sz w:val="20"/>
                <w:szCs w:val="20"/>
                <w:color w:val="auto"/>
              </w:rPr>
            </w:pPr>
            <w:r>
              <w:rPr>
                <w:rFonts w:ascii="Arial" w:cs="Arial" w:eastAsia="Arial" w:hAnsi="Arial"/>
                <w:sz w:val="18"/>
                <w:szCs w:val="18"/>
                <w:color w:val="auto"/>
              </w:rPr>
              <w:t>5/2024)</w:t>
            </w:r>
          </w:p>
        </w:tc>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Integrated Practice Solutions,</w:t>
            </w:r>
          </w:p>
        </w:tc>
        <w:tc>
          <w:tcPr>
            <w:tcW w:w="2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First-lien loan ($36,316 par, due</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6/30/2017</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L + 8.00%</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10.35%</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35,614</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36,044</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r>
      <w:tr>
        <w:trPr>
          <w:trHeight w:val="230"/>
        </w:trPr>
        <w:tc>
          <w:tcPr>
            <w:tcW w:w="25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5"/>
                <w:szCs w:val="15"/>
                <w:color w:val="auto"/>
              </w:rPr>
              <w:t>(3)(5)</w:t>
            </w:r>
          </w:p>
        </w:tc>
        <w:tc>
          <w:tcPr>
            <w:tcW w:w="2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6/2022)</w:t>
            </w:r>
          </w:p>
        </w:tc>
        <w:tc>
          <w:tcPr>
            <w:tcW w:w="10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60" w:type="dxa"/>
            <w:vAlign w:val="bottom"/>
          </w:tcPr>
          <w:p>
            <w:pPr>
              <w:spacing w:after="0"/>
              <w:rPr>
                <w:sz w:val="20"/>
                <w:szCs w:val="20"/>
                <w:color w:val="auto"/>
              </w:rPr>
            </w:pPr>
            <w:r>
              <w:rPr>
                <w:rFonts w:ascii="Arial" w:cs="Arial" w:eastAsia="Arial" w:hAnsi="Arial"/>
                <w:sz w:val="18"/>
                <w:szCs w:val="18"/>
                <w:color w:val="auto"/>
              </w:rPr>
              <w:t xml:space="preserve">MedeAnalytics, Inc. </w:t>
            </w:r>
            <w:r>
              <w:rPr>
                <w:rFonts w:ascii="Arial" w:cs="Arial" w:eastAsia="Arial" w:hAnsi="Arial"/>
                <w:sz w:val="15"/>
                <w:szCs w:val="15"/>
                <w:color w:val="auto"/>
              </w:rPr>
              <w:t>(3)(5)</w:t>
            </w:r>
          </w:p>
        </w:tc>
        <w:tc>
          <w:tcPr>
            <w:tcW w:w="2780" w:type="dxa"/>
            <w:vAlign w:val="bottom"/>
          </w:tcPr>
          <w:p>
            <w:pPr>
              <w:ind w:left="140"/>
              <w:spacing w:after="0"/>
              <w:rPr>
                <w:sz w:val="20"/>
                <w:szCs w:val="20"/>
                <w:color w:val="auto"/>
              </w:rPr>
            </w:pPr>
            <w:r>
              <w:rPr>
                <w:rFonts w:ascii="Arial" w:cs="Arial" w:eastAsia="Arial" w:hAnsi="Arial"/>
                <w:sz w:val="18"/>
                <w:szCs w:val="18"/>
                <w:color w:val="auto"/>
              </w:rPr>
              <w:t>First-lien loan ($41,329 par, due</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9/30/2015</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L + 7.50%</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9.90%</w:t>
            </w:r>
          </w:p>
        </w:tc>
        <w:tc>
          <w:tcPr>
            <w:tcW w:w="820" w:type="dxa"/>
            <w:vAlign w:val="bottom"/>
          </w:tcPr>
          <w:p>
            <w:pPr>
              <w:jc w:val="right"/>
              <w:spacing w:after="0"/>
              <w:rPr>
                <w:sz w:val="20"/>
                <w:szCs w:val="20"/>
                <w:color w:val="auto"/>
              </w:rPr>
            </w:pPr>
            <w:r>
              <w:rPr>
                <w:rFonts w:ascii="Arial" w:cs="Arial" w:eastAsia="Arial" w:hAnsi="Arial"/>
                <w:sz w:val="18"/>
                <w:szCs w:val="18"/>
                <w:color w:val="auto"/>
              </w:rPr>
              <w:t>40,968</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41,535</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r>
      <w:tr>
        <w:trPr>
          <w:trHeight w:val="230"/>
        </w:trPr>
        <w:tc>
          <w:tcPr>
            <w:tcW w:w="2560" w:type="dxa"/>
            <w:vAlign w:val="bottom"/>
          </w:tcPr>
          <w:p>
            <w:pPr>
              <w:spacing w:after="0"/>
              <w:rPr>
                <w:sz w:val="20"/>
                <w:szCs w:val="20"/>
                <w:color w:val="auto"/>
              </w:rPr>
            </w:pPr>
          </w:p>
        </w:tc>
        <w:tc>
          <w:tcPr>
            <w:tcW w:w="2780" w:type="dxa"/>
            <w:vAlign w:val="bottom"/>
          </w:tcPr>
          <w:p>
            <w:pPr>
              <w:ind w:left="140"/>
              <w:spacing w:after="0"/>
              <w:rPr>
                <w:sz w:val="20"/>
                <w:szCs w:val="20"/>
                <w:color w:val="auto"/>
              </w:rPr>
            </w:pPr>
            <w:r>
              <w:rPr>
                <w:rFonts w:ascii="Arial" w:cs="Arial" w:eastAsia="Arial" w:hAnsi="Arial"/>
                <w:sz w:val="18"/>
                <w:szCs w:val="18"/>
                <w:color w:val="auto"/>
              </w:rPr>
              <w:t>9/2020)</w:t>
            </w:r>
          </w:p>
        </w:tc>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Quantros, Inc. </w:t>
            </w:r>
            <w:r>
              <w:rPr>
                <w:rFonts w:ascii="Arial" w:cs="Arial" w:eastAsia="Arial" w:hAnsi="Arial"/>
                <w:sz w:val="15"/>
                <w:szCs w:val="15"/>
                <w:color w:val="auto"/>
              </w:rPr>
              <w:t>(3)(5)</w:t>
            </w:r>
          </w:p>
        </w:tc>
        <w:tc>
          <w:tcPr>
            <w:tcW w:w="2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First-lien loan ($27,215 par, due</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2/29/2016</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L + 7.75%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10.08%</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26,782</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27,079</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30"/>
        </w:trPr>
        <w:tc>
          <w:tcPr>
            <w:tcW w:w="2560" w:type="dxa"/>
            <w:vAlign w:val="bottom"/>
            <w:shd w:val="clear" w:color="auto" w:fill="CFF0FC"/>
          </w:tcPr>
          <w:p>
            <w:pPr>
              <w:spacing w:after="0"/>
              <w:rPr>
                <w:sz w:val="20"/>
                <w:szCs w:val="20"/>
                <w:color w:val="auto"/>
              </w:rPr>
            </w:pPr>
          </w:p>
        </w:tc>
        <w:tc>
          <w:tcPr>
            <w:tcW w:w="2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9/2019)</w:t>
            </w:r>
          </w:p>
        </w:tc>
        <w:tc>
          <w:tcPr>
            <w:tcW w:w="10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60" w:type="dxa"/>
            <w:vAlign w:val="bottom"/>
          </w:tcPr>
          <w:p>
            <w:pPr>
              <w:spacing w:after="0"/>
              <w:rPr>
                <w:sz w:val="20"/>
                <w:szCs w:val="20"/>
                <w:color w:val="auto"/>
              </w:rPr>
            </w:pPr>
            <w:r>
              <w:rPr>
                <w:rFonts w:ascii="Arial" w:cs="Arial" w:eastAsia="Arial" w:hAnsi="Arial"/>
                <w:sz w:val="18"/>
                <w:szCs w:val="18"/>
                <w:color w:val="auto"/>
              </w:rPr>
              <w:t xml:space="preserve">TherapeuticsMD, Inc. </w:t>
            </w:r>
            <w:r>
              <w:rPr>
                <w:rFonts w:ascii="Arial" w:cs="Arial" w:eastAsia="Arial" w:hAnsi="Arial"/>
                <w:sz w:val="15"/>
                <w:szCs w:val="15"/>
                <w:color w:val="auto"/>
              </w:rPr>
              <w:t>(3)(4)</w:t>
            </w:r>
          </w:p>
        </w:tc>
        <w:tc>
          <w:tcPr>
            <w:tcW w:w="2780" w:type="dxa"/>
            <w:vAlign w:val="bottom"/>
          </w:tcPr>
          <w:p>
            <w:pPr>
              <w:ind w:left="140"/>
              <w:spacing w:after="0"/>
              <w:rPr>
                <w:sz w:val="20"/>
                <w:szCs w:val="20"/>
                <w:color w:val="auto"/>
              </w:rPr>
            </w:pPr>
            <w:r>
              <w:rPr>
                <w:rFonts w:ascii="Arial" w:cs="Arial" w:eastAsia="Arial" w:hAnsi="Arial"/>
                <w:sz w:val="18"/>
                <w:szCs w:val="18"/>
                <w:color w:val="auto"/>
              </w:rPr>
              <w:t>First-lien loan ($30,000 par, due</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4/24/2019</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L + 7.75%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10.45%</w:t>
            </w:r>
          </w:p>
        </w:tc>
        <w:tc>
          <w:tcPr>
            <w:tcW w:w="820" w:type="dxa"/>
            <w:vAlign w:val="bottom"/>
          </w:tcPr>
          <w:p>
            <w:pPr>
              <w:jc w:val="right"/>
              <w:spacing w:after="0"/>
              <w:rPr>
                <w:sz w:val="20"/>
                <w:szCs w:val="20"/>
                <w:color w:val="auto"/>
              </w:rPr>
            </w:pPr>
            <w:r>
              <w:rPr>
                <w:rFonts w:ascii="Arial" w:cs="Arial" w:eastAsia="Arial" w:hAnsi="Arial"/>
                <w:sz w:val="18"/>
                <w:szCs w:val="18"/>
                <w:color w:val="auto"/>
              </w:rPr>
              <w:t>29,272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28,875</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30"/>
        </w:trPr>
        <w:tc>
          <w:tcPr>
            <w:tcW w:w="2560" w:type="dxa"/>
            <w:vAlign w:val="bottom"/>
          </w:tcPr>
          <w:p>
            <w:pPr>
              <w:spacing w:after="0"/>
              <w:rPr>
                <w:sz w:val="20"/>
                <w:szCs w:val="20"/>
                <w:color w:val="auto"/>
              </w:rPr>
            </w:pPr>
          </w:p>
        </w:tc>
        <w:tc>
          <w:tcPr>
            <w:tcW w:w="2780" w:type="dxa"/>
            <w:vAlign w:val="bottom"/>
          </w:tcPr>
          <w:p>
            <w:pPr>
              <w:ind w:left="140"/>
              <w:spacing w:after="0"/>
              <w:rPr>
                <w:sz w:val="20"/>
                <w:szCs w:val="20"/>
                <w:color w:val="auto"/>
              </w:rPr>
            </w:pPr>
            <w:r>
              <w:rPr>
                <w:rFonts w:ascii="Arial" w:cs="Arial" w:eastAsia="Arial" w:hAnsi="Arial"/>
                <w:sz w:val="18"/>
                <w:szCs w:val="18"/>
                <w:color w:val="auto"/>
              </w:rPr>
              <w:t>3/2024)</w:t>
            </w:r>
          </w:p>
        </w:tc>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w w:val="97"/>
              </w:rPr>
              <w:t xml:space="preserve">Valant Medical Solutions, Inc. </w:t>
            </w:r>
            <w:r>
              <w:rPr>
                <w:rFonts w:ascii="Arial" w:cs="Arial" w:eastAsia="Arial" w:hAnsi="Arial"/>
                <w:sz w:val="15"/>
                <w:szCs w:val="15"/>
                <w:color w:val="auto"/>
                <w:w w:val="97"/>
              </w:rPr>
              <w:t>(3)</w:t>
            </w:r>
          </w:p>
        </w:tc>
        <w:tc>
          <w:tcPr>
            <w:tcW w:w="2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First-lien loan ($27,697 par, due</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4/8/2019</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L + 8.75%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11.15%</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26,801</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26,742</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r>
      <w:tr>
        <w:trPr>
          <w:trHeight w:val="230"/>
        </w:trPr>
        <w:tc>
          <w:tcPr>
            <w:tcW w:w="2560" w:type="dxa"/>
            <w:vAlign w:val="bottom"/>
            <w:shd w:val="clear" w:color="auto" w:fill="CFF0FC"/>
          </w:tcPr>
          <w:p>
            <w:pPr>
              <w:spacing w:after="0"/>
              <w:rPr>
                <w:sz w:val="20"/>
                <w:szCs w:val="20"/>
                <w:color w:val="auto"/>
              </w:rPr>
            </w:pPr>
          </w:p>
        </w:tc>
        <w:tc>
          <w:tcPr>
            <w:tcW w:w="2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4/2024)</w:t>
            </w:r>
          </w:p>
        </w:tc>
        <w:tc>
          <w:tcPr>
            <w:tcW w:w="10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60" w:type="dxa"/>
            <w:vAlign w:val="bottom"/>
          </w:tcPr>
          <w:p>
            <w:pPr>
              <w:spacing w:after="0"/>
              <w:rPr>
                <w:sz w:val="20"/>
                <w:szCs w:val="20"/>
                <w:color w:val="auto"/>
              </w:rPr>
            </w:pPr>
            <w:r>
              <w:rPr>
                <w:rFonts w:ascii="Arial" w:cs="Arial" w:eastAsia="Arial" w:hAnsi="Arial"/>
                <w:sz w:val="18"/>
                <w:szCs w:val="18"/>
                <w:color w:val="auto"/>
              </w:rPr>
              <w:t xml:space="preserve">Vita Bidco, Inc. </w:t>
            </w:r>
            <w:r>
              <w:rPr>
                <w:rFonts w:ascii="Arial" w:cs="Arial" w:eastAsia="Arial" w:hAnsi="Arial"/>
                <w:sz w:val="15"/>
                <w:szCs w:val="15"/>
                <w:color w:val="auto"/>
              </w:rPr>
              <w:t>(3)(5)</w:t>
            </w:r>
          </w:p>
        </w:tc>
        <w:tc>
          <w:tcPr>
            <w:tcW w:w="2780" w:type="dxa"/>
            <w:vAlign w:val="bottom"/>
          </w:tcPr>
          <w:p>
            <w:pPr>
              <w:ind w:left="140"/>
              <w:spacing w:after="0"/>
              <w:rPr>
                <w:sz w:val="20"/>
                <w:szCs w:val="20"/>
                <w:color w:val="auto"/>
              </w:rPr>
            </w:pPr>
            <w:r>
              <w:rPr>
                <w:rFonts w:ascii="Arial" w:cs="Arial" w:eastAsia="Arial" w:hAnsi="Arial"/>
                <w:sz w:val="18"/>
                <w:szCs w:val="18"/>
                <w:color w:val="auto"/>
              </w:rPr>
              <w:t>First-lien loan ($21,883 par, due</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2/11/2019</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L + 6.50%</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8.90%</w:t>
            </w:r>
          </w:p>
        </w:tc>
        <w:tc>
          <w:tcPr>
            <w:tcW w:w="820" w:type="dxa"/>
            <w:vAlign w:val="bottom"/>
          </w:tcPr>
          <w:p>
            <w:pPr>
              <w:jc w:val="right"/>
              <w:spacing w:after="0"/>
              <w:rPr>
                <w:sz w:val="20"/>
                <w:szCs w:val="20"/>
                <w:color w:val="auto"/>
              </w:rPr>
            </w:pPr>
            <w:r>
              <w:rPr>
                <w:rFonts w:ascii="Arial" w:cs="Arial" w:eastAsia="Arial" w:hAnsi="Arial"/>
                <w:sz w:val="18"/>
                <w:szCs w:val="18"/>
                <w:color w:val="auto"/>
              </w:rPr>
              <w:t>21,290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21,390</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r>
      <w:tr>
        <w:trPr>
          <w:trHeight w:val="230"/>
        </w:trPr>
        <w:tc>
          <w:tcPr>
            <w:tcW w:w="2560" w:type="dxa"/>
            <w:vAlign w:val="bottom"/>
            <w:tcBorders>
              <w:bottom w:val="single" w:sz="8" w:color="CFF0FC"/>
            </w:tcBorders>
          </w:tcPr>
          <w:p>
            <w:pPr>
              <w:spacing w:after="0"/>
              <w:rPr>
                <w:sz w:val="20"/>
                <w:szCs w:val="20"/>
                <w:color w:val="auto"/>
              </w:rPr>
            </w:pPr>
          </w:p>
        </w:tc>
        <w:tc>
          <w:tcPr>
            <w:tcW w:w="27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2/2024)</w:t>
            </w:r>
          </w:p>
        </w:tc>
        <w:tc>
          <w:tcPr>
            <w:tcW w:w="104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60" w:type="dxa"/>
            <w:vAlign w:val="bottom"/>
            <w:shd w:val="clear" w:color="auto" w:fill="CFF0FC"/>
          </w:tcPr>
          <w:p>
            <w:pPr>
              <w:spacing w:after="0"/>
              <w:rPr>
                <w:sz w:val="19"/>
                <w:szCs w:val="19"/>
                <w:color w:val="auto"/>
              </w:rPr>
            </w:pPr>
          </w:p>
        </w:tc>
        <w:tc>
          <w:tcPr>
            <w:tcW w:w="27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200,374</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201,360</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9"/>
                <w:szCs w:val="19"/>
                <w:color w:val="auto"/>
              </w:rPr>
            </w:pPr>
          </w:p>
        </w:tc>
      </w:tr>
      <w:tr>
        <w:trPr>
          <w:trHeight w:val="223"/>
        </w:trPr>
        <w:tc>
          <w:tcPr>
            <w:tcW w:w="2560" w:type="dxa"/>
            <w:vAlign w:val="bottom"/>
          </w:tcPr>
          <w:p>
            <w:pPr>
              <w:spacing w:after="0"/>
              <w:rPr>
                <w:sz w:val="20"/>
                <w:szCs w:val="20"/>
                <w:color w:val="auto"/>
              </w:rPr>
            </w:pPr>
            <w:r>
              <w:rPr>
                <w:rFonts w:ascii="Arial" w:cs="Arial" w:eastAsia="Arial" w:hAnsi="Arial"/>
                <w:sz w:val="18"/>
                <w:szCs w:val="18"/>
                <w:b w:val="1"/>
                <w:bCs w:val="1"/>
                <w:color w:val="auto"/>
              </w:rPr>
              <w:t>Hotel, gaming, and leisure</w:t>
            </w:r>
          </w:p>
        </w:tc>
        <w:tc>
          <w:tcPr>
            <w:tcW w:w="2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(3)(7)</w:t>
            </w:r>
          </w:p>
        </w:tc>
        <w:tc>
          <w:tcPr>
            <w:tcW w:w="2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First-lien loan ($30,796 par, due</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9/29/2015</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L + 9.50%</w:t>
            </w:r>
          </w:p>
        </w:tc>
        <w:tc>
          <w:tcPr>
            <w:tcW w:w="10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11.83%</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28,942</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30,642</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16"/>
        </w:trPr>
        <w:tc>
          <w:tcPr>
            <w:tcW w:w="2560" w:type="dxa"/>
            <w:vAlign w:val="bottom"/>
            <w:shd w:val="clear" w:color="auto" w:fill="CFF0FC"/>
          </w:tcPr>
          <w:p>
            <w:pPr>
              <w:spacing w:after="0"/>
              <w:rPr>
                <w:sz w:val="18"/>
                <w:szCs w:val="18"/>
                <w:color w:val="auto"/>
              </w:rPr>
            </w:pPr>
          </w:p>
        </w:tc>
        <w:tc>
          <w:tcPr>
            <w:tcW w:w="2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9/2019)</w:t>
            </w:r>
          </w:p>
        </w:tc>
        <w:tc>
          <w:tcPr>
            <w:tcW w:w="10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(incl.</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560" w:type="dxa"/>
            <w:vAlign w:val="bottom"/>
            <w:shd w:val="clear" w:color="auto" w:fill="CFF0FC"/>
          </w:tcPr>
          <w:p>
            <w:pPr>
              <w:spacing w:after="0"/>
              <w:rPr>
                <w:sz w:val="18"/>
                <w:szCs w:val="18"/>
                <w:color w:val="auto"/>
              </w:rPr>
            </w:pPr>
          </w:p>
        </w:tc>
        <w:tc>
          <w:tcPr>
            <w:tcW w:w="27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5.00%</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60" w:type="dxa"/>
            <w:vAlign w:val="bottom"/>
            <w:shd w:val="clear" w:color="auto" w:fill="CFF0FC"/>
          </w:tcPr>
          <w:p>
            <w:pPr>
              <w:spacing w:after="0"/>
              <w:rPr>
                <w:sz w:val="20"/>
                <w:szCs w:val="20"/>
                <w:color w:val="auto"/>
              </w:rPr>
            </w:pPr>
          </w:p>
        </w:tc>
        <w:tc>
          <w:tcPr>
            <w:tcW w:w="27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PIK)</w:t>
            </w: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5"/>
        </w:trPr>
        <w:tc>
          <w:tcPr>
            <w:tcW w:w="2560" w:type="dxa"/>
            <w:vAlign w:val="bottom"/>
          </w:tcPr>
          <w:p>
            <w:pPr>
              <w:spacing w:after="0"/>
              <w:rPr>
                <w:sz w:val="18"/>
                <w:szCs w:val="18"/>
                <w:color w:val="auto"/>
              </w:rPr>
            </w:pPr>
          </w:p>
        </w:tc>
        <w:tc>
          <w:tcPr>
            <w:tcW w:w="2780" w:type="dxa"/>
            <w:vAlign w:val="bottom"/>
          </w:tcPr>
          <w:p>
            <w:pPr>
              <w:ind w:left="140"/>
              <w:spacing w:after="0"/>
              <w:rPr>
                <w:sz w:val="20"/>
                <w:szCs w:val="20"/>
                <w:color w:val="auto"/>
              </w:rPr>
            </w:pPr>
            <w:r>
              <w:rPr>
                <w:rFonts w:ascii="Arial" w:cs="Arial" w:eastAsia="Arial" w:hAnsi="Arial"/>
                <w:sz w:val="18"/>
                <w:szCs w:val="18"/>
                <w:color w:val="auto"/>
              </w:rPr>
              <w:t>First-lien revolving loan ($1,810</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9/29/2015</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L + 9.50%</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12.04%</w:t>
            </w:r>
          </w:p>
        </w:tc>
        <w:tc>
          <w:tcPr>
            <w:tcW w:w="820" w:type="dxa"/>
            <w:vAlign w:val="bottom"/>
          </w:tcPr>
          <w:p>
            <w:pPr>
              <w:jc w:val="right"/>
              <w:spacing w:after="0"/>
              <w:rPr>
                <w:sz w:val="20"/>
                <w:szCs w:val="20"/>
                <w:color w:val="auto"/>
              </w:rPr>
            </w:pPr>
            <w:r>
              <w:rPr>
                <w:rFonts w:ascii="Arial" w:cs="Arial" w:eastAsia="Arial" w:hAnsi="Arial"/>
                <w:sz w:val="18"/>
                <w:szCs w:val="18"/>
                <w:color w:val="auto"/>
              </w:rPr>
              <w:t>1,810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1,795</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tcPr>
          <w:p>
            <w:pPr>
              <w:ind w:left="140"/>
              <w:spacing w:after="0"/>
              <w:rPr>
                <w:sz w:val="20"/>
                <w:szCs w:val="20"/>
                <w:color w:val="auto"/>
              </w:rPr>
            </w:pPr>
            <w:r>
              <w:rPr>
                <w:rFonts w:ascii="Arial" w:cs="Arial" w:eastAsia="Arial" w:hAnsi="Arial"/>
                <w:sz w:val="18"/>
                <w:szCs w:val="18"/>
                <w:color w:val="auto"/>
              </w:rPr>
              <w:t>par, due 9/2019)</w:t>
            </w: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(incl.</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5.00%</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560" w:type="dxa"/>
            <w:vAlign w:val="bottom"/>
            <w:tcBorders>
              <w:bottom w:val="single" w:sz="8" w:color="CFF0FC"/>
            </w:tcBorders>
          </w:tcPr>
          <w:p>
            <w:pPr>
              <w:spacing w:after="0"/>
              <w:rPr>
                <w:sz w:val="20"/>
                <w:szCs w:val="20"/>
                <w:color w:val="auto"/>
              </w:rPr>
            </w:pPr>
          </w:p>
        </w:tc>
        <w:tc>
          <w:tcPr>
            <w:tcW w:w="2780" w:type="dxa"/>
            <w:vAlign w:val="bottom"/>
            <w:tcBorders>
              <w:bottom w:val="single" w:sz="8" w:color="CFF0FC"/>
            </w:tcBorders>
          </w:tcPr>
          <w:p>
            <w:pPr>
              <w:spacing w:after="0"/>
              <w:rPr>
                <w:sz w:val="20"/>
                <w:szCs w:val="20"/>
                <w:color w:val="auto"/>
              </w:rPr>
            </w:pPr>
          </w:p>
        </w:tc>
        <w:tc>
          <w:tcPr>
            <w:tcW w:w="1040" w:type="dxa"/>
            <w:vAlign w:val="bottom"/>
            <w:tcBorders>
              <w:bottom w:val="single" w:sz="8" w:color="CFF0FC"/>
            </w:tcBorders>
          </w:tcPr>
          <w:p>
            <w:pPr>
              <w:spacing w:after="0"/>
              <w:rPr>
                <w:sz w:val="20"/>
                <w:szCs w:val="20"/>
                <w:color w:val="auto"/>
              </w:rPr>
            </w:pPr>
          </w:p>
        </w:tc>
        <w:tc>
          <w:tcPr>
            <w:tcW w:w="108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jc w:val="right"/>
              <w:ind w:right="190"/>
              <w:spacing w:after="0"/>
              <w:rPr>
                <w:sz w:val="20"/>
                <w:szCs w:val="20"/>
                <w:color w:val="auto"/>
              </w:rPr>
            </w:pPr>
            <w:r>
              <w:rPr>
                <w:rFonts w:ascii="Arial" w:cs="Arial" w:eastAsia="Arial" w:hAnsi="Arial"/>
                <w:sz w:val="18"/>
                <w:szCs w:val="18"/>
                <w:color w:val="auto"/>
              </w:rPr>
              <w:t>PIK)</w:t>
            </w: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2560" w:type="dxa"/>
            <w:vAlign w:val="bottom"/>
            <w:shd w:val="clear" w:color="auto" w:fill="CFF0FC"/>
          </w:tcPr>
          <w:p>
            <w:pPr>
              <w:spacing w:after="0"/>
              <w:rPr>
                <w:sz w:val="19"/>
                <w:szCs w:val="19"/>
                <w:color w:val="auto"/>
              </w:rPr>
            </w:pPr>
          </w:p>
        </w:tc>
        <w:tc>
          <w:tcPr>
            <w:tcW w:w="27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30,752</w:t>
            </w:r>
          </w:p>
        </w:tc>
        <w:tc>
          <w:tcPr>
            <w:tcW w:w="20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32,437</w:t>
            </w:r>
          </w:p>
        </w:tc>
        <w:tc>
          <w:tcPr>
            <w:tcW w:w="20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r>
      <w:tr>
        <w:trPr>
          <w:trHeight w:val="426"/>
        </w:trPr>
        <w:tc>
          <w:tcPr>
            <w:tcW w:w="25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color w:val="auto"/>
              </w:rPr>
              <w:t>7</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56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1"/>
        </w:trPr>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Human resource support</w:t>
            </w:r>
          </w:p>
        </w:tc>
        <w:tc>
          <w:tcPr>
            <w:tcW w:w="2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services</w:t>
            </w:r>
          </w:p>
        </w:tc>
        <w:tc>
          <w:tcPr>
            <w:tcW w:w="2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ClearCompany, LLC </w:t>
            </w:r>
            <w:r>
              <w:rPr>
                <w:rFonts w:ascii="Arial" w:cs="Arial" w:eastAsia="Arial" w:hAnsi="Arial"/>
                <w:sz w:val="15"/>
                <w:szCs w:val="15"/>
                <w:color w:val="auto"/>
              </w:rPr>
              <w:t>(3)</w:t>
            </w:r>
          </w:p>
        </w:tc>
        <w:tc>
          <w:tcPr>
            <w:tcW w:w="2560" w:type="dxa"/>
            <w:vAlign w:val="bottom"/>
            <w:shd w:val="clear" w:color="auto" w:fill="CFF0FC"/>
          </w:tcPr>
          <w:p>
            <w:pPr>
              <w:ind w:left="80"/>
              <w:spacing w:after="0"/>
              <w:rPr>
                <w:sz w:val="20"/>
                <w:szCs w:val="20"/>
                <w:color w:val="auto"/>
              </w:rPr>
            </w:pPr>
            <w:r>
              <w:rPr>
                <w:rFonts w:ascii="Arial" w:cs="Arial" w:eastAsia="Arial" w:hAnsi="Arial"/>
                <w:sz w:val="18"/>
                <w:szCs w:val="18"/>
                <w:color w:val="auto"/>
                <w:w w:val="96"/>
              </w:rPr>
              <w:t>First-lien loan ($17,371 par, due</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7/23/2018</w:t>
            </w: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L + 8.50%</w:t>
            </w:r>
          </w:p>
        </w:tc>
        <w:tc>
          <w:tcPr>
            <w:tcW w:w="10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11.02%</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17,140</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17,117</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2560" w:type="dxa"/>
            <w:vAlign w:val="bottom"/>
            <w:shd w:val="clear" w:color="auto" w:fill="CFF0FC"/>
          </w:tcPr>
          <w:p>
            <w:pPr>
              <w:ind w:left="80"/>
              <w:spacing w:after="0"/>
              <w:rPr>
                <w:sz w:val="20"/>
                <w:szCs w:val="20"/>
                <w:color w:val="auto"/>
              </w:rPr>
            </w:pPr>
            <w:r>
              <w:rPr>
                <w:rFonts w:ascii="Arial" w:cs="Arial" w:eastAsia="Arial" w:hAnsi="Arial"/>
                <w:sz w:val="18"/>
                <w:szCs w:val="18"/>
                <w:color w:val="auto"/>
              </w:rPr>
              <w:t>7/2023)</w:t>
            </w:r>
          </w:p>
        </w:tc>
        <w:tc>
          <w:tcPr>
            <w:tcW w:w="10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(incl.</w:t>
            </w: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FF0FC"/>
          </w:tcPr>
          <w:p>
            <w:pPr>
              <w:spacing w:after="0"/>
              <w:rPr>
                <w:sz w:val="18"/>
                <w:szCs w:val="18"/>
                <w:color w:val="auto"/>
              </w:rPr>
            </w:pPr>
          </w:p>
        </w:tc>
        <w:tc>
          <w:tcPr>
            <w:tcW w:w="25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2.50%</w:t>
            </w: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FF0FC"/>
          </w:tcPr>
          <w:p>
            <w:pPr>
              <w:spacing w:after="0"/>
              <w:rPr>
                <w:sz w:val="20"/>
                <w:szCs w:val="20"/>
                <w:color w:val="auto"/>
              </w:rPr>
            </w:pPr>
          </w:p>
        </w:tc>
        <w:tc>
          <w:tcPr>
            <w:tcW w:w="25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PIK)</w:t>
            </w: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 xml:space="preserve">PageUp People, Ltd. </w:t>
            </w:r>
            <w:r>
              <w:rPr>
                <w:rFonts w:ascii="Arial" w:cs="Arial" w:eastAsia="Arial" w:hAnsi="Arial"/>
                <w:sz w:val="15"/>
                <w:szCs w:val="15"/>
                <w:color w:val="auto"/>
              </w:rPr>
              <w:t>(3)(4)</w:t>
            </w:r>
          </w:p>
        </w:tc>
        <w:tc>
          <w:tcPr>
            <w:tcW w:w="2560" w:type="dxa"/>
            <w:vAlign w:val="bottom"/>
          </w:tcPr>
          <w:p>
            <w:pPr>
              <w:ind w:left="80"/>
              <w:spacing w:after="0"/>
              <w:rPr>
                <w:sz w:val="20"/>
                <w:szCs w:val="20"/>
                <w:color w:val="auto"/>
              </w:rPr>
            </w:pPr>
            <w:r>
              <w:rPr>
                <w:rFonts w:ascii="Arial" w:cs="Arial" w:eastAsia="Arial" w:hAnsi="Arial"/>
                <w:sz w:val="18"/>
                <w:szCs w:val="18"/>
                <w:color w:val="auto"/>
                <w:w w:val="97"/>
              </w:rPr>
              <w:t>First-lien loan (AUD 47,224 par,</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1/11/2018</w:t>
            </w: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B +</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8.76%</w:t>
            </w:r>
          </w:p>
        </w:tc>
        <w:tc>
          <w:tcPr>
            <w:tcW w:w="800" w:type="dxa"/>
            <w:vAlign w:val="bottom"/>
          </w:tcPr>
          <w:p>
            <w:pPr>
              <w:jc w:val="right"/>
              <w:spacing w:after="0"/>
              <w:rPr>
                <w:sz w:val="20"/>
                <w:szCs w:val="20"/>
                <w:color w:val="auto"/>
              </w:rPr>
            </w:pPr>
            <w:r>
              <w:rPr>
                <w:rFonts w:ascii="Arial" w:cs="Arial" w:eastAsia="Arial" w:hAnsi="Arial"/>
                <w:sz w:val="18"/>
                <w:szCs w:val="18"/>
                <w:color w:val="auto"/>
              </w:rPr>
              <w:t>36,508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32,956</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560" w:type="dxa"/>
            <w:vAlign w:val="bottom"/>
          </w:tcPr>
          <w:p>
            <w:pPr>
              <w:ind w:left="80"/>
              <w:spacing w:after="0"/>
              <w:rPr>
                <w:sz w:val="20"/>
                <w:szCs w:val="20"/>
                <w:color w:val="auto"/>
              </w:rPr>
            </w:pPr>
            <w:r>
              <w:rPr>
                <w:rFonts w:ascii="Arial" w:cs="Arial" w:eastAsia="Arial" w:hAnsi="Arial"/>
                <w:sz w:val="18"/>
                <w:szCs w:val="18"/>
                <w:color w:val="auto"/>
              </w:rPr>
              <w:t>due 12/2022)</w:t>
            </w:r>
          </w:p>
        </w:tc>
        <w:tc>
          <w:tcPr>
            <w:tcW w:w="106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7.25%</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(incl.</w:t>
            </w:r>
          </w:p>
        </w:tc>
        <w:tc>
          <w:tcPr>
            <w:tcW w:w="800" w:type="dxa"/>
            <w:vAlign w:val="bottom"/>
          </w:tcPr>
          <w:p>
            <w:pPr>
              <w:spacing w:after="0"/>
              <w:rPr>
                <w:sz w:val="18"/>
                <w:szCs w:val="18"/>
                <w:color w:val="auto"/>
              </w:rPr>
            </w:pPr>
          </w:p>
        </w:tc>
        <w:tc>
          <w:tcPr>
            <w:tcW w:w="1460" w:type="dxa"/>
            <w:vAlign w:val="bottom"/>
            <w:gridSpan w:val="3"/>
          </w:tcPr>
          <w:p>
            <w:pPr>
              <w:ind w:left="200"/>
              <w:spacing w:after="0"/>
              <w:rPr>
                <w:sz w:val="20"/>
                <w:szCs w:val="20"/>
                <w:color w:val="auto"/>
              </w:rPr>
            </w:pPr>
            <w:r>
              <w:rPr>
                <w:rFonts w:ascii="Arial" w:cs="Arial" w:eastAsia="Arial" w:hAnsi="Arial"/>
                <w:sz w:val="18"/>
                <w:szCs w:val="18"/>
                <w:color w:val="auto"/>
              </w:rPr>
              <w:t>(AUD 46,963)</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1.25%</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PIK)</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PayScale Holdings, Inc. </w:t>
            </w:r>
            <w:r>
              <w:rPr>
                <w:rFonts w:ascii="Arial" w:cs="Arial" w:eastAsia="Arial" w:hAnsi="Arial"/>
                <w:sz w:val="15"/>
                <w:szCs w:val="15"/>
                <w:color w:val="auto"/>
              </w:rPr>
              <w:t>(3)(5)</w:t>
            </w:r>
          </w:p>
        </w:tc>
        <w:tc>
          <w:tcPr>
            <w:tcW w:w="2560" w:type="dxa"/>
            <w:vAlign w:val="bottom"/>
            <w:shd w:val="clear" w:color="auto" w:fill="CFF0FC"/>
          </w:tcPr>
          <w:p>
            <w:pPr>
              <w:ind w:left="80"/>
              <w:spacing w:after="0"/>
              <w:rPr>
                <w:sz w:val="20"/>
                <w:szCs w:val="20"/>
                <w:color w:val="auto"/>
              </w:rPr>
            </w:pPr>
            <w:r>
              <w:rPr>
                <w:rFonts w:ascii="Arial" w:cs="Arial" w:eastAsia="Arial" w:hAnsi="Arial"/>
                <w:sz w:val="18"/>
                <w:szCs w:val="18"/>
                <w:color w:val="auto"/>
                <w:w w:val="96"/>
              </w:rPr>
              <w:t>First-lien loan ($40,000 par, due</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5/3/2019</w:t>
            </w: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L + 7.00%</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9.40%</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38,920</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38,808</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FF0FC"/>
          </w:tcPr>
          <w:p>
            <w:pPr>
              <w:spacing w:after="0"/>
              <w:rPr>
                <w:sz w:val="20"/>
                <w:szCs w:val="20"/>
                <w:color w:val="auto"/>
              </w:rPr>
            </w:pPr>
          </w:p>
        </w:tc>
        <w:tc>
          <w:tcPr>
            <w:tcW w:w="2560" w:type="dxa"/>
            <w:vAlign w:val="bottom"/>
            <w:shd w:val="clear" w:color="auto" w:fill="CFF0FC"/>
          </w:tcPr>
          <w:p>
            <w:pPr>
              <w:ind w:left="80"/>
              <w:spacing w:after="0"/>
              <w:rPr>
                <w:sz w:val="20"/>
                <w:szCs w:val="20"/>
                <w:color w:val="auto"/>
              </w:rPr>
            </w:pPr>
            <w:r>
              <w:rPr>
                <w:rFonts w:ascii="Arial" w:cs="Arial" w:eastAsia="Arial" w:hAnsi="Arial"/>
                <w:sz w:val="18"/>
                <w:szCs w:val="18"/>
                <w:color w:val="auto"/>
              </w:rPr>
              <w:t>5/2024)</w:t>
            </w:r>
          </w:p>
        </w:tc>
        <w:tc>
          <w:tcPr>
            <w:tcW w:w="10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 xml:space="preserve">Shaker International, Inc. </w:t>
            </w:r>
            <w:r>
              <w:rPr>
                <w:rFonts w:ascii="Arial" w:cs="Arial" w:eastAsia="Arial" w:hAnsi="Arial"/>
                <w:sz w:val="15"/>
                <w:szCs w:val="15"/>
                <w:color w:val="auto"/>
              </w:rPr>
              <w:t>(3)(5)</w:t>
            </w:r>
          </w:p>
        </w:tc>
        <w:tc>
          <w:tcPr>
            <w:tcW w:w="2560" w:type="dxa"/>
            <w:vAlign w:val="bottom"/>
          </w:tcPr>
          <w:p>
            <w:pPr>
              <w:ind w:left="80"/>
              <w:spacing w:after="0"/>
              <w:rPr>
                <w:sz w:val="20"/>
                <w:szCs w:val="20"/>
                <w:color w:val="auto"/>
              </w:rPr>
            </w:pPr>
            <w:r>
              <w:rPr>
                <w:rFonts w:ascii="Arial" w:cs="Arial" w:eastAsia="Arial" w:hAnsi="Arial"/>
                <w:sz w:val="18"/>
                <w:szCs w:val="18"/>
                <w:color w:val="auto"/>
                <w:w w:val="96"/>
              </w:rPr>
              <w:t>First-lien loan ($22,500 par, due</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5/15/2019</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L + 7.00%</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9.52%</w:t>
            </w:r>
          </w:p>
        </w:tc>
        <w:tc>
          <w:tcPr>
            <w:tcW w:w="800" w:type="dxa"/>
            <w:vAlign w:val="bottom"/>
          </w:tcPr>
          <w:p>
            <w:pPr>
              <w:jc w:val="right"/>
              <w:spacing w:after="0"/>
              <w:rPr>
                <w:sz w:val="20"/>
                <w:szCs w:val="20"/>
                <w:color w:val="auto"/>
              </w:rPr>
            </w:pPr>
            <w:r>
              <w:rPr>
                <w:rFonts w:ascii="Arial" w:cs="Arial" w:eastAsia="Arial" w:hAnsi="Arial"/>
                <w:sz w:val="18"/>
                <w:szCs w:val="18"/>
                <w:color w:val="auto"/>
              </w:rPr>
              <w:t>21,942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21,881</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Borders>
              <w:bottom w:val="single" w:sz="8" w:color="CFF0FC"/>
            </w:tcBorders>
          </w:tcPr>
          <w:p>
            <w:pPr>
              <w:spacing w:after="0"/>
              <w:rPr>
                <w:sz w:val="20"/>
                <w:szCs w:val="20"/>
                <w:color w:val="auto"/>
              </w:rPr>
            </w:pPr>
          </w:p>
        </w:tc>
        <w:tc>
          <w:tcPr>
            <w:tcW w:w="256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rPr>
              <w:t>5/2024)</w:t>
            </w:r>
          </w:p>
        </w:tc>
        <w:tc>
          <w:tcPr>
            <w:tcW w:w="106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00" w:type="dxa"/>
            <w:vAlign w:val="bottom"/>
            <w:shd w:val="clear" w:color="auto" w:fill="CFF0FC"/>
          </w:tcPr>
          <w:p>
            <w:pPr>
              <w:spacing w:after="0"/>
              <w:rPr>
                <w:sz w:val="19"/>
                <w:szCs w:val="19"/>
                <w:color w:val="auto"/>
              </w:rPr>
            </w:pPr>
          </w:p>
        </w:tc>
        <w:tc>
          <w:tcPr>
            <w:tcW w:w="25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114,510</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110,762</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Insurance</w:t>
            </w:r>
          </w:p>
        </w:tc>
        <w:tc>
          <w:tcPr>
            <w:tcW w:w="2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Insurity, Inc. </w:t>
            </w:r>
            <w:r>
              <w:rPr>
                <w:rFonts w:ascii="Arial" w:cs="Arial" w:eastAsia="Arial" w:hAnsi="Arial"/>
                <w:sz w:val="15"/>
                <w:szCs w:val="15"/>
                <w:color w:val="auto"/>
              </w:rPr>
              <w:t>(3)(5)</w:t>
            </w:r>
          </w:p>
        </w:tc>
        <w:tc>
          <w:tcPr>
            <w:tcW w:w="2560" w:type="dxa"/>
            <w:vAlign w:val="bottom"/>
            <w:shd w:val="clear" w:color="auto" w:fill="CFF0FC"/>
          </w:tcPr>
          <w:p>
            <w:pPr>
              <w:ind w:left="80"/>
              <w:spacing w:after="0"/>
              <w:rPr>
                <w:sz w:val="20"/>
                <w:szCs w:val="20"/>
                <w:color w:val="auto"/>
              </w:rPr>
            </w:pPr>
            <w:r>
              <w:rPr>
                <w:rFonts w:ascii="Arial" w:cs="Arial" w:eastAsia="Arial" w:hAnsi="Arial"/>
                <w:sz w:val="18"/>
                <w:szCs w:val="18"/>
                <w:color w:val="auto"/>
                <w:w w:val="96"/>
              </w:rPr>
              <w:t>First-lien loan ($60,008 par, due</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10/31/2014</w:t>
            </w: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L + 6.25%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8.76%</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59,802</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60,308</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FF0FC"/>
          </w:tcPr>
          <w:p>
            <w:pPr>
              <w:spacing w:after="0"/>
              <w:rPr>
                <w:sz w:val="20"/>
                <w:szCs w:val="20"/>
                <w:color w:val="auto"/>
              </w:rPr>
            </w:pPr>
          </w:p>
        </w:tc>
        <w:tc>
          <w:tcPr>
            <w:tcW w:w="2560" w:type="dxa"/>
            <w:vAlign w:val="bottom"/>
            <w:shd w:val="clear" w:color="auto" w:fill="CFF0FC"/>
          </w:tcPr>
          <w:p>
            <w:pPr>
              <w:ind w:left="80"/>
              <w:spacing w:after="0"/>
              <w:rPr>
                <w:sz w:val="20"/>
                <w:szCs w:val="20"/>
                <w:color w:val="auto"/>
              </w:rPr>
            </w:pPr>
            <w:r>
              <w:rPr>
                <w:rFonts w:ascii="Arial" w:cs="Arial" w:eastAsia="Arial" w:hAnsi="Arial"/>
                <w:sz w:val="18"/>
                <w:szCs w:val="18"/>
                <w:color w:val="auto"/>
              </w:rPr>
              <w:t>10/2020)</w:t>
            </w:r>
          </w:p>
        </w:tc>
        <w:tc>
          <w:tcPr>
            <w:tcW w:w="10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 xml:space="preserve">Riskonnect, Inc. </w:t>
            </w:r>
            <w:r>
              <w:rPr>
                <w:rFonts w:ascii="Arial" w:cs="Arial" w:eastAsia="Arial" w:hAnsi="Arial"/>
                <w:sz w:val="15"/>
                <w:szCs w:val="15"/>
                <w:color w:val="auto"/>
              </w:rPr>
              <w:t>(3)(5)</w:t>
            </w:r>
          </w:p>
        </w:tc>
        <w:tc>
          <w:tcPr>
            <w:tcW w:w="2560" w:type="dxa"/>
            <w:vAlign w:val="bottom"/>
          </w:tcPr>
          <w:p>
            <w:pPr>
              <w:ind w:left="80"/>
              <w:spacing w:after="0"/>
              <w:rPr>
                <w:sz w:val="20"/>
                <w:szCs w:val="20"/>
                <w:color w:val="auto"/>
              </w:rPr>
            </w:pPr>
            <w:r>
              <w:rPr>
                <w:rFonts w:ascii="Arial" w:cs="Arial" w:eastAsia="Arial" w:hAnsi="Arial"/>
                <w:sz w:val="18"/>
                <w:szCs w:val="18"/>
                <w:color w:val="auto"/>
                <w:w w:val="96"/>
              </w:rPr>
              <w:t>First-lien loan ($50,000 par, due</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6/30/2017</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L + 7.75%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10.08%</w:t>
            </w:r>
          </w:p>
        </w:tc>
        <w:tc>
          <w:tcPr>
            <w:tcW w:w="800" w:type="dxa"/>
            <w:vAlign w:val="bottom"/>
          </w:tcPr>
          <w:p>
            <w:pPr>
              <w:jc w:val="right"/>
              <w:spacing w:after="0"/>
              <w:rPr>
                <w:sz w:val="20"/>
                <w:szCs w:val="20"/>
                <w:color w:val="auto"/>
              </w:rPr>
            </w:pPr>
            <w:r>
              <w:rPr>
                <w:rFonts w:ascii="Arial" w:cs="Arial" w:eastAsia="Arial" w:hAnsi="Arial"/>
                <w:sz w:val="18"/>
                <w:szCs w:val="18"/>
                <w:color w:val="auto"/>
              </w:rPr>
              <w:t>49,480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49,250</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Borders>
              <w:bottom w:val="single" w:sz="8" w:color="CFF0FC"/>
            </w:tcBorders>
          </w:tcPr>
          <w:p>
            <w:pPr>
              <w:spacing w:after="0"/>
              <w:rPr>
                <w:sz w:val="20"/>
                <w:szCs w:val="20"/>
                <w:color w:val="auto"/>
              </w:rPr>
            </w:pPr>
          </w:p>
        </w:tc>
        <w:tc>
          <w:tcPr>
            <w:tcW w:w="256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rPr>
              <w:t>10/2023)</w:t>
            </w:r>
          </w:p>
        </w:tc>
        <w:tc>
          <w:tcPr>
            <w:tcW w:w="106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00" w:type="dxa"/>
            <w:vAlign w:val="bottom"/>
            <w:shd w:val="clear" w:color="auto" w:fill="CFF0FC"/>
          </w:tcPr>
          <w:p>
            <w:pPr>
              <w:spacing w:after="0"/>
              <w:rPr>
                <w:sz w:val="19"/>
                <w:szCs w:val="19"/>
                <w:color w:val="auto"/>
              </w:rPr>
            </w:pPr>
          </w:p>
        </w:tc>
        <w:tc>
          <w:tcPr>
            <w:tcW w:w="25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109,282</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109,558</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Internet services</w:t>
            </w:r>
          </w:p>
        </w:tc>
        <w:tc>
          <w:tcPr>
            <w:tcW w:w="2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Higher Logic, LLC </w:t>
            </w:r>
            <w:r>
              <w:rPr>
                <w:rFonts w:ascii="Arial" w:cs="Arial" w:eastAsia="Arial" w:hAnsi="Arial"/>
                <w:sz w:val="15"/>
                <w:szCs w:val="15"/>
                <w:color w:val="auto"/>
              </w:rPr>
              <w:t>(3)(5)</w:t>
            </w:r>
          </w:p>
        </w:tc>
        <w:tc>
          <w:tcPr>
            <w:tcW w:w="2560" w:type="dxa"/>
            <w:vAlign w:val="bottom"/>
            <w:shd w:val="clear" w:color="auto" w:fill="CFF0FC"/>
          </w:tcPr>
          <w:p>
            <w:pPr>
              <w:ind w:left="80"/>
              <w:spacing w:after="0"/>
              <w:rPr>
                <w:sz w:val="20"/>
                <w:szCs w:val="20"/>
                <w:color w:val="auto"/>
              </w:rPr>
            </w:pPr>
            <w:r>
              <w:rPr>
                <w:rFonts w:ascii="Arial" w:cs="Arial" w:eastAsia="Arial" w:hAnsi="Arial"/>
                <w:sz w:val="18"/>
                <w:szCs w:val="18"/>
                <w:color w:val="auto"/>
                <w:w w:val="96"/>
              </w:rPr>
              <w:t>First-lien loan ($37,620 par, due</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6/18/2018</w:t>
            </w: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L + 6.00%</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8.33%</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37,133</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37,150</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FF0FC"/>
          </w:tcPr>
          <w:p>
            <w:pPr>
              <w:spacing w:after="0"/>
              <w:rPr>
                <w:sz w:val="20"/>
                <w:szCs w:val="20"/>
                <w:color w:val="auto"/>
              </w:rPr>
            </w:pPr>
          </w:p>
        </w:tc>
        <w:tc>
          <w:tcPr>
            <w:tcW w:w="2560" w:type="dxa"/>
            <w:vAlign w:val="bottom"/>
            <w:shd w:val="clear" w:color="auto" w:fill="CFF0FC"/>
          </w:tcPr>
          <w:p>
            <w:pPr>
              <w:ind w:left="80"/>
              <w:spacing w:after="0"/>
              <w:rPr>
                <w:sz w:val="20"/>
                <w:szCs w:val="20"/>
                <w:color w:val="auto"/>
              </w:rPr>
            </w:pPr>
            <w:r>
              <w:rPr>
                <w:rFonts w:ascii="Arial" w:cs="Arial" w:eastAsia="Arial" w:hAnsi="Arial"/>
                <w:sz w:val="18"/>
                <w:szCs w:val="18"/>
                <w:color w:val="auto"/>
              </w:rPr>
              <w:t>1/2022)</w:t>
            </w:r>
          </w:p>
        </w:tc>
        <w:tc>
          <w:tcPr>
            <w:tcW w:w="10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 xml:space="preserve">Lithium Technologies, LLC </w:t>
            </w:r>
            <w:r>
              <w:rPr>
                <w:rFonts w:ascii="Arial" w:cs="Arial" w:eastAsia="Arial" w:hAnsi="Arial"/>
                <w:sz w:val="15"/>
                <w:szCs w:val="15"/>
                <w:color w:val="auto"/>
              </w:rPr>
              <w:t>(3)</w:t>
            </w:r>
          </w:p>
        </w:tc>
        <w:tc>
          <w:tcPr>
            <w:tcW w:w="2560" w:type="dxa"/>
            <w:vAlign w:val="bottom"/>
          </w:tcPr>
          <w:p>
            <w:pPr>
              <w:ind w:left="80"/>
              <w:spacing w:after="0"/>
              <w:rPr>
                <w:sz w:val="20"/>
                <w:szCs w:val="20"/>
                <w:color w:val="auto"/>
              </w:rPr>
            </w:pPr>
            <w:r>
              <w:rPr>
                <w:rFonts w:ascii="Arial" w:cs="Arial" w:eastAsia="Arial" w:hAnsi="Arial"/>
                <w:sz w:val="18"/>
                <w:szCs w:val="18"/>
                <w:color w:val="auto"/>
                <w:w w:val="96"/>
              </w:rPr>
              <w:t>First-lien loan ($54,700 par, due</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10/3/2017</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L + 8.00%</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10.46%</w:t>
            </w:r>
          </w:p>
        </w:tc>
        <w:tc>
          <w:tcPr>
            <w:tcW w:w="800" w:type="dxa"/>
            <w:vAlign w:val="bottom"/>
          </w:tcPr>
          <w:p>
            <w:pPr>
              <w:jc w:val="right"/>
              <w:spacing w:after="0"/>
              <w:rPr>
                <w:sz w:val="20"/>
                <w:szCs w:val="20"/>
                <w:color w:val="auto"/>
              </w:rPr>
            </w:pPr>
            <w:r>
              <w:rPr>
                <w:rFonts w:ascii="Arial" w:cs="Arial" w:eastAsia="Arial" w:hAnsi="Arial"/>
                <w:sz w:val="18"/>
                <w:szCs w:val="18"/>
                <w:color w:val="auto"/>
              </w:rPr>
              <w:t>53,760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54,113</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Borders>
              <w:bottom w:val="single" w:sz="8" w:color="CFF0FC"/>
            </w:tcBorders>
          </w:tcPr>
          <w:p>
            <w:pPr>
              <w:spacing w:after="0"/>
              <w:rPr>
                <w:sz w:val="20"/>
                <w:szCs w:val="20"/>
                <w:color w:val="auto"/>
              </w:rPr>
            </w:pPr>
          </w:p>
        </w:tc>
        <w:tc>
          <w:tcPr>
            <w:tcW w:w="256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rPr>
              <w:t>10/2022)</w:t>
            </w:r>
          </w:p>
        </w:tc>
        <w:tc>
          <w:tcPr>
            <w:tcW w:w="106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00" w:type="dxa"/>
            <w:vAlign w:val="bottom"/>
            <w:shd w:val="clear" w:color="auto" w:fill="CFF0FC"/>
          </w:tcPr>
          <w:p>
            <w:pPr>
              <w:spacing w:after="0"/>
              <w:rPr>
                <w:sz w:val="19"/>
                <w:szCs w:val="19"/>
                <w:color w:val="auto"/>
              </w:rPr>
            </w:pPr>
          </w:p>
        </w:tc>
        <w:tc>
          <w:tcPr>
            <w:tcW w:w="25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90,893</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91,263</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Manufacturing</w:t>
            </w:r>
          </w:p>
        </w:tc>
        <w:tc>
          <w:tcPr>
            <w:tcW w:w="2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ScentAir Technologies, Inc. </w:t>
            </w:r>
            <w:r>
              <w:rPr>
                <w:rFonts w:ascii="Arial" w:cs="Arial" w:eastAsia="Arial" w:hAnsi="Arial"/>
                <w:sz w:val="15"/>
                <w:szCs w:val="15"/>
                <w:color w:val="auto"/>
              </w:rPr>
              <w:t>(3)</w:t>
            </w:r>
          </w:p>
        </w:tc>
        <w:tc>
          <w:tcPr>
            <w:tcW w:w="2560" w:type="dxa"/>
            <w:vAlign w:val="bottom"/>
            <w:shd w:val="clear" w:color="auto" w:fill="CFF0FC"/>
          </w:tcPr>
          <w:p>
            <w:pPr>
              <w:ind w:left="80"/>
              <w:spacing w:after="0"/>
              <w:rPr>
                <w:sz w:val="20"/>
                <w:szCs w:val="20"/>
                <w:color w:val="auto"/>
              </w:rPr>
            </w:pPr>
            <w:r>
              <w:rPr>
                <w:rFonts w:ascii="Arial" w:cs="Arial" w:eastAsia="Arial" w:hAnsi="Arial"/>
                <w:sz w:val="18"/>
                <w:szCs w:val="18"/>
                <w:color w:val="auto"/>
                <w:w w:val="96"/>
              </w:rPr>
              <w:t>First-lien loan ($19,986 par, due</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12/30/2014</w:t>
            </w: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L + 7.25%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9.65%</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19,940</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20,086</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FF0FC"/>
          </w:tcPr>
          <w:p>
            <w:pPr>
              <w:spacing w:after="0"/>
              <w:rPr>
                <w:sz w:val="20"/>
                <w:szCs w:val="20"/>
                <w:color w:val="auto"/>
              </w:rPr>
            </w:pPr>
          </w:p>
        </w:tc>
        <w:tc>
          <w:tcPr>
            <w:tcW w:w="2560" w:type="dxa"/>
            <w:vAlign w:val="bottom"/>
            <w:shd w:val="clear" w:color="auto" w:fill="CFF0FC"/>
          </w:tcPr>
          <w:p>
            <w:pPr>
              <w:ind w:left="80"/>
              <w:spacing w:after="0"/>
              <w:rPr>
                <w:sz w:val="20"/>
                <w:szCs w:val="20"/>
                <w:color w:val="auto"/>
              </w:rPr>
            </w:pPr>
            <w:r>
              <w:rPr>
                <w:rFonts w:ascii="Arial" w:cs="Arial" w:eastAsia="Arial" w:hAnsi="Arial"/>
                <w:sz w:val="18"/>
                <w:szCs w:val="18"/>
                <w:color w:val="auto"/>
              </w:rPr>
              <w:t>12/2019)</w:t>
            </w:r>
          </w:p>
        </w:tc>
        <w:tc>
          <w:tcPr>
            <w:tcW w:w="10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560" w:type="dxa"/>
            <w:vAlign w:val="bottom"/>
          </w:tcPr>
          <w:p>
            <w:pPr>
              <w:ind w:left="80"/>
              <w:spacing w:after="0"/>
              <w:rPr>
                <w:sz w:val="20"/>
                <w:szCs w:val="20"/>
                <w:color w:val="auto"/>
              </w:rPr>
            </w:pPr>
            <w:r>
              <w:rPr>
                <w:rFonts w:ascii="Arial" w:cs="Arial" w:eastAsia="Arial" w:hAnsi="Arial"/>
                <w:sz w:val="18"/>
                <w:szCs w:val="18"/>
                <w:color w:val="auto"/>
                <w:w w:val="97"/>
              </w:rPr>
              <w:t>First-lien revolving loan ($1,393</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12/30/2014</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L + 7.25%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9.65%</w:t>
            </w:r>
          </w:p>
        </w:tc>
        <w:tc>
          <w:tcPr>
            <w:tcW w:w="800" w:type="dxa"/>
            <w:vAlign w:val="bottom"/>
          </w:tcPr>
          <w:p>
            <w:pPr>
              <w:jc w:val="right"/>
              <w:spacing w:after="0"/>
              <w:rPr>
                <w:sz w:val="20"/>
                <w:szCs w:val="20"/>
                <w:color w:val="auto"/>
              </w:rPr>
            </w:pPr>
            <w:r>
              <w:rPr>
                <w:rFonts w:ascii="Arial" w:cs="Arial" w:eastAsia="Arial" w:hAnsi="Arial"/>
                <w:sz w:val="18"/>
                <w:szCs w:val="18"/>
                <w:color w:val="auto"/>
              </w:rPr>
              <w:t>1,389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1,404</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Borders>
              <w:bottom w:val="single" w:sz="8" w:color="CFF0FC"/>
            </w:tcBorders>
          </w:tcPr>
          <w:p>
            <w:pPr>
              <w:spacing w:after="0"/>
              <w:rPr>
                <w:sz w:val="20"/>
                <w:szCs w:val="20"/>
                <w:color w:val="auto"/>
              </w:rPr>
            </w:pPr>
          </w:p>
        </w:tc>
        <w:tc>
          <w:tcPr>
            <w:tcW w:w="256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rPr>
              <w:t>par, due 12/2019)</w:t>
            </w:r>
          </w:p>
        </w:tc>
        <w:tc>
          <w:tcPr>
            <w:tcW w:w="106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00" w:type="dxa"/>
            <w:vAlign w:val="bottom"/>
            <w:shd w:val="clear" w:color="auto" w:fill="CFF0FC"/>
          </w:tcPr>
          <w:p>
            <w:pPr>
              <w:spacing w:after="0"/>
              <w:rPr>
                <w:sz w:val="19"/>
                <w:szCs w:val="19"/>
                <w:color w:val="auto"/>
              </w:rPr>
            </w:pPr>
          </w:p>
        </w:tc>
        <w:tc>
          <w:tcPr>
            <w:tcW w:w="25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21,329</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21,490</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Office products</w:t>
            </w:r>
          </w:p>
        </w:tc>
        <w:tc>
          <w:tcPr>
            <w:tcW w:w="2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USR Parent, Inc. </w:t>
            </w:r>
            <w:r>
              <w:rPr>
                <w:rFonts w:ascii="Arial" w:cs="Arial" w:eastAsia="Arial" w:hAnsi="Arial"/>
                <w:sz w:val="15"/>
                <w:szCs w:val="15"/>
                <w:color w:val="auto"/>
              </w:rPr>
              <w:t>(3)(5)</w:t>
            </w:r>
          </w:p>
        </w:tc>
        <w:tc>
          <w:tcPr>
            <w:tcW w:w="2560" w:type="dxa"/>
            <w:vAlign w:val="bottom"/>
            <w:shd w:val="clear" w:color="auto" w:fill="CFF0FC"/>
          </w:tcPr>
          <w:p>
            <w:pPr>
              <w:ind w:left="80"/>
              <w:spacing w:after="0"/>
              <w:rPr>
                <w:sz w:val="20"/>
                <w:szCs w:val="20"/>
                <w:color w:val="auto"/>
              </w:rPr>
            </w:pPr>
            <w:r>
              <w:rPr>
                <w:rFonts w:ascii="Arial" w:cs="Arial" w:eastAsia="Arial" w:hAnsi="Arial"/>
                <w:sz w:val="18"/>
                <w:szCs w:val="18"/>
                <w:color w:val="auto"/>
              </w:rPr>
              <w:t>ABL FILO term loan ($12,500</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9/12/2017</w:t>
            </w: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L + 7.75%</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10.18%</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12,295</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12,594</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FF0FC"/>
          </w:tcPr>
          <w:p>
            <w:pPr>
              <w:spacing w:after="0"/>
              <w:rPr>
                <w:sz w:val="20"/>
                <w:szCs w:val="20"/>
                <w:color w:val="auto"/>
              </w:rPr>
            </w:pPr>
          </w:p>
        </w:tc>
        <w:tc>
          <w:tcPr>
            <w:tcW w:w="2560" w:type="dxa"/>
            <w:vAlign w:val="bottom"/>
            <w:shd w:val="clear" w:color="auto" w:fill="CFF0FC"/>
          </w:tcPr>
          <w:p>
            <w:pPr>
              <w:ind w:left="80"/>
              <w:spacing w:after="0"/>
              <w:rPr>
                <w:sz w:val="20"/>
                <w:szCs w:val="20"/>
                <w:color w:val="auto"/>
              </w:rPr>
            </w:pPr>
            <w:r>
              <w:rPr>
                <w:rFonts w:ascii="Arial" w:cs="Arial" w:eastAsia="Arial" w:hAnsi="Arial"/>
                <w:sz w:val="18"/>
                <w:szCs w:val="18"/>
                <w:color w:val="auto"/>
              </w:rPr>
              <w:t>par, due 9/2022)</w:t>
            </w:r>
          </w:p>
        </w:tc>
        <w:tc>
          <w:tcPr>
            <w:tcW w:w="10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5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5"/>
              </w:rPr>
              <w:t>Oil, gas and consumable fuels</w:t>
            </w:r>
          </w:p>
        </w:tc>
        <w:tc>
          <w:tcPr>
            <w:tcW w:w="25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 xml:space="preserve">MD America Energy, LLC </w:t>
            </w:r>
            <w:r>
              <w:rPr>
                <w:rFonts w:ascii="Arial" w:cs="Arial" w:eastAsia="Arial" w:hAnsi="Arial"/>
                <w:sz w:val="15"/>
                <w:szCs w:val="15"/>
                <w:color w:val="auto"/>
              </w:rPr>
              <w:t>(3)</w:t>
            </w:r>
          </w:p>
        </w:tc>
        <w:tc>
          <w:tcPr>
            <w:tcW w:w="2560" w:type="dxa"/>
            <w:vAlign w:val="bottom"/>
          </w:tcPr>
          <w:p>
            <w:pPr>
              <w:ind w:left="80"/>
              <w:spacing w:after="0"/>
              <w:rPr>
                <w:sz w:val="20"/>
                <w:szCs w:val="20"/>
                <w:color w:val="auto"/>
              </w:rPr>
            </w:pPr>
            <w:r>
              <w:rPr>
                <w:rFonts w:ascii="Arial" w:cs="Arial" w:eastAsia="Arial" w:hAnsi="Arial"/>
                <w:sz w:val="18"/>
                <w:szCs w:val="18"/>
                <w:color w:val="auto"/>
                <w:w w:val="96"/>
              </w:rPr>
              <w:t>First-lien loan ($19,313 par, due</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11/14/2018</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L + 7.75%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10.28%</w:t>
            </w:r>
          </w:p>
        </w:tc>
        <w:tc>
          <w:tcPr>
            <w:tcW w:w="800" w:type="dxa"/>
            <w:vAlign w:val="bottom"/>
          </w:tcPr>
          <w:p>
            <w:pPr>
              <w:jc w:val="right"/>
              <w:spacing w:after="0"/>
              <w:rPr>
                <w:sz w:val="20"/>
                <w:szCs w:val="20"/>
                <w:color w:val="auto"/>
              </w:rPr>
            </w:pPr>
            <w:r>
              <w:rPr>
                <w:rFonts w:ascii="Arial" w:cs="Arial" w:eastAsia="Arial" w:hAnsi="Arial"/>
                <w:sz w:val="18"/>
                <w:szCs w:val="18"/>
                <w:color w:val="auto"/>
              </w:rPr>
              <w:t>18,955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18,940</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560" w:type="dxa"/>
            <w:vAlign w:val="bottom"/>
          </w:tcPr>
          <w:p>
            <w:pPr>
              <w:ind w:left="80"/>
              <w:spacing w:after="0"/>
              <w:rPr>
                <w:sz w:val="20"/>
                <w:szCs w:val="20"/>
                <w:color w:val="auto"/>
              </w:rPr>
            </w:pPr>
            <w:r>
              <w:rPr>
                <w:rFonts w:ascii="Arial" w:cs="Arial" w:eastAsia="Arial" w:hAnsi="Arial"/>
                <w:sz w:val="18"/>
                <w:szCs w:val="18"/>
                <w:color w:val="auto"/>
              </w:rPr>
              <w:t>11/2023)</w:t>
            </w: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w w:val="94"/>
              </w:rPr>
              <w:t xml:space="preserve">Mississippi Resources, LLC </w:t>
            </w:r>
            <w:r>
              <w:rPr>
                <w:rFonts w:ascii="Arial" w:cs="Arial" w:eastAsia="Arial" w:hAnsi="Arial"/>
                <w:sz w:val="15"/>
                <w:szCs w:val="15"/>
                <w:color w:val="auto"/>
                <w:w w:val="94"/>
              </w:rPr>
              <w:t>(3)(7)</w:t>
            </w:r>
          </w:p>
        </w:tc>
        <w:tc>
          <w:tcPr>
            <w:tcW w:w="2560" w:type="dxa"/>
            <w:vAlign w:val="bottom"/>
            <w:shd w:val="clear" w:color="auto" w:fill="CFF0FC"/>
          </w:tcPr>
          <w:p>
            <w:pPr>
              <w:ind w:left="80"/>
              <w:spacing w:after="0"/>
              <w:rPr>
                <w:sz w:val="20"/>
                <w:szCs w:val="20"/>
                <w:color w:val="auto"/>
              </w:rPr>
            </w:pPr>
            <w:r>
              <w:rPr>
                <w:rFonts w:ascii="Arial" w:cs="Arial" w:eastAsia="Arial" w:hAnsi="Arial"/>
                <w:sz w:val="18"/>
                <w:szCs w:val="18"/>
                <w:color w:val="auto"/>
                <w:w w:val="96"/>
              </w:rPr>
              <w:t>First-lien loan ($17,829 par, due</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6/29/2018</w:t>
            </w: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L + 9.00%</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11.40%</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17,819</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16,446</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FF0FC"/>
          </w:tcPr>
          <w:p>
            <w:pPr>
              <w:spacing w:after="0"/>
              <w:rPr>
                <w:sz w:val="20"/>
                <w:szCs w:val="20"/>
                <w:color w:val="auto"/>
              </w:rPr>
            </w:pPr>
          </w:p>
        </w:tc>
        <w:tc>
          <w:tcPr>
            <w:tcW w:w="2560" w:type="dxa"/>
            <w:vAlign w:val="bottom"/>
            <w:shd w:val="clear" w:color="auto" w:fill="CFF0FC"/>
          </w:tcPr>
          <w:p>
            <w:pPr>
              <w:ind w:left="80"/>
              <w:spacing w:after="0"/>
              <w:rPr>
                <w:sz w:val="20"/>
                <w:szCs w:val="20"/>
                <w:color w:val="auto"/>
              </w:rPr>
            </w:pPr>
            <w:r>
              <w:rPr>
                <w:rFonts w:ascii="Arial" w:cs="Arial" w:eastAsia="Arial" w:hAnsi="Arial"/>
                <w:sz w:val="18"/>
                <w:szCs w:val="18"/>
                <w:color w:val="auto"/>
              </w:rPr>
              <w:t>6/2020)</w:t>
            </w:r>
          </w:p>
        </w:tc>
        <w:tc>
          <w:tcPr>
            <w:tcW w:w="10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7"/>
              </w:rPr>
              <w:t>Verdad Resources Intermediate</w:t>
            </w:r>
          </w:p>
        </w:tc>
        <w:tc>
          <w:tcPr>
            <w:tcW w:w="2560" w:type="dxa"/>
            <w:vAlign w:val="bottom"/>
          </w:tcPr>
          <w:p>
            <w:pPr>
              <w:ind w:left="80"/>
              <w:spacing w:after="0"/>
              <w:rPr>
                <w:sz w:val="20"/>
                <w:szCs w:val="20"/>
                <w:color w:val="auto"/>
              </w:rPr>
            </w:pPr>
            <w:r>
              <w:rPr>
                <w:rFonts w:ascii="Arial" w:cs="Arial" w:eastAsia="Arial" w:hAnsi="Arial"/>
                <w:sz w:val="18"/>
                <w:szCs w:val="18"/>
                <w:color w:val="auto"/>
                <w:w w:val="96"/>
              </w:rPr>
              <w:t>First-lien loan ($42,222 par, due</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4/10/2019</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L + 7.50%</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9.88%</w:t>
            </w:r>
          </w:p>
        </w:tc>
        <w:tc>
          <w:tcPr>
            <w:tcW w:w="800" w:type="dxa"/>
            <w:vAlign w:val="bottom"/>
          </w:tcPr>
          <w:p>
            <w:pPr>
              <w:jc w:val="right"/>
              <w:spacing w:after="0"/>
              <w:rPr>
                <w:sz w:val="20"/>
                <w:szCs w:val="20"/>
                <w:color w:val="auto"/>
              </w:rPr>
            </w:pPr>
            <w:r>
              <w:rPr>
                <w:rFonts w:ascii="Arial" w:cs="Arial" w:eastAsia="Arial" w:hAnsi="Arial"/>
                <w:sz w:val="18"/>
                <w:szCs w:val="18"/>
                <w:color w:val="auto"/>
              </w:rPr>
              <w:t>41,145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41,222</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 xml:space="preserve">Holdings, LLC </w:t>
            </w:r>
            <w:r>
              <w:rPr>
                <w:rFonts w:ascii="Arial" w:cs="Arial" w:eastAsia="Arial" w:hAnsi="Arial"/>
                <w:sz w:val="15"/>
                <w:szCs w:val="15"/>
                <w:color w:val="auto"/>
              </w:rPr>
              <w:t>(3)</w:t>
            </w:r>
          </w:p>
        </w:tc>
        <w:tc>
          <w:tcPr>
            <w:tcW w:w="256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rPr>
              <w:t>10/2023)</w:t>
            </w:r>
          </w:p>
        </w:tc>
        <w:tc>
          <w:tcPr>
            <w:tcW w:w="106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00" w:type="dxa"/>
            <w:vAlign w:val="bottom"/>
            <w:shd w:val="clear" w:color="auto" w:fill="CFF0FC"/>
          </w:tcPr>
          <w:p>
            <w:pPr>
              <w:spacing w:after="0"/>
              <w:rPr>
                <w:sz w:val="19"/>
                <w:szCs w:val="19"/>
                <w:color w:val="auto"/>
              </w:rPr>
            </w:pPr>
          </w:p>
        </w:tc>
        <w:tc>
          <w:tcPr>
            <w:tcW w:w="25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77,919</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76,608</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Pharmaceuticals</w:t>
            </w:r>
          </w:p>
        </w:tc>
        <w:tc>
          <w:tcPr>
            <w:tcW w:w="2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Ironwood Pharmaceuticals,</w:t>
            </w:r>
          </w:p>
        </w:tc>
        <w:tc>
          <w:tcPr>
            <w:tcW w:w="2560" w:type="dxa"/>
            <w:vAlign w:val="bottom"/>
            <w:shd w:val="clear" w:color="auto" w:fill="CFF0FC"/>
          </w:tcPr>
          <w:p>
            <w:pPr>
              <w:ind w:left="80"/>
              <w:spacing w:after="0"/>
              <w:rPr>
                <w:sz w:val="20"/>
                <w:szCs w:val="20"/>
                <w:color w:val="auto"/>
              </w:rPr>
            </w:pPr>
            <w:r>
              <w:rPr>
                <w:rFonts w:ascii="Arial" w:cs="Arial" w:eastAsia="Arial" w:hAnsi="Arial"/>
                <w:sz w:val="18"/>
                <w:szCs w:val="18"/>
                <w:color w:val="auto"/>
                <w:w w:val="96"/>
              </w:rPr>
              <w:t>Secured note ($28,562 par, due</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1/5/2017</w:t>
            </w: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8.38%</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8.38%</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28,455</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29,562</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5"/>
                <w:szCs w:val="15"/>
                <w:color w:val="auto"/>
              </w:rPr>
              <w:t>(4)(5)(9)</w:t>
            </w:r>
          </w:p>
        </w:tc>
        <w:tc>
          <w:tcPr>
            <w:tcW w:w="2560" w:type="dxa"/>
            <w:vAlign w:val="bottom"/>
            <w:shd w:val="clear" w:color="auto" w:fill="CFF0FC"/>
          </w:tcPr>
          <w:p>
            <w:pPr>
              <w:ind w:left="80"/>
              <w:spacing w:after="0"/>
              <w:rPr>
                <w:sz w:val="20"/>
                <w:szCs w:val="20"/>
                <w:color w:val="auto"/>
              </w:rPr>
            </w:pPr>
            <w:r>
              <w:rPr>
                <w:rFonts w:ascii="Arial" w:cs="Arial" w:eastAsia="Arial" w:hAnsi="Arial"/>
                <w:sz w:val="18"/>
                <w:szCs w:val="18"/>
                <w:color w:val="auto"/>
              </w:rPr>
              <w:t>9/2026)</w:t>
            </w:r>
          </w:p>
        </w:tc>
        <w:tc>
          <w:tcPr>
            <w:tcW w:w="10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 xml:space="preserve">Nektar Therapeutics </w:t>
            </w:r>
            <w:r>
              <w:rPr>
                <w:rFonts w:ascii="Arial" w:cs="Arial" w:eastAsia="Arial" w:hAnsi="Arial"/>
                <w:sz w:val="15"/>
                <w:szCs w:val="15"/>
                <w:color w:val="auto"/>
              </w:rPr>
              <w:t>(4)(5)(9)</w:t>
            </w:r>
          </w:p>
        </w:tc>
        <w:tc>
          <w:tcPr>
            <w:tcW w:w="2560" w:type="dxa"/>
            <w:vAlign w:val="bottom"/>
          </w:tcPr>
          <w:p>
            <w:pPr>
              <w:ind w:left="80"/>
              <w:spacing w:after="0"/>
              <w:rPr>
                <w:sz w:val="20"/>
                <w:szCs w:val="20"/>
                <w:color w:val="auto"/>
              </w:rPr>
            </w:pPr>
            <w:r>
              <w:rPr>
                <w:rFonts w:ascii="Arial" w:cs="Arial" w:eastAsia="Arial" w:hAnsi="Arial"/>
                <w:sz w:val="18"/>
                <w:szCs w:val="18"/>
                <w:color w:val="auto"/>
                <w:w w:val="96"/>
              </w:rPr>
              <w:t>Secured note ($74,950 par, due</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10/5/2015</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7.75%</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7.75%</w:t>
            </w:r>
          </w:p>
        </w:tc>
        <w:tc>
          <w:tcPr>
            <w:tcW w:w="800" w:type="dxa"/>
            <w:vAlign w:val="bottom"/>
          </w:tcPr>
          <w:p>
            <w:pPr>
              <w:jc w:val="right"/>
              <w:spacing w:after="0"/>
              <w:rPr>
                <w:sz w:val="20"/>
                <w:szCs w:val="20"/>
                <w:color w:val="auto"/>
              </w:rPr>
            </w:pPr>
            <w:r>
              <w:rPr>
                <w:rFonts w:ascii="Arial" w:cs="Arial" w:eastAsia="Arial" w:hAnsi="Arial"/>
                <w:sz w:val="18"/>
                <w:szCs w:val="18"/>
                <w:color w:val="auto"/>
              </w:rPr>
              <w:t>74,664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77,386</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Borders>
              <w:bottom w:val="single" w:sz="8" w:color="CFF0FC"/>
            </w:tcBorders>
          </w:tcPr>
          <w:p>
            <w:pPr>
              <w:spacing w:after="0"/>
              <w:rPr>
                <w:sz w:val="20"/>
                <w:szCs w:val="20"/>
                <w:color w:val="auto"/>
              </w:rPr>
            </w:pPr>
          </w:p>
        </w:tc>
        <w:tc>
          <w:tcPr>
            <w:tcW w:w="2560" w:type="dxa"/>
            <w:vAlign w:val="bottom"/>
            <w:tcBorders>
              <w:bottom w:val="single" w:sz="8" w:color="CFF0FC"/>
            </w:tcBorders>
          </w:tcPr>
          <w:p>
            <w:pPr>
              <w:ind w:left="80"/>
              <w:spacing w:after="0"/>
              <w:rPr>
                <w:sz w:val="20"/>
                <w:szCs w:val="20"/>
                <w:color w:val="auto"/>
              </w:rPr>
            </w:pPr>
            <w:r>
              <w:rPr>
                <w:rFonts w:ascii="Arial" w:cs="Arial" w:eastAsia="Arial" w:hAnsi="Arial"/>
                <w:sz w:val="18"/>
                <w:szCs w:val="18"/>
                <w:color w:val="auto"/>
              </w:rPr>
              <w:t>10/2020)</w:t>
            </w:r>
          </w:p>
        </w:tc>
        <w:tc>
          <w:tcPr>
            <w:tcW w:w="106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00" w:type="dxa"/>
            <w:vAlign w:val="bottom"/>
            <w:shd w:val="clear" w:color="auto" w:fill="CFF0FC"/>
          </w:tcPr>
          <w:p>
            <w:pPr>
              <w:spacing w:after="0"/>
              <w:rPr>
                <w:sz w:val="19"/>
                <w:szCs w:val="19"/>
                <w:color w:val="auto"/>
              </w:rPr>
            </w:pPr>
          </w:p>
        </w:tc>
        <w:tc>
          <w:tcPr>
            <w:tcW w:w="25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103,119</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106,948</w:t>
            </w: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3"/>
        </w:trPr>
        <w:tc>
          <w:tcPr>
            <w:tcW w:w="2560" w:type="dxa"/>
            <w:vAlign w:val="bottom"/>
            <w:gridSpan w:val="2"/>
          </w:tcPr>
          <w:p>
            <w:pPr>
              <w:spacing w:after="0"/>
              <w:rPr>
                <w:sz w:val="20"/>
                <w:szCs w:val="20"/>
                <w:color w:val="auto"/>
              </w:rPr>
            </w:pPr>
            <w:r>
              <w:rPr>
                <w:rFonts w:ascii="Arial" w:cs="Arial" w:eastAsia="Arial" w:hAnsi="Arial"/>
                <w:sz w:val="18"/>
                <w:szCs w:val="18"/>
                <w:b w:val="1"/>
                <w:bCs w:val="1"/>
                <w:color w:val="auto"/>
                <w:w w:val="98"/>
              </w:rPr>
              <w:t>Retail and consumer products</w:t>
            </w:r>
          </w:p>
        </w:tc>
        <w:tc>
          <w:tcPr>
            <w:tcW w:w="27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99 Cents Only Stores LLC </w:t>
            </w:r>
            <w:r>
              <w:rPr>
                <w:rFonts w:ascii="Arial" w:cs="Arial" w:eastAsia="Arial" w:hAnsi="Arial"/>
                <w:sz w:val="15"/>
                <w:szCs w:val="15"/>
                <w:color w:val="auto"/>
              </w:rPr>
              <w:t>(3)</w:t>
            </w: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ABL FILO term loan ($32,500</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9/6/2017</w:t>
            </w:r>
          </w:p>
        </w:tc>
        <w:tc>
          <w:tcPr>
            <w:tcW w:w="11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L + 7.75%</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10.22%</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32,232</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32,581</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shd w:val="clear" w:color="auto" w:fill="CFF0FC"/>
          </w:tcPr>
          <w:p>
            <w:pPr>
              <w:spacing w:after="0"/>
              <w:rPr>
                <w:sz w:val="20"/>
                <w:szCs w:val="20"/>
                <w:color w:val="auto"/>
              </w:rPr>
            </w:pP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par, due 4/2021)</w:t>
            </w:r>
          </w:p>
        </w:tc>
        <w:tc>
          <w:tcPr>
            <w:tcW w:w="10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w w:val="96"/>
              </w:rPr>
              <w:t xml:space="preserve">American Achievement, Corp. </w:t>
            </w:r>
            <w:r>
              <w:rPr>
                <w:rFonts w:ascii="Arial" w:cs="Arial" w:eastAsia="Arial" w:hAnsi="Arial"/>
                <w:sz w:val="15"/>
                <w:szCs w:val="15"/>
                <w:color w:val="auto"/>
                <w:w w:val="96"/>
              </w:rPr>
              <w:t>(3)</w:t>
            </w:r>
          </w:p>
        </w:tc>
        <w:tc>
          <w:tcPr>
            <w:tcW w:w="2700" w:type="dxa"/>
            <w:vAlign w:val="bottom"/>
          </w:tcPr>
          <w:p>
            <w:pPr>
              <w:ind w:left="100"/>
              <w:spacing w:after="0"/>
              <w:rPr>
                <w:sz w:val="20"/>
                <w:szCs w:val="20"/>
                <w:color w:val="auto"/>
              </w:rPr>
            </w:pPr>
            <w:r>
              <w:rPr>
                <w:rFonts w:ascii="Arial" w:cs="Arial" w:eastAsia="Arial" w:hAnsi="Arial"/>
                <w:sz w:val="18"/>
                <w:szCs w:val="18"/>
                <w:color w:val="auto"/>
              </w:rPr>
              <w:t>First-lien loan ($22,436 par, due</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9/30/2015</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L + 8.25%</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10.69%</w:t>
            </w:r>
          </w:p>
        </w:tc>
        <w:tc>
          <w:tcPr>
            <w:tcW w:w="860" w:type="dxa"/>
            <w:vAlign w:val="bottom"/>
          </w:tcPr>
          <w:p>
            <w:pPr>
              <w:jc w:val="right"/>
              <w:spacing w:after="0"/>
              <w:rPr>
                <w:sz w:val="20"/>
                <w:szCs w:val="20"/>
                <w:color w:val="auto"/>
              </w:rPr>
            </w:pPr>
            <w:r>
              <w:rPr>
                <w:rFonts w:ascii="Arial" w:cs="Arial" w:eastAsia="Arial" w:hAnsi="Arial"/>
                <w:sz w:val="18"/>
                <w:szCs w:val="18"/>
                <w:color w:val="auto"/>
              </w:rPr>
              <w:t>22,345</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22,211</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00" w:type="dxa"/>
            <w:vAlign w:val="bottom"/>
          </w:tcPr>
          <w:p>
            <w:pPr>
              <w:ind w:left="100"/>
              <w:spacing w:after="0"/>
              <w:rPr>
                <w:sz w:val="20"/>
                <w:szCs w:val="20"/>
                <w:color w:val="auto"/>
              </w:rPr>
            </w:pPr>
            <w:r>
              <w:rPr>
                <w:rFonts w:ascii="Arial" w:cs="Arial" w:eastAsia="Arial" w:hAnsi="Arial"/>
                <w:sz w:val="18"/>
                <w:szCs w:val="18"/>
                <w:color w:val="auto"/>
              </w:rPr>
              <w:t>9/2022)</w:t>
            </w: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Barney's, Inc. </w:t>
            </w:r>
            <w:r>
              <w:rPr>
                <w:rFonts w:ascii="Arial" w:cs="Arial" w:eastAsia="Arial" w:hAnsi="Arial"/>
                <w:sz w:val="15"/>
                <w:szCs w:val="15"/>
                <w:color w:val="auto"/>
              </w:rPr>
              <w:t>(3)(5)</w:t>
            </w: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ABL FILO term loan ($35,000</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4/3/2019</w:t>
            </w:r>
          </w:p>
        </w:tc>
        <w:tc>
          <w:tcPr>
            <w:tcW w:w="11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L + 7.00%</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9.47%</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34,329</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35,350</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shd w:val="clear" w:color="auto" w:fill="CFF0FC"/>
          </w:tcPr>
          <w:p>
            <w:pPr>
              <w:spacing w:after="0"/>
              <w:rPr>
                <w:sz w:val="20"/>
                <w:szCs w:val="20"/>
                <w:color w:val="auto"/>
              </w:rPr>
            </w:pP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par, due 12/2023)</w:t>
            </w:r>
          </w:p>
        </w:tc>
        <w:tc>
          <w:tcPr>
            <w:tcW w:w="10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w w:val="93"/>
              </w:rPr>
              <w:t xml:space="preserve">J.C. Penney Company, Inc. </w:t>
            </w:r>
            <w:r>
              <w:rPr>
                <w:rFonts w:ascii="Arial" w:cs="Arial" w:eastAsia="Arial" w:hAnsi="Arial"/>
                <w:sz w:val="15"/>
                <w:szCs w:val="15"/>
                <w:color w:val="auto"/>
                <w:w w:val="93"/>
              </w:rPr>
              <w:t>(4)(11)</w:t>
            </w:r>
          </w:p>
        </w:tc>
        <w:tc>
          <w:tcPr>
            <w:tcW w:w="2700" w:type="dxa"/>
            <w:vAlign w:val="bottom"/>
          </w:tcPr>
          <w:p>
            <w:pPr>
              <w:ind w:left="100"/>
              <w:spacing w:after="0"/>
              <w:rPr>
                <w:sz w:val="20"/>
                <w:szCs w:val="20"/>
                <w:color w:val="auto"/>
              </w:rPr>
            </w:pPr>
            <w:r>
              <w:rPr>
                <w:rFonts w:ascii="Arial" w:cs="Arial" w:eastAsia="Arial" w:hAnsi="Arial"/>
                <w:sz w:val="18"/>
                <w:szCs w:val="18"/>
                <w:color w:val="auto"/>
              </w:rPr>
              <w:t>First-lien loan ($390 par, due</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6/5/2019</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L + 4.25%</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6.77%</w:t>
            </w:r>
          </w:p>
        </w:tc>
        <w:tc>
          <w:tcPr>
            <w:tcW w:w="860" w:type="dxa"/>
            <w:vAlign w:val="bottom"/>
          </w:tcPr>
          <w:p>
            <w:pPr>
              <w:jc w:val="right"/>
              <w:spacing w:after="0"/>
              <w:rPr>
                <w:sz w:val="20"/>
                <w:szCs w:val="20"/>
                <w:color w:val="auto"/>
              </w:rPr>
            </w:pPr>
            <w:r>
              <w:rPr>
                <w:rFonts w:ascii="Arial" w:cs="Arial" w:eastAsia="Arial" w:hAnsi="Arial"/>
                <w:sz w:val="18"/>
                <w:szCs w:val="18"/>
                <w:color w:val="auto"/>
              </w:rPr>
              <w:t>337</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349</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00" w:type="dxa"/>
            <w:vAlign w:val="bottom"/>
          </w:tcPr>
          <w:p>
            <w:pPr>
              <w:ind w:left="100"/>
              <w:spacing w:after="0"/>
              <w:rPr>
                <w:sz w:val="20"/>
                <w:szCs w:val="20"/>
                <w:color w:val="auto"/>
              </w:rPr>
            </w:pPr>
            <w:r>
              <w:rPr>
                <w:rFonts w:ascii="Arial" w:cs="Arial" w:eastAsia="Arial" w:hAnsi="Arial"/>
                <w:sz w:val="18"/>
                <w:szCs w:val="18"/>
                <w:color w:val="auto"/>
              </w:rPr>
              <w:t>6/2023)</w:t>
            </w:r>
            <w:r>
              <w:rPr>
                <w:rFonts w:ascii="Arial" w:cs="Arial" w:eastAsia="Arial" w:hAnsi="Arial"/>
                <w:sz w:val="15"/>
                <w:szCs w:val="15"/>
                <w:color w:val="auto"/>
              </w:rPr>
              <w:t>(3)</w:t>
            </w: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shd w:val="clear" w:color="auto" w:fill="CFF0FC"/>
          </w:tcPr>
          <w:p>
            <w:pPr>
              <w:spacing w:after="0"/>
              <w:rPr>
                <w:sz w:val="18"/>
                <w:szCs w:val="18"/>
                <w:color w:val="auto"/>
              </w:rPr>
            </w:pP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Secured note ($3,696 par, due</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6/5/2019</w:t>
            </w:r>
          </w:p>
        </w:tc>
        <w:tc>
          <w:tcPr>
            <w:tcW w:w="11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5.88%</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5.88%</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3,082</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3,095</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shd w:val="clear" w:color="auto" w:fill="CFF0FC"/>
          </w:tcPr>
          <w:p>
            <w:pPr>
              <w:spacing w:after="0"/>
              <w:rPr>
                <w:sz w:val="20"/>
                <w:szCs w:val="20"/>
                <w:color w:val="auto"/>
              </w:rPr>
            </w:pP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7/2023)</w:t>
            </w:r>
          </w:p>
        </w:tc>
        <w:tc>
          <w:tcPr>
            <w:tcW w:w="10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 xml:space="preserve">Maurices, Inc. </w:t>
            </w:r>
            <w:r>
              <w:rPr>
                <w:rFonts w:ascii="Arial" w:cs="Arial" w:eastAsia="Arial" w:hAnsi="Arial"/>
                <w:sz w:val="15"/>
                <w:szCs w:val="15"/>
                <w:color w:val="auto"/>
              </w:rPr>
              <w:t>(3)(5)</w:t>
            </w:r>
          </w:p>
        </w:tc>
        <w:tc>
          <w:tcPr>
            <w:tcW w:w="2700" w:type="dxa"/>
            <w:vAlign w:val="bottom"/>
          </w:tcPr>
          <w:p>
            <w:pPr>
              <w:ind w:left="100"/>
              <w:spacing w:after="0"/>
              <w:rPr>
                <w:sz w:val="20"/>
                <w:szCs w:val="20"/>
                <w:color w:val="auto"/>
              </w:rPr>
            </w:pPr>
            <w:r>
              <w:rPr>
                <w:rFonts w:ascii="Arial" w:cs="Arial" w:eastAsia="Arial" w:hAnsi="Arial"/>
                <w:sz w:val="18"/>
                <w:szCs w:val="18"/>
                <w:color w:val="auto"/>
              </w:rPr>
              <w:t>ABL FILO term loan ($40,000</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5/6/2019</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L + 6.50%</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9.07%</w:t>
            </w:r>
          </w:p>
        </w:tc>
        <w:tc>
          <w:tcPr>
            <w:tcW w:w="860" w:type="dxa"/>
            <w:vAlign w:val="bottom"/>
          </w:tcPr>
          <w:p>
            <w:pPr>
              <w:jc w:val="right"/>
              <w:spacing w:after="0"/>
              <w:rPr>
                <w:sz w:val="20"/>
                <w:szCs w:val="20"/>
                <w:color w:val="auto"/>
              </w:rPr>
            </w:pPr>
            <w:r>
              <w:rPr>
                <w:rFonts w:ascii="Arial" w:cs="Arial" w:eastAsia="Arial" w:hAnsi="Arial"/>
                <w:sz w:val="18"/>
                <w:szCs w:val="18"/>
                <w:color w:val="auto"/>
              </w:rPr>
              <w:t>38,797</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39,000</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00" w:type="dxa"/>
            <w:vAlign w:val="bottom"/>
          </w:tcPr>
          <w:p>
            <w:pPr>
              <w:ind w:left="100"/>
              <w:spacing w:after="0"/>
              <w:rPr>
                <w:sz w:val="20"/>
                <w:szCs w:val="20"/>
                <w:color w:val="auto"/>
              </w:rPr>
            </w:pPr>
            <w:r>
              <w:rPr>
                <w:rFonts w:ascii="Arial" w:cs="Arial" w:eastAsia="Arial" w:hAnsi="Arial"/>
                <w:sz w:val="18"/>
                <w:szCs w:val="18"/>
                <w:color w:val="auto"/>
              </w:rPr>
              <w:t>par, due 5/2024)</w:t>
            </w: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Moran Foods, LLC </w:t>
            </w:r>
            <w:r>
              <w:rPr>
                <w:rFonts w:ascii="Arial" w:cs="Arial" w:eastAsia="Arial" w:hAnsi="Arial"/>
                <w:sz w:val="15"/>
                <w:szCs w:val="15"/>
                <w:color w:val="auto"/>
              </w:rPr>
              <w:t>(3)</w:t>
            </w: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ABL FILO term loan ($40,000</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6/21/2019</w:t>
            </w:r>
          </w:p>
        </w:tc>
        <w:tc>
          <w:tcPr>
            <w:tcW w:w="11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L + 6.75%</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9.05%</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39,505</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39,500</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shd w:val="clear" w:color="auto" w:fill="CFF0FC"/>
          </w:tcPr>
          <w:p>
            <w:pPr>
              <w:spacing w:after="0"/>
              <w:rPr>
                <w:sz w:val="20"/>
                <w:szCs w:val="20"/>
                <w:color w:val="auto"/>
              </w:rPr>
            </w:pP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par, due 12/2021)</w:t>
            </w:r>
          </w:p>
        </w:tc>
        <w:tc>
          <w:tcPr>
            <w:tcW w:w="10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w w:val="99"/>
              </w:rPr>
              <w:t xml:space="preserve">Transform SR Holdings, LLC </w:t>
            </w:r>
            <w:r>
              <w:rPr>
                <w:rFonts w:ascii="Arial" w:cs="Arial" w:eastAsia="Arial" w:hAnsi="Arial"/>
                <w:sz w:val="15"/>
                <w:szCs w:val="15"/>
                <w:color w:val="auto"/>
                <w:w w:val="99"/>
              </w:rPr>
              <w:t>(3)</w:t>
            </w:r>
          </w:p>
        </w:tc>
        <w:tc>
          <w:tcPr>
            <w:tcW w:w="2700" w:type="dxa"/>
            <w:vAlign w:val="bottom"/>
          </w:tcPr>
          <w:p>
            <w:pPr>
              <w:ind w:left="100"/>
              <w:spacing w:after="0"/>
              <w:rPr>
                <w:sz w:val="20"/>
                <w:szCs w:val="20"/>
                <w:color w:val="auto"/>
              </w:rPr>
            </w:pPr>
            <w:r>
              <w:rPr>
                <w:rFonts w:ascii="Arial" w:cs="Arial" w:eastAsia="Arial" w:hAnsi="Arial"/>
                <w:sz w:val="18"/>
                <w:szCs w:val="18"/>
                <w:color w:val="auto"/>
              </w:rPr>
              <w:t>ABL FILO term loan ($75,000</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2/11/2019</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L + 7.25%</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9.65%</w:t>
            </w:r>
          </w:p>
        </w:tc>
        <w:tc>
          <w:tcPr>
            <w:tcW w:w="860" w:type="dxa"/>
            <w:vAlign w:val="bottom"/>
          </w:tcPr>
          <w:p>
            <w:pPr>
              <w:jc w:val="right"/>
              <w:spacing w:after="0"/>
              <w:rPr>
                <w:sz w:val="20"/>
                <w:szCs w:val="20"/>
                <w:color w:val="auto"/>
              </w:rPr>
            </w:pPr>
            <w:r>
              <w:rPr>
                <w:rFonts w:ascii="Arial" w:cs="Arial" w:eastAsia="Arial" w:hAnsi="Arial"/>
                <w:sz w:val="18"/>
                <w:szCs w:val="18"/>
                <w:color w:val="auto"/>
              </w:rPr>
              <w:t>74,295</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75,187</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tcBorders>
              <w:bottom w:val="single" w:sz="8" w:color="CFF0FC"/>
            </w:tcBorders>
          </w:tcPr>
          <w:p>
            <w:pPr>
              <w:spacing w:after="0"/>
              <w:rPr>
                <w:sz w:val="20"/>
                <w:szCs w:val="20"/>
                <w:color w:val="auto"/>
              </w:rPr>
            </w:pPr>
          </w:p>
        </w:tc>
        <w:tc>
          <w:tcPr>
            <w:tcW w:w="270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par, due 2/2024)</w:t>
            </w:r>
          </w:p>
        </w:tc>
        <w:tc>
          <w:tcPr>
            <w:tcW w:w="1040" w:type="dxa"/>
            <w:vAlign w:val="bottom"/>
            <w:tcBorders>
              <w:bottom w:val="single" w:sz="8" w:color="CFF0FC"/>
            </w:tcBorders>
          </w:tcPr>
          <w:p>
            <w:pPr>
              <w:spacing w:after="0"/>
              <w:rPr>
                <w:sz w:val="20"/>
                <w:szCs w:val="20"/>
                <w:color w:val="auto"/>
              </w:rPr>
            </w:pPr>
          </w:p>
        </w:tc>
        <w:tc>
          <w:tcPr>
            <w:tcW w:w="1160" w:type="dxa"/>
            <w:vAlign w:val="bottom"/>
            <w:tcBorders>
              <w:bottom w:val="single" w:sz="8" w:color="CFF0FC"/>
            </w:tcBorders>
          </w:tcPr>
          <w:p>
            <w:pPr>
              <w:spacing w:after="0"/>
              <w:rPr>
                <w:sz w:val="20"/>
                <w:szCs w:val="20"/>
                <w:color w:val="auto"/>
              </w:rPr>
            </w:pPr>
          </w:p>
        </w:tc>
        <w:tc>
          <w:tcPr>
            <w:tcW w:w="920" w:type="dxa"/>
            <w:vAlign w:val="bottom"/>
            <w:tcBorders>
              <w:bottom w:val="single" w:sz="8" w:color="CFF0FC"/>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shd w:val="clear" w:color="auto" w:fill="CFF0FC"/>
          </w:tcPr>
          <w:p>
            <w:pPr>
              <w:spacing w:after="0"/>
              <w:rPr>
                <w:sz w:val="19"/>
                <w:szCs w:val="19"/>
                <w:color w:val="auto"/>
              </w:rPr>
            </w:pPr>
          </w:p>
        </w:tc>
        <w:tc>
          <w:tcPr>
            <w:tcW w:w="27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244,922</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247,273</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Transportation</w:t>
            </w:r>
          </w:p>
        </w:tc>
        <w:tc>
          <w:tcPr>
            <w:tcW w:w="2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Ferrellgas, L.P. </w:t>
            </w:r>
            <w:r>
              <w:rPr>
                <w:rFonts w:ascii="Arial" w:cs="Arial" w:eastAsia="Arial" w:hAnsi="Arial"/>
                <w:sz w:val="15"/>
                <w:szCs w:val="15"/>
                <w:color w:val="auto"/>
              </w:rPr>
              <w:t>(3)(4)(5)</w:t>
            </w: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First-lien loan ($82,500 par, due</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5/4/2018</w:t>
            </w:r>
          </w:p>
        </w:tc>
        <w:tc>
          <w:tcPr>
            <w:tcW w:w="11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L + 5.75%</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8.19%</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81,177</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87,000</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shd w:val="clear" w:color="auto" w:fill="CFF0FC"/>
          </w:tcPr>
          <w:p>
            <w:pPr>
              <w:spacing w:after="0"/>
              <w:rPr>
                <w:sz w:val="20"/>
                <w:szCs w:val="20"/>
                <w:color w:val="auto"/>
              </w:rPr>
            </w:pP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5/2023)</w:t>
            </w:r>
          </w:p>
        </w:tc>
        <w:tc>
          <w:tcPr>
            <w:tcW w:w="10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Total Debt Investments</w:t>
            </w:r>
          </w:p>
        </w:tc>
        <w:tc>
          <w:tcPr>
            <w:tcW w:w="2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1,984,198</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2,014,074</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182.8</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540" w:type="dxa"/>
            <w:vAlign w:val="bottom"/>
            <w:tcBorders>
              <w:top w:val="single" w:sz="8" w:color="CFF0FC"/>
            </w:tcBorders>
            <w:shd w:val="clear" w:color="auto" w:fill="CFF0FC"/>
          </w:tcPr>
          <w:p>
            <w:pPr>
              <w:spacing w:after="0"/>
              <w:rPr>
                <w:sz w:val="19"/>
                <w:szCs w:val="19"/>
                <w:color w:val="auto"/>
              </w:rPr>
            </w:pPr>
          </w:p>
        </w:tc>
        <w:tc>
          <w:tcPr>
            <w:tcW w:w="27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b w:val="1"/>
                <w:bCs w:val="1"/>
                <w:color w:val="auto"/>
                <w:w w:val="98"/>
              </w:rPr>
              <w:t>Equity and Other Investments</w:t>
            </w:r>
          </w:p>
        </w:tc>
        <w:tc>
          <w:tcPr>
            <w:tcW w:w="2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Beverage, food and tobacco</w:t>
            </w:r>
          </w:p>
        </w:tc>
        <w:tc>
          <w:tcPr>
            <w:tcW w:w="27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color w:val="auto"/>
                <w:w w:val="95"/>
              </w:rPr>
              <w:t xml:space="preserve">AFS Technologies, Inc. </w:t>
            </w:r>
            <w:r>
              <w:rPr>
                <w:rFonts w:ascii="Arial" w:cs="Arial" w:eastAsia="Arial" w:hAnsi="Arial"/>
                <w:sz w:val="15"/>
                <w:szCs w:val="15"/>
                <w:color w:val="auto"/>
                <w:w w:val="95"/>
              </w:rPr>
              <w:t>(6)(13)(14)</w:t>
            </w:r>
          </w:p>
        </w:tc>
        <w:tc>
          <w:tcPr>
            <w:tcW w:w="2700" w:type="dxa"/>
            <w:vAlign w:val="bottom"/>
          </w:tcPr>
          <w:p>
            <w:pPr>
              <w:ind w:left="100"/>
              <w:spacing w:after="0"/>
              <w:rPr>
                <w:sz w:val="20"/>
                <w:szCs w:val="20"/>
                <w:color w:val="auto"/>
              </w:rPr>
            </w:pPr>
            <w:r>
              <w:rPr>
                <w:rFonts w:ascii="Arial" w:cs="Arial" w:eastAsia="Arial" w:hAnsi="Arial"/>
                <w:sz w:val="18"/>
                <w:szCs w:val="18"/>
                <w:color w:val="auto"/>
                <w:w w:val="98"/>
              </w:rPr>
              <w:t>Preferred Units (4,441,090 units)</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w w:val="97"/>
              </w:rPr>
              <w:t>10/16/2018</w:t>
            </w: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4,441</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4,463</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Business Services</w:t>
            </w:r>
          </w:p>
        </w:tc>
        <w:tc>
          <w:tcPr>
            <w:tcW w:w="27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 xml:space="preserve">Motus, LLC </w:t>
            </w:r>
            <w:r>
              <w:rPr>
                <w:rFonts w:ascii="Arial" w:cs="Arial" w:eastAsia="Arial" w:hAnsi="Arial"/>
                <w:sz w:val="15"/>
                <w:szCs w:val="15"/>
                <w:color w:val="auto"/>
              </w:rPr>
              <w:t>(13)</w:t>
            </w:r>
          </w:p>
        </w:tc>
        <w:tc>
          <w:tcPr>
            <w:tcW w:w="2700" w:type="dxa"/>
            <w:vAlign w:val="bottom"/>
          </w:tcPr>
          <w:p>
            <w:pPr>
              <w:ind w:left="100"/>
              <w:spacing w:after="0"/>
              <w:rPr>
                <w:sz w:val="20"/>
                <w:szCs w:val="20"/>
                <w:color w:val="auto"/>
              </w:rPr>
            </w:pPr>
            <w:r>
              <w:rPr>
                <w:rFonts w:ascii="Arial" w:cs="Arial" w:eastAsia="Arial" w:hAnsi="Arial"/>
                <w:sz w:val="18"/>
                <w:szCs w:val="18"/>
                <w:color w:val="auto"/>
              </w:rPr>
              <w:t>Class A Units (1,262 units)</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1/17/2018</w:t>
            </w: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1,262</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1,467</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shd w:val="clear" w:color="auto" w:fill="CFF0FC"/>
          </w:tcPr>
          <w:p>
            <w:pPr>
              <w:spacing w:after="0"/>
              <w:rPr>
                <w:sz w:val="19"/>
                <w:szCs w:val="19"/>
                <w:color w:val="auto"/>
              </w:rPr>
            </w:pP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Class B Units (517,020 units)</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1/17/2018</w:t>
            </w:r>
          </w:p>
        </w:tc>
        <w:tc>
          <w:tcPr>
            <w:tcW w:w="1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 xml:space="preserve">Nintex Global, Ltd. </w:t>
            </w:r>
            <w:r>
              <w:rPr>
                <w:rFonts w:ascii="Arial" w:cs="Arial" w:eastAsia="Arial" w:hAnsi="Arial"/>
                <w:sz w:val="15"/>
                <w:szCs w:val="15"/>
                <w:color w:val="auto"/>
              </w:rPr>
              <w:t>(13)</w:t>
            </w:r>
          </w:p>
        </w:tc>
        <w:tc>
          <w:tcPr>
            <w:tcW w:w="2700" w:type="dxa"/>
            <w:vAlign w:val="bottom"/>
          </w:tcPr>
          <w:p>
            <w:pPr>
              <w:ind w:left="100"/>
              <w:spacing w:after="0"/>
              <w:rPr>
                <w:sz w:val="20"/>
                <w:szCs w:val="20"/>
                <w:color w:val="auto"/>
              </w:rPr>
            </w:pPr>
            <w:r>
              <w:rPr>
                <w:rFonts w:ascii="Arial" w:cs="Arial" w:eastAsia="Arial" w:hAnsi="Arial"/>
                <w:sz w:val="18"/>
                <w:szCs w:val="18"/>
                <w:color w:val="auto"/>
              </w:rPr>
              <w:t>Class A Shares (1,197 shares)</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3/30/2018</w:t>
            </w: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1,197</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1,682</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shd w:val="clear" w:color="auto" w:fill="CFF0FC"/>
          </w:tcPr>
          <w:p>
            <w:pPr>
              <w:spacing w:after="0"/>
              <w:rPr>
                <w:sz w:val="19"/>
                <w:szCs w:val="19"/>
                <w:color w:val="auto"/>
              </w:rPr>
            </w:pP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7"/>
              </w:rPr>
              <w:t>Class B Shares (398,557 shares)</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3/30/2018</w:t>
            </w:r>
          </w:p>
        </w:tc>
        <w:tc>
          <w:tcPr>
            <w:tcW w:w="1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2,471</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3,166</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Chemicals</w:t>
            </w:r>
          </w:p>
        </w:tc>
        <w:tc>
          <w:tcPr>
            <w:tcW w:w="27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(13)</w:t>
            </w:r>
          </w:p>
        </w:tc>
        <w:tc>
          <w:tcPr>
            <w:tcW w:w="2700" w:type="dxa"/>
            <w:vAlign w:val="bottom"/>
          </w:tcPr>
          <w:p>
            <w:pPr>
              <w:ind w:left="100"/>
              <w:spacing w:after="0"/>
              <w:rPr>
                <w:sz w:val="20"/>
                <w:szCs w:val="20"/>
                <w:color w:val="auto"/>
              </w:rPr>
            </w:pPr>
            <w:r>
              <w:rPr>
                <w:rFonts w:ascii="Arial" w:cs="Arial" w:eastAsia="Arial" w:hAnsi="Arial"/>
                <w:sz w:val="18"/>
                <w:szCs w:val="18"/>
                <w:color w:val="auto"/>
                <w:w w:val="99"/>
              </w:rPr>
              <w:t>Common Units (2,672,990 units)</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w w:val="97"/>
              </w:rPr>
              <w:t>10/31/2016</w:t>
            </w: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3,828</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3,484</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Financial services</w:t>
            </w:r>
          </w:p>
        </w:tc>
        <w:tc>
          <w:tcPr>
            <w:tcW w:w="27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(13)</w:t>
            </w:r>
          </w:p>
        </w:tc>
        <w:tc>
          <w:tcPr>
            <w:tcW w:w="2700" w:type="dxa"/>
            <w:vAlign w:val="bottom"/>
          </w:tcPr>
          <w:p>
            <w:pPr>
              <w:ind w:left="100"/>
              <w:spacing w:after="0"/>
              <w:rPr>
                <w:sz w:val="20"/>
                <w:szCs w:val="20"/>
                <w:color w:val="auto"/>
              </w:rPr>
            </w:pPr>
            <w:r>
              <w:rPr>
                <w:rFonts w:ascii="Arial" w:cs="Arial" w:eastAsia="Arial" w:hAnsi="Arial"/>
                <w:sz w:val="18"/>
                <w:szCs w:val="18"/>
                <w:color w:val="auto"/>
                <w:w w:val="92"/>
              </w:rPr>
              <w:t>Series E Preferred Equity (214,132</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8/7/2015</w:t>
            </w: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3,846</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7,480</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00" w:type="dxa"/>
            <w:vAlign w:val="bottom"/>
          </w:tcPr>
          <w:p>
            <w:pPr>
              <w:ind w:left="100"/>
              <w:spacing w:after="0"/>
              <w:rPr>
                <w:sz w:val="20"/>
                <w:szCs w:val="20"/>
                <w:color w:val="auto"/>
              </w:rPr>
            </w:pPr>
            <w:r>
              <w:rPr>
                <w:rFonts w:ascii="Arial" w:cs="Arial" w:eastAsia="Arial" w:hAnsi="Arial"/>
                <w:sz w:val="18"/>
                <w:szCs w:val="18"/>
                <w:color w:val="auto"/>
              </w:rPr>
              <w:t>shares)</w:t>
            </w: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Oxford Square Capital Corp. </w:t>
            </w:r>
            <w:r>
              <w:rPr>
                <w:rFonts w:ascii="Arial" w:cs="Arial" w:eastAsia="Arial" w:hAnsi="Arial"/>
                <w:sz w:val="15"/>
                <w:szCs w:val="15"/>
                <w:color w:val="auto"/>
              </w:rPr>
              <w:t>(4)</w:t>
            </w:r>
          </w:p>
        </w:tc>
        <w:tc>
          <w:tcPr>
            <w:tcW w:w="27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Common Shares (1,059 shares)</w:t>
            </w:r>
          </w:p>
        </w:tc>
        <w:tc>
          <w:tcPr>
            <w:tcW w:w="10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8/5/2015</w:t>
            </w:r>
          </w:p>
        </w:tc>
        <w:tc>
          <w:tcPr>
            <w:tcW w:w="1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5"/>
                <w:szCs w:val="15"/>
                <w:color w:val="auto"/>
              </w:rPr>
              <w:t>(12)</w:t>
            </w:r>
          </w:p>
        </w:tc>
        <w:tc>
          <w:tcPr>
            <w:tcW w:w="27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 xml:space="preserve">Swift Gift, Ltd. </w:t>
            </w:r>
            <w:r>
              <w:rPr>
                <w:rFonts w:ascii="Arial" w:cs="Arial" w:eastAsia="Arial" w:hAnsi="Arial"/>
                <w:sz w:val="15"/>
                <w:szCs w:val="15"/>
                <w:color w:val="auto"/>
              </w:rPr>
              <w:t>(13)</w:t>
            </w:r>
          </w:p>
        </w:tc>
        <w:tc>
          <w:tcPr>
            <w:tcW w:w="2700" w:type="dxa"/>
            <w:vAlign w:val="bottom"/>
          </w:tcPr>
          <w:p>
            <w:pPr>
              <w:ind w:left="100"/>
              <w:spacing w:after="0"/>
              <w:rPr>
                <w:sz w:val="20"/>
                <w:szCs w:val="20"/>
                <w:color w:val="auto"/>
              </w:rPr>
            </w:pPr>
            <w:r>
              <w:rPr>
                <w:rFonts w:ascii="Arial" w:cs="Arial" w:eastAsia="Arial" w:hAnsi="Arial"/>
                <w:sz w:val="18"/>
                <w:szCs w:val="18"/>
                <w:color w:val="auto"/>
                <w:w w:val="96"/>
              </w:rPr>
              <w:t>Common Shares (35,000 shares)</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7/31/2017</w:t>
            </w: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3,500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7,997</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shd w:val="clear" w:color="auto" w:fill="CFF0FC"/>
          </w:tcPr>
          <w:p>
            <w:pPr>
              <w:spacing w:after="0" w:line="20" w:lineRule="exact"/>
              <w:rPr>
                <w:sz w:val="1"/>
                <w:szCs w:val="1"/>
                <w:color w:val="auto"/>
              </w:rPr>
            </w:pPr>
          </w:p>
        </w:tc>
        <w:tc>
          <w:tcPr>
            <w:tcW w:w="270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shd w:val="clear" w:color="auto" w:fill="CFF0FC"/>
          </w:tcPr>
          <w:p>
            <w:pPr>
              <w:spacing w:after="0"/>
              <w:rPr>
                <w:sz w:val="19"/>
                <w:szCs w:val="19"/>
                <w:color w:val="auto"/>
              </w:rPr>
            </w:pPr>
          </w:p>
        </w:tc>
        <w:tc>
          <w:tcPr>
            <w:tcW w:w="27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7,353</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15,484</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60" w:type="dxa"/>
            <w:vAlign w:val="bottom"/>
            <w:gridSpan w:val="2"/>
          </w:tcPr>
          <w:p>
            <w:pPr>
              <w:spacing w:after="0"/>
              <w:rPr>
                <w:sz w:val="20"/>
                <w:szCs w:val="20"/>
                <w:color w:val="auto"/>
              </w:rPr>
            </w:pPr>
            <w:r>
              <w:rPr>
                <w:rFonts w:ascii="Arial" w:cs="Arial" w:eastAsia="Arial" w:hAnsi="Arial"/>
                <w:sz w:val="18"/>
                <w:szCs w:val="18"/>
                <w:b w:val="1"/>
                <w:bCs w:val="1"/>
                <w:color w:val="auto"/>
              </w:rPr>
              <w:t>Healthcare</w:t>
            </w:r>
          </w:p>
        </w:tc>
        <w:tc>
          <w:tcPr>
            <w:tcW w:w="2700" w:type="dxa"/>
            <w:vAlign w:val="bottom"/>
          </w:tcPr>
          <w:p>
            <w:pPr>
              <w:spacing w:after="0"/>
              <w:rPr>
                <w:sz w:val="19"/>
                <w:szCs w:val="19"/>
                <w:color w:val="auto"/>
              </w:rPr>
            </w:pPr>
          </w:p>
        </w:tc>
        <w:tc>
          <w:tcPr>
            <w:tcW w:w="1040" w:type="dxa"/>
            <w:vAlign w:val="bottom"/>
            <w:vMerge w:val="restart"/>
          </w:tcPr>
          <w:p>
            <w:pPr>
              <w:jc w:val="right"/>
              <w:ind w:right="450"/>
              <w:spacing w:after="0"/>
              <w:rPr>
                <w:sz w:val="20"/>
                <w:szCs w:val="20"/>
                <w:color w:val="auto"/>
              </w:rPr>
            </w:pPr>
            <w:r>
              <w:rPr>
                <w:rFonts w:ascii="Arial" w:cs="Arial" w:eastAsia="Arial" w:hAnsi="Arial"/>
                <w:sz w:val="18"/>
                <w:szCs w:val="18"/>
                <w:color w:val="auto"/>
              </w:rPr>
              <w:t>9</w:t>
            </w: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236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2"/>
              </w:rPr>
              <w:t xml:space="preserve">Caris Life Sciences, Ltd. </w:t>
            </w:r>
            <w:r>
              <w:rPr>
                <w:rFonts w:ascii="Arial" w:cs="Arial" w:eastAsia="Arial" w:hAnsi="Arial"/>
                <w:sz w:val="15"/>
                <w:szCs w:val="15"/>
                <w:color w:val="auto"/>
                <w:w w:val="92"/>
              </w:rPr>
              <w:t>(13)(14)</w:t>
            </w:r>
          </w:p>
        </w:tc>
        <w:tc>
          <w:tcPr>
            <w:tcW w:w="220" w:type="dxa"/>
            <w:vAlign w:val="bottom"/>
            <w:shd w:val="clear" w:color="auto" w:fill="CFF0FC"/>
          </w:tcPr>
          <w:p>
            <w:pPr>
              <w:spacing w:after="0"/>
              <w:rPr>
                <w:sz w:val="19"/>
                <w:szCs w:val="19"/>
                <w:color w:val="auto"/>
              </w:rPr>
            </w:pPr>
          </w:p>
        </w:tc>
        <w:tc>
          <w:tcPr>
            <w:tcW w:w="2400" w:type="dxa"/>
            <w:vAlign w:val="bottom"/>
            <w:gridSpan w:val="5"/>
            <w:shd w:val="clear" w:color="auto" w:fill="CFF0FC"/>
          </w:tcPr>
          <w:p>
            <w:pPr>
              <w:ind w:left="120"/>
              <w:spacing w:after="0"/>
              <w:rPr>
                <w:sz w:val="20"/>
                <w:szCs w:val="20"/>
                <w:color w:val="auto"/>
              </w:rPr>
            </w:pPr>
            <w:r>
              <w:rPr>
                <w:rFonts w:ascii="Arial" w:cs="Arial" w:eastAsia="Arial" w:hAnsi="Arial"/>
                <w:sz w:val="18"/>
                <w:szCs w:val="18"/>
                <w:color w:val="auto"/>
              </w:rPr>
              <w:t>633,376 Warrants</w:t>
            </w:r>
          </w:p>
        </w:tc>
        <w:tc>
          <w:tcPr>
            <w:tcW w:w="2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9/21/2018</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6"/>
              </w:rPr>
              <w:t>192</w:t>
            </w:r>
          </w:p>
        </w:tc>
        <w:tc>
          <w:tcPr>
            <w:tcW w:w="100" w:type="dxa"/>
            <w:vAlign w:val="bottom"/>
            <w:shd w:val="clear" w:color="auto" w:fill="CFF0FC"/>
          </w:tcPr>
          <w:p>
            <w:pPr>
              <w:spacing w:after="0"/>
              <w:rPr>
                <w:sz w:val="19"/>
                <w:szCs w:val="19"/>
                <w:color w:val="auto"/>
              </w:rPr>
            </w:pPr>
          </w:p>
        </w:tc>
        <w:tc>
          <w:tcPr>
            <w:tcW w:w="1080" w:type="dxa"/>
            <w:vAlign w:val="bottom"/>
            <w:gridSpan w:val="4"/>
            <w:shd w:val="clear" w:color="auto" w:fill="CFF0FC"/>
          </w:tcPr>
          <w:p>
            <w:pPr>
              <w:ind w:left="6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5"/>
        </w:trPr>
        <w:tc>
          <w:tcPr>
            <w:tcW w:w="2360" w:type="dxa"/>
            <w:vAlign w:val="bottom"/>
            <w:gridSpan w:val="2"/>
          </w:tcPr>
          <w:p>
            <w:pPr>
              <w:spacing w:after="0"/>
              <w:rPr>
                <w:sz w:val="20"/>
                <w:szCs w:val="20"/>
                <w:color w:val="auto"/>
              </w:rPr>
            </w:pPr>
            <w:r>
              <w:rPr>
                <w:rFonts w:ascii="Arial" w:cs="Arial" w:eastAsia="Arial" w:hAnsi="Arial"/>
                <w:sz w:val="18"/>
                <w:szCs w:val="18"/>
                <w:color w:val="auto"/>
              </w:rPr>
              <w:t>Valant Medical Solutions,</w:t>
            </w:r>
          </w:p>
        </w:tc>
        <w:tc>
          <w:tcPr>
            <w:tcW w:w="220" w:type="dxa"/>
            <w:vAlign w:val="bottom"/>
          </w:tcPr>
          <w:p>
            <w:pPr>
              <w:spacing w:after="0"/>
              <w:rPr>
                <w:sz w:val="18"/>
                <w:szCs w:val="18"/>
                <w:color w:val="auto"/>
              </w:rPr>
            </w:pPr>
          </w:p>
        </w:tc>
        <w:tc>
          <w:tcPr>
            <w:tcW w:w="2400" w:type="dxa"/>
            <w:vAlign w:val="bottom"/>
            <w:gridSpan w:val="5"/>
          </w:tcPr>
          <w:p>
            <w:pPr>
              <w:ind w:left="120"/>
              <w:spacing w:after="0"/>
              <w:rPr>
                <w:sz w:val="20"/>
                <w:szCs w:val="20"/>
                <w:color w:val="auto"/>
              </w:rPr>
            </w:pPr>
            <w:r>
              <w:rPr>
                <w:rFonts w:ascii="Arial" w:cs="Arial" w:eastAsia="Arial" w:hAnsi="Arial"/>
                <w:sz w:val="18"/>
                <w:szCs w:val="18"/>
                <w:color w:val="auto"/>
              </w:rPr>
              <w:t>954,478 Warrants</w:t>
            </w:r>
          </w:p>
        </w:tc>
        <w:tc>
          <w:tcPr>
            <w:tcW w:w="220" w:type="dxa"/>
            <w:vAlign w:val="bottom"/>
          </w:tcPr>
          <w:p>
            <w:pPr>
              <w:spacing w:after="0"/>
              <w:rPr>
                <w:sz w:val="18"/>
                <w:szCs w:val="18"/>
                <w:color w:val="auto"/>
              </w:rPr>
            </w:pPr>
          </w:p>
        </w:tc>
        <w:tc>
          <w:tcPr>
            <w:tcW w:w="1140" w:type="dxa"/>
            <w:vAlign w:val="bottom"/>
            <w:gridSpan w:val="3"/>
          </w:tcPr>
          <w:p>
            <w:pPr>
              <w:jc w:val="right"/>
              <w:ind w:right="10"/>
              <w:spacing w:after="0"/>
              <w:rPr>
                <w:sz w:val="20"/>
                <w:szCs w:val="20"/>
                <w:color w:val="auto"/>
              </w:rPr>
            </w:pPr>
            <w:r>
              <w:rPr>
                <w:rFonts w:ascii="Arial" w:cs="Arial" w:eastAsia="Arial" w:hAnsi="Arial"/>
                <w:sz w:val="18"/>
                <w:szCs w:val="18"/>
                <w:color w:val="auto"/>
              </w:rPr>
              <w:t>4/8/2019</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281</w:t>
            </w:r>
          </w:p>
        </w:tc>
        <w:tc>
          <w:tcPr>
            <w:tcW w:w="100" w:type="dxa"/>
            <w:vAlign w:val="bottom"/>
          </w:tcPr>
          <w:p>
            <w:pPr>
              <w:spacing w:after="0"/>
              <w:rPr>
                <w:sz w:val="18"/>
                <w:szCs w:val="18"/>
                <w:color w:val="auto"/>
              </w:rPr>
            </w:pPr>
          </w:p>
        </w:tc>
        <w:tc>
          <w:tcPr>
            <w:tcW w:w="1080" w:type="dxa"/>
            <w:vAlign w:val="bottom"/>
            <w:gridSpan w:val="4"/>
          </w:tcPr>
          <w:p>
            <w:pPr>
              <w:ind w:left="6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360" w:type="dxa"/>
            <w:vAlign w:val="bottom"/>
            <w:gridSpan w:val="2"/>
          </w:tcPr>
          <w:p>
            <w:pPr>
              <w:ind w:left="140"/>
              <w:spacing w:after="0"/>
              <w:rPr>
                <w:sz w:val="20"/>
                <w:szCs w:val="20"/>
                <w:color w:val="auto"/>
              </w:rPr>
            </w:pPr>
            <w:r>
              <w:rPr>
                <w:rFonts w:ascii="Arial" w:cs="Arial" w:eastAsia="Arial" w:hAnsi="Arial"/>
                <w:sz w:val="18"/>
                <w:szCs w:val="18"/>
                <w:color w:val="auto"/>
              </w:rPr>
              <w:t xml:space="preserve">Inc. </w:t>
            </w:r>
            <w:r>
              <w:rPr>
                <w:rFonts w:ascii="Arial" w:cs="Arial" w:eastAsia="Arial" w:hAnsi="Arial"/>
                <w:sz w:val="15"/>
                <w:szCs w:val="15"/>
                <w:color w:val="auto"/>
              </w:rPr>
              <w:t>(13)(14)(15)</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Vita Topco, Inc. </w:t>
            </w:r>
            <w:r>
              <w:rPr>
                <w:rFonts w:ascii="Arial" w:cs="Arial" w:eastAsia="Arial" w:hAnsi="Arial"/>
                <w:sz w:val="15"/>
                <w:szCs w:val="15"/>
                <w:color w:val="auto"/>
              </w:rPr>
              <w:t>(13)(14)(15)</w:t>
            </w:r>
          </w:p>
        </w:tc>
        <w:tc>
          <w:tcPr>
            <w:tcW w:w="220" w:type="dxa"/>
            <w:vAlign w:val="bottom"/>
            <w:shd w:val="clear" w:color="auto" w:fill="CFF0FC"/>
          </w:tcPr>
          <w:p>
            <w:pPr>
              <w:spacing w:after="0"/>
              <w:rPr>
                <w:sz w:val="19"/>
                <w:szCs w:val="19"/>
                <w:color w:val="auto"/>
              </w:rPr>
            </w:pPr>
          </w:p>
        </w:tc>
        <w:tc>
          <w:tcPr>
            <w:tcW w:w="2400" w:type="dxa"/>
            <w:vAlign w:val="bottom"/>
            <w:gridSpan w:val="5"/>
            <w:shd w:val="clear" w:color="auto" w:fill="CFF0FC"/>
          </w:tcPr>
          <w:p>
            <w:pPr>
              <w:ind w:left="120"/>
              <w:spacing w:after="0"/>
              <w:rPr>
                <w:sz w:val="20"/>
                <w:szCs w:val="20"/>
                <w:color w:val="auto"/>
              </w:rPr>
            </w:pPr>
            <w:r>
              <w:rPr>
                <w:rFonts w:ascii="Arial" w:cs="Arial" w:eastAsia="Arial" w:hAnsi="Arial"/>
                <w:sz w:val="18"/>
                <w:szCs w:val="18"/>
                <w:color w:val="auto"/>
                <w:w w:val="88"/>
              </w:rPr>
              <w:t>Common Shares (1,000 shares)</w:t>
            </w:r>
          </w:p>
        </w:tc>
        <w:tc>
          <w:tcPr>
            <w:tcW w:w="2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2/11/2019</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4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ind w:left="5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980" w:type="dxa"/>
            <w:vAlign w:val="bottom"/>
            <w:gridSpan w:val="3"/>
          </w:tcPr>
          <w:p>
            <w:pPr>
              <w:ind w:left="5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3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Hotel, gaming, and leisure</w:t>
            </w:r>
          </w:p>
        </w:tc>
        <w:tc>
          <w:tcPr>
            <w:tcW w:w="2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right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60" w:type="dxa"/>
            <w:vAlign w:val="bottom"/>
            <w:gridSpan w:val="2"/>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(7)(13)</w:t>
            </w:r>
          </w:p>
        </w:tc>
        <w:tc>
          <w:tcPr>
            <w:tcW w:w="220" w:type="dxa"/>
            <w:vAlign w:val="bottom"/>
          </w:tcPr>
          <w:p>
            <w:pPr>
              <w:spacing w:after="0"/>
              <w:rPr>
                <w:sz w:val="18"/>
                <w:szCs w:val="18"/>
                <w:color w:val="auto"/>
              </w:rPr>
            </w:pPr>
          </w:p>
        </w:tc>
        <w:tc>
          <w:tcPr>
            <w:tcW w:w="2620" w:type="dxa"/>
            <w:vAlign w:val="bottom"/>
            <w:gridSpan w:val="6"/>
          </w:tcPr>
          <w:p>
            <w:pPr>
              <w:ind w:left="120"/>
              <w:spacing w:after="0"/>
              <w:rPr>
                <w:sz w:val="20"/>
                <w:szCs w:val="20"/>
                <w:color w:val="auto"/>
              </w:rPr>
            </w:pPr>
            <w:r>
              <w:rPr>
                <w:rFonts w:ascii="Arial" w:cs="Arial" w:eastAsia="Arial" w:hAnsi="Arial"/>
                <w:sz w:val="18"/>
                <w:szCs w:val="18"/>
                <w:color w:val="auto"/>
                <w:w w:val="96"/>
              </w:rPr>
              <w:t>Class A Units (27,690,171 units)</w:t>
            </w:r>
          </w:p>
        </w:tc>
        <w:tc>
          <w:tcPr>
            <w:tcW w:w="1140" w:type="dxa"/>
            <w:vAlign w:val="bottom"/>
            <w:gridSpan w:val="3"/>
          </w:tcPr>
          <w:p>
            <w:pPr>
              <w:jc w:val="right"/>
              <w:ind w:right="10"/>
              <w:spacing w:after="0"/>
              <w:rPr>
                <w:sz w:val="20"/>
                <w:szCs w:val="20"/>
                <w:color w:val="auto"/>
              </w:rPr>
            </w:pPr>
            <w:r>
              <w:rPr>
                <w:rFonts w:ascii="Arial" w:cs="Arial" w:eastAsia="Arial" w:hAnsi="Arial"/>
                <w:sz w:val="18"/>
                <w:szCs w:val="18"/>
                <w:color w:val="auto"/>
              </w:rPr>
              <w:t>12/21/2018</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20,063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Pr>
          <w:p>
            <w:pPr>
              <w:spacing w:after="0"/>
              <w:rPr>
                <w:sz w:val="18"/>
                <w:szCs w:val="18"/>
                <w:color w:val="auto"/>
              </w:rPr>
            </w:pPr>
          </w:p>
        </w:tc>
        <w:tc>
          <w:tcPr>
            <w:tcW w:w="1080" w:type="dxa"/>
            <w:vAlign w:val="bottom"/>
            <w:gridSpan w:val="4"/>
          </w:tcPr>
          <w:p>
            <w:pPr>
              <w:ind w:left="6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75"/>
        </w:trPr>
        <w:tc>
          <w:tcPr>
            <w:tcW w:w="2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ind w:left="120"/>
              <w:spacing w:after="0"/>
              <w:rPr>
                <w:sz w:val="20"/>
                <w:szCs w:val="20"/>
                <w:color w:val="auto"/>
              </w:rPr>
            </w:pPr>
            <w:r>
              <w:rPr>
                <w:rFonts w:ascii="Arial" w:cs="Arial" w:eastAsia="Arial" w:hAnsi="Arial"/>
                <w:sz w:val="15"/>
                <w:szCs w:val="15"/>
                <w:color w:val="auto"/>
              </w:rPr>
              <w:t>(14)</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0" w:type="dxa"/>
            <w:vAlign w:val="bottom"/>
            <w:gridSpan w:val="5"/>
            <w:shd w:val="clear" w:color="auto" w:fill="CFF0FC"/>
          </w:tcPr>
          <w:p>
            <w:pPr>
              <w:ind w:left="120"/>
              <w:spacing w:after="0"/>
              <w:rPr>
                <w:sz w:val="20"/>
                <w:szCs w:val="20"/>
                <w:color w:val="auto"/>
              </w:rPr>
            </w:pPr>
            <w:r>
              <w:rPr>
                <w:rFonts w:ascii="Arial" w:cs="Arial" w:eastAsia="Arial" w:hAnsi="Arial"/>
                <w:sz w:val="18"/>
                <w:szCs w:val="18"/>
                <w:color w:val="auto"/>
                <w:w w:val="99"/>
              </w:rPr>
              <w:t>Common Shares (8,800,000</w:t>
            </w:r>
          </w:p>
        </w:tc>
        <w:tc>
          <w:tcPr>
            <w:tcW w:w="2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12/21/2018</w:t>
            </w: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18"/>
                <w:szCs w:val="18"/>
                <w:color w:val="auto"/>
              </w:rPr>
            </w:pPr>
          </w:p>
        </w:tc>
        <w:tc>
          <w:tcPr>
            <w:tcW w:w="1080" w:type="dxa"/>
            <w:vAlign w:val="bottom"/>
            <w:gridSpan w:val="4"/>
            <w:shd w:val="clear" w:color="auto" w:fill="CFF0FC"/>
          </w:tcPr>
          <w:p>
            <w:pPr>
              <w:ind w:left="6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shares)</w:t>
            </w: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20,163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2,610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ind w:left="5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5"/>
        </w:trPr>
        <w:tc>
          <w:tcPr>
            <w:tcW w:w="2360" w:type="dxa"/>
            <w:vAlign w:val="bottom"/>
            <w:tcBorders>
              <w:top w:val="single" w:sz="8" w:color="CFF0FC"/>
            </w:tcBorders>
            <w:gridSpan w:val="2"/>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Human resource support</w:t>
            </w:r>
          </w:p>
        </w:tc>
        <w:tc>
          <w:tcPr>
            <w:tcW w:w="22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right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60" w:type="dxa"/>
            <w:vAlign w:val="bottom"/>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services</w:t>
            </w:r>
          </w:p>
        </w:tc>
        <w:tc>
          <w:tcPr>
            <w:tcW w:w="2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60" w:type="dxa"/>
            <w:vAlign w:val="bottom"/>
            <w:gridSpan w:val="2"/>
          </w:tcPr>
          <w:p>
            <w:pPr>
              <w:spacing w:after="0"/>
              <w:rPr>
                <w:sz w:val="20"/>
                <w:szCs w:val="20"/>
                <w:color w:val="auto"/>
              </w:rPr>
            </w:pPr>
            <w:r>
              <w:rPr>
                <w:rFonts w:ascii="Arial" w:cs="Arial" w:eastAsia="Arial" w:hAnsi="Arial"/>
                <w:sz w:val="18"/>
                <w:szCs w:val="18"/>
                <w:color w:val="auto"/>
                <w:w w:val="94"/>
              </w:rPr>
              <w:t xml:space="preserve">ClearCompany, LLC </w:t>
            </w:r>
            <w:r>
              <w:rPr>
                <w:rFonts w:ascii="Arial" w:cs="Arial" w:eastAsia="Arial" w:hAnsi="Arial"/>
                <w:sz w:val="15"/>
                <w:szCs w:val="15"/>
                <w:color w:val="auto"/>
                <w:w w:val="94"/>
              </w:rPr>
              <w:t>(13)(14)(15)</w:t>
            </w:r>
          </w:p>
        </w:tc>
        <w:tc>
          <w:tcPr>
            <w:tcW w:w="220" w:type="dxa"/>
            <w:vAlign w:val="bottom"/>
          </w:tcPr>
          <w:p>
            <w:pPr>
              <w:spacing w:after="0"/>
              <w:rPr>
                <w:sz w:val="19"/>
                <w:szCs w:val="19"/>
                <w:color w:val="auto"/>
              </w:rPr>
            </w:pPr>
          </w:p>
        </w:tc>
        <w:tc>
          <w:tcPr>
            <w:tcW w:w="2400" w:type="dxa"/>
            <w:vAlign w:val="bottom"/>
            <w:gridSpan w:val="5"/>
          </w:tcPr>
          <w:p>
            <w:pPr>
              <w:ind w:left="120"/>
              <w:spacing w:after="0"/>
              <w:rPr>
                <w:sz w:val="20"/>
                <w:szCs w:val="20"/>
                <w:color w:val="auto"/>
              </w:rPr>
            </w:pPr>
            <w:r>
              <w:rPr>
                <w:rFonts w:ascii="Arial" w:cs="Arial" w:eastAsia="Arial" w:hAnsi="Arial"/>
                <w:sz w:val="18"/>
                <w:szCs w:val="18"/>
                <w:color w:val="auto"/>
              </w:rPr>
              <w:t>Class A Units (44,944 units)</w:t>
            </w:r>
          </w:p>
        </w:tc>
        <w:tc>
          <w:tcPr>
            <w:tcW w:w="220" w:type="dxa"/>
            <w:vAlign w:val="bottom"/>
          </w:tcPr>
          <w:p>
            <w:pPr>
              <w:spacing w:after="0"/>
              <w:rPr>
                <w:sz w:val="19"/>
                <w:szCs w:val="19"/>
                <w:color w:val="auto"/>
              </w:rPr>
            </w:pPr>
          </w:p>
        </w:tc>
        <w:tc>
          <w:tcPr>
            <w:tcW w:w="1140" w:type="dxa"/>
            <w:vAlign w:val="bottom"/>
            <w:gridSpan w:val="3"/>
          </w:tcPr>
          <w:p>
            <w:pPr>
              <w:jc w:val="right"/>
              <w:ind w:right="10"/>
              <w:spacing w:after="0"/>
              <w:rPr>
                <w:sz w:val="20"/>
                <w:szCs w:val="20"/>
                <w:color w:val="auto"/>
              </w:rPr>
            </w:pPr>
            <w:r>
              <w:rPr>
                <w:rFonts w:ascii="Arial" w:cs="Arial" w:eastAsia="Arial" w:hAnsi="Arial"/>
                <w:sz w:val="18"/>
                <w:szCs w:val="18"/>
                <w:color w:val="auto"/>
              </w:rPr>
              <w:t>8/24/2018</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1080" w:type="dxa"/>
            <w:vAlign w:val="bottom"/>
            <w:gridSpan w:val="4"/>
          </w:tcPr>
          <w:p>
            <w:pPr>
              <w:ind w:left="6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23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Insurance</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60" w:type="dxa"/>
            <w:vAlign w:val="bottom"/>
            <w:gridSpan w:val="2"/>
          </w:tcPr>
          <w:p>
            <w:pPr>
              <w:spacing w:after="0"/>
              <w:rPr>
                <w:sz w:val="20"/>
                <w:szCs w:val="20"/>
                <w:color w:val="auto"/>
              </w:rPr>
            </w:pPr>
            <w:r>
              <w:rPr>
                <w:rFonts w:ascii="Arial" w:cs="Arial" w:eastAsia="Arial" w:hAnsi="Arial"/>
                <w:sz w:val="18"/>
                <w:szCs w:val="18"/>
                <w:color w:val="auto"/>
              </w:rPr>
              <w:t xml:space="preserve">Riskonnect, Inc. </w:t>
            </w:r>
            <w:r>
              <w:rPr>
                <w:rFonts w:ascii="Arial" w:cs="Arial" w:eastAsia="Arial" w:hAnsi="Arial"/>
                <w:sz w:val="15"/>
                <w:szCs w:val="15"/>
                <w:color w:val="auto"/>
              </w:rPr>
              <w:t>(13)</w:t>
            </w:r>
          </w:p>
        </w:tc>
        <w:tc>
          <w:tcPr>
            <w:tcW w:w="220" w:type="dxa"/>
            <w:vAlign w:val="bottom"/>
          </w:tcPr>
          <w:p>
            <w:pPr>
              <w:spacing w:after="0"/>
              <w:rPr>
                <w:sz w:val="18"/>
                <w:szCs w:val="18"/>
                <w:color w:val="auto"/>
              </w:rPr>
            </w:pPr>
          </w:p>
        </w:tc>
        <w:tc>
          <w:tcPr>
            <w:tcW w:w="2620" w:type="dxa"/>
            <w:vAlign w:val="bottom"/>
            <w:gridSpan w:val="6"/>
          </w:tcPr>
          <w:p>
            <w:pPr>
              <w:ind w:left="120"/>
              <w:spacing w:after="0"/>
              <w:rPr>
                <w:sz w:val="20"/>
                <w:szCs w:val="20"/>
                <w:color w:val="auto"/>
              </w:rPr>
            </w:pPr>
            <w:r>
              <w:rPr>
                <w:rFonts w:ascii="Arial" w:cs="Arial" w:eastAsia="Arial" w:hAnsi="Arial"/>
                <w:sz w:val="18"/>
                <w:szCs w:val="18"/>
                <w:color w:val="auto"/>
                <w:w w:val="96"/>
              </w:rPr>
              <w:t>Common Shares Class A (1,020</w:t>
            </w:r>
          </w:p>
        </w:tc>
        <w:tc>
          <w:tcPr>
            <w:tcW w:w="1140" w:type="dxa"/>
            <w:vAlign w:val="bottom"/>
            <w:gridSpan w:val="3"/>
          </w:tcPr>
          <w:p>
            <w:pPr>
              <w:jc w:val="right"/>
              <w:ind w:right="10"/>
              <w:spacing w:after="0"/>
              <w:rPr>
                <w:sz w:val="20"/>
                <w:szCs w:val="20"/>
                <w:color w:val="auto"/>
              </w:rPr>
            </w:pPr>
            <w:r>
              <w:rPr>
                <w:rFonts w:ascii="Arial" w:cs="Arial" w:eastAsia="Arial" w:hAnsi="Arial"/>
                <w:sz w:val="18"/>
                <w:szCs w:val="18"/>
                <w:color w:val="auto"/>
              </w:rPr>
              <w:t>6/30/2017</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8"/>
                <w:szCs w:val="18"/>
                <w:color w:val="auto"/>
              </w:rPr>
            </w:pPr>
          </w:p>
        </w:tc>
        <w:tc>
          <w:tcPr>
            <w:tcW w:w="1080" w:type="dxa"/>
            <w:vAlign w:val="bottom"/>
            <w:gridSpan w:val="4"/>
          </w:tcPr>
          <w:p>
            <w:pPr>
              <w:ind w:left="6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units)</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20" w:type="dxa"/>
            <w:vAlign w:val="bottom"/>
            <w:gridSpan w:val="6"/>
            <w:shd w:val="clear" w:color="auto" w:fill="CFF0FC"/>
          </w:tcPr>
          <w:p>
            <w:pPr>
              <w:ind w:left="120"/>
              <w:spacing w:after="0"/>
              <w:rPr>
                <w:sz w:val="20"/>
                <w:szCs w:val="20"/>
                <w:color w:val="auto"/>
              </w:rPr>
            </w:pPr>
            <w:r>
              <w:rPr>
                <w:rFonts w:ascii="Arial" w:cs="Arial" w:eastAsia="Arial" w:hAnsi="Arial"/>
                <w:sz w:val="18"/>
                <w:szCs w:val="18"/>
                <w:color w:val="auto"/>
                <w:w w:val="89"/>
              </w:rPr>
              <w:t>Common Shares Class B (987,929</w:t>
            </w:r>
          </w:p>
        </w:tc>
        <w:tc>
          <w:tcPr>
            <w:tcW w:w="114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6/30/2017</w:t>
            </w: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8"/>
                <w:szCs w:val="18"/>
                <w:color w:val="auto"/>
              </w:rPr>
            </w:pPr>
          </w:p>
        </w:tc>
        <w:tc>
          <w:tcPr>
            <w:tcW w:w="1080" w:type="dxa"/>
            <w:vAlign w:val="bottom"/>
            <w:gridSpan w:val="4"/>
            <w:shd w:val="clear" w:color="auto" w:fill="CFF0FC"/>
          </w:tcPr>
          <w:p>
            <w:pPr>
              <w:ind w:left="6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units)</w:t>
            </w: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ind w:left="5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3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Marketing services</w:t>
            </w:r>
          </w:p>
        </w:tc>
        <w:tc>
          <w:tcPr>
            <w:tcW w:w="2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right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60" w:type="dxa"/>
            <w:vAlign w:val="bottom"/>
            <w:gridSpan w:val="2"/>
          </w:tcPr>
          <w:p>
            <w:pPr>
              <w:spacing w:after="0"/>
              <w:rPr>
                <w:sz w:val="20"/>
                <w:szCs w:val="20"/>
                <w:color w:val="auto"/>
              </w:rPr>
            </w:pPr>
            <w:r>
              <w:rPr>
                <w:rFonts w:ascii="Arial" w:cs="Arial" w:eastAsia="Arial" w:hAnsi="Arial"/>
                <w:sz w:val="18"/>
                <w:szCs w:val="18"/>
                <w:color w:val="auto"/>
              </w:rPr>
              <w:t xml:space="preserve">Validity, Inc. </w:t>
            </w:r>
            <w:r>
              <w:rPr>
                <w:rFonts w:ascii="Arial" w:cs="Arial" w:eastAsia="Arial" w:hAnsi="Arial"/>
                <w:sz w:val="15"/>
                <w:szCs w:val="15"/>
                <w:color w:val="auto"/>
              </w:rPr>
              <w:t>(13)</w:t>
            </w:r>
          </w:p>
        </w:tc>
        <w:tc>
          <w:tcPr>
            <w:tcW w:w="220" w:type="dxa"/>
            <w:vAlign w:val="bottom"/>
          </w:tcPr>
          <w:p>
            <w:pPr>
              <w:spacing w:after="0"/>
              <w:rPr>
                <w:sz w:val="18"/>
                <w:szCs w:val="18"/>
                <w:color w:val="auto"/>
              </w:rPr>
            </w:pPr>
          </w:p>
        </w:tc>
        <w:tc>
          <w:tcPr>
            <w:tcW w:w="2400" w:type="dxa"/>
            <w:vAlign w:val="bottom"/>
            <w:gridSpan w:val="5"/>
          </w:tcPr>
          <w:p>
            <w:pPr>
              <w:ind w:left="120"/>
              <w:spacing w:after="0"/>
              <w:rPr>
                <w:sz w:val="20"/>
                <w:szCs w:val="20"/>
                <w:color w:val="auto"/>
              </w:rPr>
            </w:pPr>
            <w:r>
              <w:rPr>
                <w:rFonts w:ascii="Arial" w:cs="Arial" w:eastAsia="Arial" w:hAnsi="Arial"/>
                <w:sz w:val="18"/>
                <w:szCs w:val="18"/>
                <w:color w:val="auto"/>
              </w:rPr>
              <w:t>Series A Preferred Shares</w:t>
            </w:r>
          </w:p>
        </w:tc>
        <w:tc>
          <w:tcPr>
            <w:tcW w:w="220" w:type="dxa"/>
            <w:vAlign w:val="bottom"/>
          </w:tcPr>
          <w:p>
            <w:pPr>
              <w:spacing w:after="0"/>
              <w:rPr>
                <w:sz w:val="18"/>
                <w:szCs w:val="18"/>
                <w:color w:val="auto"/>
              </w:rPr>
            </w:pPr>
          </w:p>
        </w:tc>
        <w:tc>
          <w:tcPr>
            <w:tcW w:w="1140" w:type="dxa"/>
            <w:vAlign w:val="bottom"/>
            <w:gridSpan w:val="3"/>
          </w:tcPr>
          <w:p>
            <w:pPr>
              <w:jc w:val="right"/>
              <w:ind w:right="10"/>
              <w:spacing w:after="0"/>
              <w:rPr>
                <w:sz w:val="20"/>
                <w:szCs w:val="20"/>
                <w:color w:val="auto"/>
              </w:rPr>
            </w:pPr>
            <w:r>
              <w:rPr>
                <w:rFonts w:ascii="Arial" w:cs="Arial" w:eastAsia="Arial" w:hAnsi="Arial"/>
                <w:sz w:val="18"/>
                <w:szCs w:val="18"/>
                <w:color w:val="auto"/>
              </w:rPr>
              <w:t>5/31/2018</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0"/>
              </w:rPr>
              <w:t>12,379</w:t>
            </w:r>
          </w:p>
        </w:tc>
        <w:tc>
          <w:tcPr>
            <w:tcW w:w="100" w:type="dxa"/>
            <w:vAlign w:val="bottom"/>
          </w:tcPr>
          <w:p>
            <w:pPr>
              <w:spacing w:after="0"/>
              <w:rPr>
                <w:sz w:val="18"/>
                <w:szCs w:val="18"/>
                <w:color w:val="auto"/>
              </w:rPr>
            </w:pPr>
          </w:p>
        </w:tc>
        <w:tc>
          <w:tcPr>
            <w:tcW w:w="1080" w:type="dxa"/>
            <w:vAlign w:val="bottom"/>
            <w:gridSpan w:val="4"/>
          </w:tcPr>
          <w:p>
            <w:pPr>
              <w:ind w:left="6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5"/>
          </w:tcPr>
          <w:p>
            <w:pPr>
              <w:ind w:left="120"/>
              <w:spacing w:after="0"/>
              <w:rPr>
                <w:sz w:val="20"/>
                <w:szCs w:val="20"/>
                <w:color w:val="auto"/>
              </w:rPr>
            </w:pPr>
            <w:r>
              <w:rPr>
                <w:rFonts w:ascii="Arial" w:cs="Arial" w:eastAsia="Arial" w:hAnsi="Arial"/>
                <w:sz w:val="18"/>
                <w:szCs w:val="18"/>
                <w:color w:val="auto"/>
              </w:rPr>
              <w:t>(3,840,000 shares)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w w:val="90"/>
              </w:rPr>
              <w:t>Oil, gas and consumable fuels</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80" w:type="dxa"/>
            <w:vAlign w:val="bottom"/>
            <w:gridSpan w:val="3"/>
          </w:tcPr>
          <w:p>
            <w:pPr>
              <w:spacing w:after="0"/>
              <w:rPr>
                <w:sz w:val="20"/>
                <w:szCs w:val="20"/>
                <w:color w:val="auto"/>
              </w:rPr>
            </w:pPr>
            <w:r>
              <w:rPr>
                <w:rFonts w:ascii="Arial" w:cs="Arial" w:eastAsia="Arial" w:hAnsi="Arial"/>
                <w:sz w:val="18"/>
                <w:szCs w:val="18"/>
                <w:color w:val="auto"/>
                <w:w w:val="94"/>
              </w:rPr>
              <w:t xml:space="preserve">Mississippi Resources, LLC </w:t>
            </w:r>
            <w:r>
              <w:rPr>
                <w:rFonts w:ascii="Arial" w:cs="Arial" w:eastAsia="Arial" w:hAnsi="Arial"/>
                <w:sz w:val="15"/>
                <w:szCs w:val="15"/>
                <w:color w:val="auto"/>
                <w:w w:val="94"/>
              </w:rPr>
              <w:t>(7)(13)</w:t>
            </w:r>
          </w:p>
        </w:tc>
        <w:tc>
          <w:tcPr>
            <w:tcW w:w="2620" w:type="dxa"/>
            <w:vAlign w:val="bottom"/>
            <w:gridSpan w:val="6"/>
          </w:tcPr>
          <w:p>
            <w:pPr>
              <w:ind w:left="120"/>
              <w:spacing w:after="0"/>
              <w:rPr>
                <w:sz w:val="20"/>
                <w:szCs w:val="20"/>
                <w:color w:val="auto"/>
              </w:rPr>
            </w:pPr>
            <w:r>
              <w:rPr>
                <w:rFonts w:ascii="Arial" w:cs="Arial" w:eastAsia="Arial" w:hAnsi="Arial"/>
                <w:sz w:val="18"/>
                <w:szCs w:val="18"/>
                <w:color w:val="auto"/>
                <w:w w:val="98"/>
              </w:rPr>
              <w:t>Class A-1 Member Units (1,360</w:t>
            </w:r>
          </w:p>
        </w:tc>
        <w:tc>
          <w:tcPr>
            <w:tcW w:w="1140" w:type="dxa"/>
            <w:vAlign w:val="bottom"/>
            <w:gridSpan w:val="3"/>
          </w:tcPr>
          <w:p>
            <w:pPr>
              <w:jc w:val="right"/>
              <w:ind w:right="10"/>
              <w:spacing w:after="0"/>
              <w:rPr>
                <w:sz w:val="20"/>
                <w:szCs w:val="20"/>
                <w:color w:val="auto"/>
              </w:rPr>
            </w:pPr>
            <w:r>
              <w:rPr>
                <w:rFonts w:ascii="Arial" w:cs="Arial" w:eastAsia="Arial" w:hAnsi="Arial"/>
                <w:sz w:val="18"/>
                <w:szCs w:val="18"/>
                <w:color w:val="auto"/>
              </w:rPr>
              <w:t>5/3/2017</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10,366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gridSpan w:val="4"/>
          </w:tcPr>
          <w:p>
            <w:pPr>
              <w:ind w:left="6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units)</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0" w:type="dxa"/>
            <w:vAlign w:val="bottom"/>
            <w:gridSpan w:val="5"/>
            <w:shd w:val="clear" w:color="auto" w:fill="CFF0FC"/>
          </w:tcPr>
          <w:p>
            <w:pPr>
              <w:ind w:left="120"/>
              <w:spacing w:after="0"/>
              <w:rPr>
                <w:sz w:val="20"/>
                <w:szCs w:val="20"/>
                <w:color w:val="auto"/>
              </w:rPr>
            </w:pPr>
            <w:r>
              <w:rPr>
                <w:rFonts w:ascii="Arial" w:cs="Arial" w:eastAsia="Arial" w:hAnsi="Arial"/>
                <w:sz w:val="18"/>
                <w:szCs w:val="18"/>
                <w:color w:val="auto"/>
                <w:w w:val="95"/>
              </w:rPr>
              <w:t>Class A-2 Member Units (933</w:t>
            </w:r>
          </w:p>
        </w:tc>
        <w:tc>
          <w:tcPr>
            <w:tcW w:w="2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6/4/2014</w:t>
            </w: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8,874</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FF0FC"/>
          </w:tcPr>
          <w:p>
            <w:pPr>
              <w:ind w:left="6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units)</w:t>
            </w: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80" w:type="dxa"/>
            <w:vAlign w:val="bottom"/>
            <w:gridSpan w:val="3"/>
          </w:tcPr>
          <w:p>
            <w:pPr>
              <w:spacing w:after="0"/>
              <w:rPr>
                <w:sz w:val="20"/>
                <w:szCs w:val="20"/>
                <w:color w:val="auto"/>
              </w:rPr>
            </w:pPr>
            <w:r>
              <w:rPr>
                <w:rFonts w:ascii="Arial" w:cs="Arial" w:eastAsia="Arial" w:hAnsi="Arial"/>
                <w:sz w:val="18"/>
                <w:szCs w:val="18"/>
                <w:color w:val="auto"/>
                <w:w w:val="95"/>
              </w:rPr>
              <w:t xml:space="preserve">Northern Oil and Gas, Inc. </w:t>
            </w:r>
            <w:r>
              <w:rPr>
                <w:rFonts w:ascii="Arial" w:cs="Arial" w:eastAsia="Arial" w:hAnsi="Arial"/>
                <w:sz w:val="15"/>
                <w:szCs w:val="15"/>
                <w:color w:val="auto"/>
                <w:w w:val="95"/>
              </w:rPr>
              <w:t>(12)(13)</w:t>
            </w:r>
          </w:p>
        </w:tc>
        <w:tc>
          <w:tcPr>
            <w:tcW w:w="2620" w:type="dxa"/>
            <w:vAlign w:val="bottom"/>
            <w:gridSpan w:val="6"/>
          </w:tcPr>
          <w:p>
            <w:pPr>
              <w:ind w:left="120"/>
              <w:spacing w:after="0"/>
              <w:rPr>
                <w:sz w:val="20"/>
                <w:szCs w:val="20"/>
                <w:color w:val="auto"/>
              </w:rPr>
            </w:pPr>
            <w:r>
              <w:rPr>
                <w:rFonts w:ascii="Arial" w:cs="Arial" w:eastAsia="Arial" w:hAnsi="Arial"/>
                <w:sz w:val="18"/>
                <w:szCs w:val="18"/>
                <w:color w:val="auto"/>
                <w:w w:val="89"/>
              </w:rPr>
              <w:t>Common Shares (184,566 shares)</w:t>
            </w:r>
          </w:p>
        </w:tc>
        <w:tc>
          <w:tcPr>
            <w:tcW w:w="1140" w:type="dxa"/>
            <w:vAlign w:val="bottom"/>
            <w:gridSpan w:val="3"/>
          </w:tcPr>
          <w:p>
            <w:pPr>
              <w:jc w:val="right"/>
              <w:ind w:right="10"/>
              <w:spacing w:after="0"/>
              <w:rPr>
                <w:sz w:val="20"/>
                <w:szCs w:val="20"/>
                <w:color w:val="auto"/>
              </w:rPr>
            </w:pPr>
            <w:r>
              <w:rPr>
                <w:rFonts w:ascii="Arial" w:cs="Arial" w:eastAsia="Arial" w:hAnsi="Arial"/>
                <w:sz w:val="18"/>
                <w:szCs w:val="18"/>
                <w:color w:val="auto"/>
              </w:rPr>
              <w:t>5/15/2018</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356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ind w:left="5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1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7"/>
              </w:rPr>
              <w:t>19,517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6"/>
              </w:rPr>
              <w:t>356</w:t>
            </w:r>
          </w:p>
        </w:tc>
        <w:tc>
          <w:tcPr>
            <w:tcW w:w="100" w:type="dxa"/>
            <w:vAlign w:val="bottom"/>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980" w:type="dxa"/>
            <w:vAlign w:val="bottom"/>
            <w:gridSpan w:val="3"/>
            <w:shd w:val="clear" w:color="auto" w:fill="CFF0FC"/>
          </w:tcPr>
          <w:p>
            <w:pPr>
              <w:ind w:left="5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Equity and Other</w:t>
            </w: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3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2"/>
          </w:tcPr>
          <w:p>
            <w:pPr>
              <w:jc w:val="right"/>
              <w:spacing w:after="0" w:line="205" w:lineRule="exact"/>
              <w:rPr>
                <w:sz w:val="20"/>
                <w:szCs w:val="20"/>
                <w:color w:val="auto"/>
              </w:rPr>
            </w:pPr>
            <w:r>
              <w:rPr>
                <w:rFonts w:ascii="Arial" w:cs="Arial" w:eastAsia="Arial" w:hAnsi="Arial"/>
                <w:sz w:val="18"/>
                <w:szCs w:val="18"/>
                <w:color w:val="auto"/>
                <w:w w:val="87"/>
              </w:rPr>
              <w:t>66,130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gridSpan w:val="2"/>
          </w:tcPr>
          <w:p>
            <w:pPr>
              <w:jc w:val="right"/>
              <w:spacing w:after="0" w:line="205" w:lineRule="exact"/>
              <w:rPr>
                <w:sz w:val="20"/>
                <w:szCs w:val="20"/>
                <w:color w:val="auto"/>
              </w:rPr>
            </w:pPr>
            <w:r>
              <w:rPr>
                <w:rFonts w:ascii="Arial" w:cs="Arial" w:eastAsia="Arial" w:hAnsi="Arial"/>
                <w:sz w:val="18"/>
                <w:szCs w:val="18"/>
                <w:color w:val="auto"/>
                <w:w w:val="90"/>
              </w:rPr>
              <w:t>46,459</w:t>
            </w:r>
          </w:p>
        </w:tc>
        <w:tc>
          <w:tcPr>
            <w:tcW w:w="1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980" w:type="dxa"/>
            <w:vAlign w:val="bottom"/>
            <w:gridSpan w:val="3"/>
          </w:tcPr>
          <w:p>
            <w:pPr>
              <w:ind w:left="520"/>
              <w:spacing w:after="0" w:line="205"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4"/>
        </w:trPr>
        <w:tc>
          <w:tcPr>
            <w:tcW w:w="23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b w:val="1"/>
                <w:bCs w:val="1"/>
                <w:color w:val="auto"/>
              </w:rPr>
              <w:t>Investments</w:t>
            </w:r>
          </w:p>
        </w:tc>
        <w:tc>
          <w:tcPr>
            <w:tcW w:w="220" w:type="dxa"/>
            <w:vAlign w:val="bottom"/>
            <w:tcBorders>
              <w:bottom w:val="single" w:sz="8" w:color="CFF0FC"/>
            </w:tcBorders>
          </w:tcPr>
          <w:p>
            <w:pPr>
              <w:spacing w:after="0"/>
              <w:rPr>
                <w:sz w:val="20"/>
                <w:szCs w:val="20"/>
                <w:color w:val="auto"/>
              </w:rPr>
            </w:pPr>
          </w:p>
        </w:tc>
        <w:tc>
          <w:tcPr>
            <w:tcW w:w="66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92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6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Total Investments</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860" w:type="dxa"/>
            <w:vAlign w:val="bottom"/>
            <w:gridSpan w:val="4"/>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$ 2,050,328</w:t>
            </w:r>
          </w:p>
        </w:tc>
        <w:tc>
          <w:tcPr>
            <w:tcW w:w="100" w:type="dxa"/>
            <w:vAlign w:val="bottom"/>
            <w:shd w:val="clear" w:color="auto" w:fill="CFF0FC"/>
          </w:tcPr>
          <w:p>
            <w:pPr>
              <w:spacing w:after="0"/>
              <w:rPr>
                <w:sz w:val="19"/>
                <w:szCs w:val="19"/>
                <w:color w:val="auto"/>
              </w:rPr>
            </w:pPr>
          </w:p>
        </w:tc>
        <w:tc>
          <w:tcPr>
            <w:tcW w:w="960" w:type="dxa"/>
            <w:vAlign w:val="bottom"/>
            <w:tcBorders>
              <w:right w:val="single" w:sz="8" w:color="CFF0FC"/>
            </w:tcBorders>
            <w:gridSpan w:val="4"/>
            <w:shd w:val="clear" w:color="auto" w:fill="CFF0FC"/>
          </w:tcPr>
          <w:p>
            <w:pPr>
              <w:jc w:val="right"/>
              <w:spacing w:after="0"/>
              <w:rPr>
                <w:sz w:val="20"/>
                <w:szCs w:val="20"/>
                <w:color w:val="auto"/>
              </w:rPr>
            </w:pPr>
            <w:r>
              <w:rPr>
                <w:rFonts w:ascii="Arial" w:cs="Arial" w:eastAsia="Arial" w:hAnsi="Arial"/>
                <w:sz w:val="18"/>
                <w:szCs w:val="18"/>
                <w:b w:val="1"/>
                <w:bCs w:val="1"/>
                <w:color w:val="auto"/>
                <w:w w:val="96"/>
              </w:rPr>
              <w:t>$ 2,060,533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ind w:left="340"/>
              <w:spacing w:after="0"/>
              <w:rPr>
                <w:sz w:val="20"/>
                <w:szCs w:val="20"/>
                <w:color w:val="auto"/>
              </w:rPr>
            </w:pPr>
            <w:r>
              <w:rPr>
                <w:rFonts w:ascii="Arial" w:cs="Arial" w:eastAsia="Arial" w:hAnsi="Arial"/>
                <w:sz w:val="18"/>
                <w:szCs w:val="18"/>
                <w:b w:val="1"/>
                <w:bCs w:val="1"/>
                <w:color w:val="auto"/>
                <w:w w:val="88"/>
              </w:rPr>
              <w:t>186.9</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tcBorders>
            <w:gridSpan w:val="3"/>
          </w:tcPr>
          <w:p>
            <w:pPr>
              <w:spacing w:after="0" w:line="20" w:lineRule="exact"/>
              <w:rPr>
                <w:sz w:val="1"/>
                <w:szCs w:val="1"/>
                <w:color w:val="auto"/>
              </w:rPr>
            </w:pPr>
          </w:p>
        </w:tc>
        <w:tc>
          <w:tcPr>
            <w:tcW w:w="820" w:type="dxa"/>
            <w:vAlign w:val="bottom"/>
            <w:tcBorders>
              <w:top w:val="single" w:sz="8" w:color="CFF0FC"/>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gridSpan w:val="9"/>
          </w:tcPr>
          <w:p>
            <w:pPr>
              <w:jc w:val="center"/>
              <w:ind w:right="400"/>
              <w:spacing w:after="0"/>
              <w:rPr>
                <w:sz w:val="20"/>
                <w:szCs w:val="20"/>
                <w:color w:val="auto"/>
              </w:rPr>
            </w:pPr>
            <w:r>
              <w:rPr>
                <w:rFonts w:ascii="Arial" w:cs="Arial" w:eastAsia="Arial" w:hAnsi="Arial"/>
                <w:sz w:val="14"/>
                <w:szCs w:val="14"/>
                <w:b w:val="1"/>
                <w:bCs w:val="1"/>
                <w:color w:val="auto"/>
                <w:w w:val="91"/>
              </w:rPr>
              <w:t>Interest Rate Swaps as of June 30, 2019</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4"/>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3"/>
              </w:rPr>
              <w:t>Company</w:t>
            </w:r>
          </w:p>
        </w:tc>
        <w:tc>
          <w:tcPr>
            <w:tcW w:w="1500" w:type="dxa"/>
            <w:vAlign w:val="bottom"/>
            <w:tcBorders>
              <w:top w:val="single" w:sz="8" w:color="auto"/>
            </w:tcBorders>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3"/>
              </w:rPr>
              <w:t>Company</w:t>
            </w: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center"/>
              <w:ind w:right="93"/>
              <w:spacing w:after="0"/>
              <w:rPr>
                <w:sz w:val="20"/>
                <w:szCs w:val="20"/>
                <w:color w:val="auto"/>
              </w:rPr>
            </w:pPr>
            <w:r>
              <w:rPr>
                <w:rFonts w:ascii="Arial" w:cs="Arial" w:eastAsia="Arial" w:hAnsi="Arial"/>
                <w:sz w:val="14"/>
                <w:szCs w:val="14"/>
                <w:b w:val="1"/>
                <w:bCs w:val="1"/>
                <w:color w:val="auto"/>
                <w:w w:val="96"/>
              </w:rPr>
              <w:t>Notional</w:t>
            </w: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rPr>
              <w:t>Fair</w:t>
            </w: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4"/>
          </w:tcPr>
          <w:p>
            <w:pPr>
              <w:jc w:val="center"/>
              <w:ind w:left="161"/>
              <w:spacing w:after="0" w:line="133" w:lineRule="exact"/>
              <w:rPr>
                <w:sz w:val="20"/>
                <w:szCs w:val="20"/>
                <w:color w:val="auto"/>
              </w:rPr>
            </w:pPr>
            <w:r>
              <w:rPr>
                <w:rFonts w:ascii="Arial" w:cs="Arial" w:eastAsia="Arial" w:hAnsi="Arial"/>
                <w:sz w:val="14"/>
                <w:szCs w:val="14"/>
                <w:b w:val="1"/>
                <w:bCs w:val="1"/>
                <w:color w:val="auto"/>
                <w:w w:val="98"/>
              </w:rPr>
              <w:t>Upfront</w:t>
            </w:r>
          </w:p>
        </w:tc>
        <w:tc>
          <w:tcPr>
            <w:tcW w:w="2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3"/>
          </w:tcPr>
          <w:p>
            <w:pPr>
              <w:jc w:val="center"/>
              <w:ind w:right="70"/>
              <w:spacing w:after="0" w:line="133" w:lineRule="exact"/>
              <w:rPr>
                <w:sz w:val="20"/>
                <w:szCs w:val="20"/>
                <w:color w:val="auto"/>
              </w:rPr>
            </w:pPr>
            <w:r>
              <w:rPr>
                <w:rFonts w:ascii="Arial" w:cs="Arial" w:eastAsia="Arial" w:hAnsi="Arial"/>
                <w:sz w:val="14"/>
                <w:szCs w:val="14"/>
                <w:b w:val="1"/>
                <w:bCs w:val="1"/>
                <w:color w:val="auto"/>
                <w:w w:val="91"/>
              </w:rPr>
              <w:t>Change in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360" w:type="dxa"/>
            <w:vAlign w:val="bottom"/>
            <w:gridSpan w:val="4"/>
            <w:vMerge w:val="restart"/>
          </w:tcPr>
          <w:p>
            <w:pPr>
              <w:jc w:val="right"/>
              <w:ind w:right="390"/>
              <w:spacing w:after="0"/>
              <w:rPr>
                <w:sz w:val="20"/>
                <w:szCs w:val="20"/>
                <w:color w:val="auto"/>
              </w:rPr>
            </w:pPr>
            <w:r>
              <w:rPr>
                <w:rFonts w:ascii="Arial" w:cs="Arial" w:eastAsia="Arial" w:hAnsi="Arial"/>
                <w:sz w:val="14"/>
                <w:szCs w:val="14"/>
                <w:b w:val="1"/>
                <w:bCs w:val="1"/>
                <w:color w:val="auto"/>
                <w:w w:val="96"/>
              </w:rPr>
              <w:t>Maturity Date</w:t>
            </w: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rPr>
              <w:t>Market</w:t>
            </w:r>
          </w:p>
        </w:tc>
        <w:tc>
          <w:tcPr>
            <w:tcW w:w="180" w:type="dxa"/>
            <w:vAlign w:val="bottom"/>
          </w:tcPr>
          <w:p>
            <w:pPr>
              <w:spacing w:after="0"/>
              <w:rPr>
                <w:sz w:val="12"/>
                <w:szCs w:val="12"/>
                <w:color w:val="auto"/>
              </w:rPr>
            </w:pPr>
          </w:p>
        </w:tc>
        <w:tc>
          <w:tcPr>
            <w:tcW w:w="860" w:type="dxa"/>
            <w:vAlign w:val="bottom"/>
            <w:gridSpan w:val="4"/>
          </w:tcPr>
          <w:p>
            <w:pPr>
              <w:jc w:val="center"/>
              <w:ind w:left="141"/>
              <w:spacing w:after="0" w:line="149" w:lineRule="exact"/>
              <w:rPr>
                <w:sz w:val="20"/>
                <w:szCs w:val="20"/>
                <w:color w:val="auto"/>
              </w:rPr>
            </w:pPr>
            <w:r>
              <w:rPr>
                <w:rFonts w:ascii="Arial" w:cs="Arial" w:eastAsia="Arial" w:hAnsi="Arial"/>
                <w:sz w:val="14"/>
                <w:szCs w:val="14"/>
                <w:b w:val="1"/>
                <w:bCs w:val="1"/>
                <w:color w:val="auto"/>
                <w:w w:val="90"/>
              </w:rPr>
              <w:t>Payments</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5"/>
              </w:rPr>
              <w:t>Receives</w:t>
            </w:r>
          </w:p>
        </w:tc>
        <w:tc>
          <w:tcPr>
            <w:tcW w:w="15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5"/>
              </w:rPr>
              <w:t>Pays</w:t>
            </w:r>
          </w:p>
        </w:tc>
        <w:tc>
          <w:tcPr>
            <w:tcW w:w="1360" w:type="dxa"/>
            <w:vAlign w:val="bottom"/>
            <w:gridSpan w:val="4"/>
            <w:vMerge w:val="continue"/>
          </w:tcPr>
          <w:p>
            <w:pPr>
              <w:spacing w:after="0"/>
              <w:rPr>
                <w:sz w:val="14"/>
                <w:szCs w:val="14"/>
                <w:color w:val="auto"/>
              </w:rPr>
            </w:pPr>
          </w:p>
        </w:tc>
        <w:tc>
          <w:tcPr>
            <w:tcW w:w="920" w:type="dxa"/>
            <w:vAlign w:val="bottom"/>
          </w:tcPr>
          <w:p>
            <w:pPr>
              <w:jc w:val="center"/>
              <w:ind w:right="93"/>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4"/>
                <w:szCs w:val="14"/>
                <w:color w:val="auto"/>
              </w:rPr>
            </w:pPr>
          </w:p>
        </w:tc>
        <w:tc>
          <w:tcPr>
            <w:tcW w:w="860" w:type="dxa"/>
            <w:vAlign w:val="bottom"/>
            <w:gridSpan w:val="4"/>
          </w:tcPr>
          <w:p>
            <w:pPr>
              <w:jc w:val="center"/>
              <w:ind w:left="141"/>
              <w:spacing w:after="0"/>
              <w:rPr>
                <w:sz w:val="20"/>
                <w:szCs w:val="20"/>
                <w:color w:val="auto"/>
              </w:rPr>
            </w:pPr>
            <w:r>
              <w:rPr>
                <w:rFonts w:ascii="Arial" w:cs="Arial" w:eastAsia="Arial" w:hAnsi="Arial"/>
                <w:sz w:val="14"/>
                <w:szCs w:val="14"/>
                <w:b w:val="1"/>
                <w:bCs w:val="1"/>
                <w:color w:val="auto"/>
                <w:w w:val="90"/>
              </w:rPr>
              <w:t>/ Receipts</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Gains / (Losses)</w:t>
            </w:r>
          </w:p>
        </w:tc>
        <w:tc>
          <w:tcPr>
            <w:tcW w:w="0" w:type="dxa"/>
            <w:vAlign w:val="bottom"/>
          </w:tcPr>
          <w:p>
            <w:pPr>
              <w:spacing w:after="0"/>
              <w:rPr>
                <w:sz w:val="1"/>
                <w:szCs w:val="1"/>
                <w:color w:val="auto"/>
              </w:rPr>
            </w:pPr>
          </w:p>
        </w:tc>
      </w:tr>
      <w:tr>
        <w:trPr>
          <w:trHeight w:val="223"/>
        </w:trPr>
        <w:tc>
          <w:tcPr>
            <w:tcW w:w="2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2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gridSpan w:val="2"/>
            <w:shd w:val="clear" w:color="auto" w:fill="CFF0FC"/>
          </w:tcPr>
          <w:p>
            <w:pPr>
              <w:jc w:val="center"/>
              <w:ind w:right="151"/>
              <w:spacing w:after="0"/>
              <w:rPr>
                <w:sz w:val="20"/>
                <w:szCs w:val="20"/>
                <w:color w:val="auto"/>
              </w:rPr>
            </w:pPr>
            <w:r>
              <w:rPr>
                <w:rFonts w:ascii="Arial" w:cs="Arial" w:eastAsia="Arial" w:hAnsi="Arial"/>
                <w:sz w:val="18"/>
                <w:szCs w:val="18"/>
                <w:color w:val="auto"/>
                <w:w w:val="93"/>
              </w:rPr>
              <w:t>4.50%</w:t>
            </w: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L + 2.86%</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12/15/2019</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61"/>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5"/>
                <w:szCs w:val="5"/>
                <w:color w:val="auto"/>
                <w:w w:val="70"/>
              </w:rPr>
              <w:t>$</w:t>
            </w:r>
          </w:p>
        </w:tc>
        <w:tc>
          <w:tcPr>
            <w:tcW w:w="9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gridSpan w:val="2"/>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220" w:type="dxa"/>
            <w:vAlign w:val="bottom"/>
          </w:tcPr>
          <w:p>
            <w:pPr>
              <w:spacing w:after="0"/>
              <w:rPr>
                <w:sz w:val="19"/>
                <w:szCs w:val="19"/>
                <w:color w:val="auto"/>
              </w:rPr>
            </w:pPr>
          </w:p>
        </w:tc>
        <w:tc>
          <w:tcPr>
            <w:tcW w:w="900" w:type="dxa"/>
            <w:vAlign w:val="bottom"/>
            <w:gridSpan w:val="2"/>
          </w:tcPr>
          <w:p>
            <w:pPr>
              <w:jc w:val="center"/>
              <w:ind w:right="700"/>
              <w:spacing w:after="0"/>
              <w:rPr>
                <w:sz w:val="20"/>
                <w:szCs w:val="20"/>
                <w:color w:val="auto"/>
              </w:rPr>
            </w:pPr>
            <w:r>
              <w:rPr>
                <w:rFonts w:ascii="Arial" w:cs="Arial" w:eastAsia="Arial" w:hAnsi="Arial"/>
                <w:sz w:val="18"/>
                <w:szCs w:val="18"/>
                <w:color w:val="auto"/>
              </w:rPr>
              <w:t>L</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1.72%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1/10/2020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4"/>
          </w:tcPr>
          <w:p>
            <w:pPr>
              <w:ind w:left="62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0"/>
        </w:trPr>
        <w:tc>
          <w:tcPr>
            <w:tcW w:w="2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center"/>
              <w:ind w:right="700"/>
              <w:spacing w:after="0"/>
              <w:rPr>
                <w:sz w:val="20"/>
                <w:szCs w:val="20"/>
                <w:color w:val="auto"/>
              </w:rPr>
            </w:pPr>
            <w:r>
              <w:rPr>
                <w:rFonts w:ascii="Arial" w:cs="Arial" w:eastAsia="Arial" w:hAnsi="Arial"/>
                <w:sz w:val="18"/>
                <w:szCs w:val="18"/>
                <w:color w:val="auto"/>
              </w:rPr>
              <w:t>L</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1.97%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6/25/2020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3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360" w:type="dxa"/>
            <w:vAlign w:val="bottom"/>
            <w:gridSpan w:val="2"/>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880" w:type="dxa"/>
            <w:vAlign w:val="bottom"/>
            <w:gridSpan w:val="2"/>
          </w:tcPr>
          <w:p>
            <w:pPr>
              <w:jc w:val="center"/>
              <w:ind w:right="151"/>
              <w:spacing w:after="0"/>
              <w:rPr>
                <w:sz w:val="20"/>
                <w:szCs w:val="20"/>
                <w:color w:val="auto"/>
              </w:rPr>
            </w:pPr>
            <w:r>
              <w:rPr>
                <w:rFonts w:ascii="Arial" w:cs="Arial" w:eastAsia="Arial" w:hAnsi="Arial"/>
                <w:sz w:val="18"/>
                <w:szCs w:val="18"/>
                <w:color w:val="auto"/>
                <w:w w:val="93"/>
              </w:rPr>
              <w:t>4.50%</w:t>
            </w:r>
          </w:p>
        </w:tc>
        <w:tc>
          <w:tcPr>
            <w:tcW w:w="240" w:type="dxa"/>
            <w:vAlign w:val="bottom"/>
          </w:tcPr>
          <w:p>
            <w:pPr>
              <w:spacing w:after="0"/>
              <w:rPr>
                <w:sz w:val="19"/>
                <w:szCs w:val="19"/>
                <w:color w:val="auto"/>
              </w:rPr>
            </w:pPr>
          </w:p>
        </w:tc>
        <w:tc>
          <w:tcPr>
            <w:tcW w:w="1500" w:type="dxa"/>
            <w:vAlign w:val="bottom"/>
            <w:gridSpan w:val="3"/>
          </w:tcPr>
          <w:p>
            <w:pPr>
              <w:jc w:val="center"/>
              <w:ind w:right="420"/>
              <w:spacing w:after="0"/>
              <w:rPr>
                <w:sz w:val="20"/>
                <w:szCs w:val="20"/>
                <w:color w:val="auto"/>
              </w:rPr>
            </w:pPr>
            <w:r>
              <w:rPr>
                <w:rFonts w:ascii="Arial" w:cs="Arial" w:eastAsia="Arial" w:hAnsi="Arial"/>
                <w:sz w:val="18"/>
                <w:szCs w:val="18"/>
                <w:color w:val="auto"/>
                <w:w w:val="93"/>
              </w:rPr>
              <w:t>L + 2.37%</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1,226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880" w:type="dxa"/>
            <w:vAlign w:val="bottom"/>
            <w:gridSpan w:val="2"/>
            <w:shd w:val="clear" w:color="auto" w:fill="CFF0FC"/>
          </w:tcPr>
          <w:p>
            <w:pPr>
              <w:jc w:val="center"/>
              <w:ind w:right="151"/>
              <w:spacing w:after="0"/>
              <w:rPr>
                <w:sz w:val="20"/>
                <w:szCs w:val="20"/>
                <w:color w:val="auto"/>
              </w:rPr>
            </w:pPr>
            <w:r>
              <w:rPr>
                <w:rFonts w:ascii="Arial" w:cs="Arial" w:eastAsia="Arial" w:hAnsi="Arial"/>
                <w:sz w:val="18"/>
                <w:szCs w:val="18"/>
                <w:color w:val="auto"/>
                <w:w w:val="93"/>
              </w:rPr>
              <w:t>4.50%</w:t>
            </w:r>
          </w:p>
        </w:tc>
        <w:tc>
          <w:tcPr>
            <w:tcW w:w="24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center"/>
              <w:ind w:right="420"/>
              <w:spacing w:after="0"/>
              <w:rPr>
                <w:sz w:val="20"/>
                <w:szCs w:val="20"/>
                <w:color w:val="auto"/>
              </w:rPr>
            </w:pPr>
            <w:r>
              <w:rPr>
                <w:rFonts w:ascii="Arial" w:cs="Arial" w:eastAsia="Arial" w:hAnsi="Arial"/>
                <w:sz w:val="18"/>
                <w:szCs w:val="18"/>
                <w:color w:val="auto"/>
                <w:w w:val="93"/>
              </w:rPr>
              <w:t>L + 1.59%</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1,724</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3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gridSpan w:val="2"/>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880" w:type="dxa"/>
            <w:vAlign w:val="bottom"/>
            <w:gridSpan w:val="2"/>
          </w:tcPr>
          <w:p>
            <w:pPr>
              <w:jc w:val="center"/>
              <w:ind w:right="151"/>
              <w:spacing w:after="0"/>
              <w:rPr>
                <w:sz w:val="20"/>
                <w:szCs w:val="20"/>
                <w:color w:val="auto"/>
              </w:rPr>
            </w:pPr>
            <w:r>
              <w:rPr>
                <w:rFonts w:ascii="Arial" w:cs="Arial" w:eastAsia="Arial" w:hAnsi="Arial"/>
                <w:sz w:val="18"/>
                <w:szCs w:val="18"/>
                <w:color w:val="auto"/>
                <w:w w:val="93"/>
              </w:rPr>
              <w:t>4.50%</w:t>
            </w:r>
          </w:p>
        </w:tc>
        <w:tc>
          <w:tcPr>
            <w:tcW w:w="240" w:type="dxa"/>
            <w:vAlign w:val="bottom"/>
          </w:tcPr>
          <w:p>
            <w:pPr>
              <w:spacing w:after="0"/>
              <w:rPr>
                <w:sz w:val="19"/>
                <w:szCs w:val="19"/>
                <w:color w:val="auto"/>
              </w:rPr>
            </w:pPr>
          </w:p>
        </w:tc>
        <w:tc>
          <w:tcPr>
            <w:tcW w:w="1500" w:type="dxa"/>
            <w:vAlign w:val="bottom"/>
            <w:gridSpan w:val="3"/>
          </w:tcPr>
          <w:p>
            <w:pPr>
              <w:jc w:val="center"/>
              <w:ind w:right="420"/>
              <w:spacing w:after="0"/>
              <w:rPr>
                <w:sz w:val="20"/>
                <w:szCs w:val="20"/>
                <w:color w:val="auto"/>
              </w:rPr>
            </w:pPr>
            <w:r>
              <w:rPr>
                <w:rFonts w:ascii="Arial" w:cs="Arial" w:eastAsia="Arial" w:hAnsi="Arial"/>
                <w:sz w:val="18"/>
                <w:szCs w:val="18"/>
                <w:color w:val="auto"/>
                <w:w w:val="93"/>
              </w:rPr>
              <w:t>L + 1.60%</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880" w:type="dxa"/>
            <w:vAlign w:val="bottom"/>
            <w:gridSpan w:val="2"/>
            <w:shd w:val="clear" w:color="auto" w:fill="CFF0FC"/>
          </w:tcPr>
          <w:p>
            <w:pPr>
              <w:jc w:val="center"/>
              <w:ind w:right="151"/>
              <w:spacing w:after="0"/>
              <w:rPr>
                <w:sz w:val="20"/>
                <w:szCs w:val="20"/>
                <w:color w:val="auto"/>
              </w:rPr>
            </w:pPr>
            <w:r>
              <w:rPr>
                <w:rFonts w:ascii="Arial" w:cs="Arial" w:eastAsia="Arial" w:hAnsi="Arial"/>
                <w:sz w:val="18"/>
                <w:szCs w:val="18"/>
                <w:color w:val="auto"/>
                <w:w w:val="93"/>
              </w:rPr>
              <w:t>4.50%</w:t>
            </w:r>
          </w:p>
        </w:tc>
        <w:tc>
          <w:tcPr>
            <w:tcW w:w="24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center"/>
              <w:ind w:right="420"/>
              <w:spacing w:after="0"/>
              <w:rPr>
                <w:sz w:val="20"/>
                <w:szCs w:val="20"/>
                <w:color w:val="auto"/>
              </w:rPr>
            </w:pPr>
            <w:r>
              <w:rPr>
                <w:rFonts w:ascii="Arial" w:cs="Arial" w:eastAsia="Arial" w:hAnsi="Arial"/>
                <w:sz w:val="18"/>
                <w:szCs w:val="18"/>
                <w:color w:val="auto"/>
                <w:w w:val="93"/>
              </w:rPr>
              <w:t>L + 1.99%</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1/22/2023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3,832</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3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4,370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60" w:type="dxa"/>
            <w:vAlign w:val="bottom"/>
            <w:gridSpan w:val="2"/>
          </w:tcPr>
          <w:p>
            <w:pPr>
              <w:spacing w:after="0"/>
              <w:rPr>
                <w:sz w:val="20"/>
                <w:szCs w:val="20"/>
                <w:color w:val="auto"/>
              </w:rPr>
            </w:pPr>
            <w:r>
              <w:rPr>
                <w:rFonts w:ascii="Arial" w:cs="Arial" w:eastAsia="Arial" w:hAnsi="Arial"/>
                <w:sz w:val="18"/>
                <w:szCs w:val="18"/>
                <w:color w:val="auto"/>
              </w:rPr>
              <w:t>Cash collateral</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(3,457)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36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562,333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3,323</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61"/>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5"/>
                <w:szCs w:val="5"/>
                <w:color w:val="auto"/>
                <w:w w:val="70"/>
              </w:rPr>
              <w:t>$</w:t>
            </w:r>
          </w:p>
        </w:tc>
        <w:tc>
          <w:tcPr>
            <w:tcW w:w="9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9,443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Contract terms are shown net of Company receiving 6.65% and paying 8.38%.</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0" w:name="page11"/>
    <w:bookmarkEnd w:id="10"/>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20" w:right="180" w:hanging="512"/>
        <w:spacing w:after="0" w:line="250"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20" w:right="20" w:hanging="512"/>
        <w:spacing w:after="0" w:line="250"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Euro Interbank Offer Rate (“Euribor” or “E”) (which can include one-, two-, three- or six-month Euribor), Canadian Dollar Offered Rate (“CDOR” or “C”), Bank Bill Swap Bid Rate (“BBSY” or “B”)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June 30, 2019.</w:t>
      </w:r>
    </w:p>
    <w:p>
      <w:pPr>
        <w:spacing w:after="0" w:line="2" w:lineRule="exact"/>
        <w:rPr>
          <w:rFonts w:ascii="Arial" w:cs="Arial" w:eastAsia="Arial" w:hAnsi="Arial"/>
          <w:sz w:val="18"/>
          <w:szCs w:val="18"/>
          <w:color w:val="auto"/>
        </w:rPr>
      </w:pPr>
    </w:p>
    <w:p>
      <w:pPr>
        <w:jc w:val="both"/>
        <w:ind w:left="520" w:right="40" w:hanging="512"/>
        <w:spacing w:after="0" w:line="250"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16.6% of total assets as of June 30, 2019.</w:t>
      </w:r>
    </w:p>
    <w:p>
      <w:pPr>
        <w:spacing w:after="0" w:line="1" w:lineRule="exact"/>
        <w:rPr>
          <w:rFonts w:ascii="Arial" w:cs="Arial" w:eastAsia="Arial" w:hAnsi="Arial"/>
          <w:sz w:val="18"/>
          <w:szCs w:val="18"/>
          <w:color w:val="auto"/>
        </w:rPr>
      </w:pPr>
    </w:p>
    <w:p>
      <w:pPr>
        <w:ind w:left="520" w:right="20" w:hanging="512"/>
        <w:spacing w:after="0" w:line="250"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1" w:lineRule="exact"/>
        <w:rPr>
          <w:rFonts w:ascii="Arial" w:cs="Arial" w:eastAsia="Arial" w:hAnsi="Arial"/>
          <w:sz w:val="18"/>
          <w:szCs w:val="18"/>
          <w:color w:val="auto"/>
        </w:rPr>
      </w:pPr>
    </w:p>
    <w:p>
      <w:pPr>
        <w:ind w:left="520" w:right="20" w:hanging="512"/>
        <w:spacing w:after="0" w:line="255" w:lineRule="auto"/>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the 1940 Act, the Company is deemed to be an “Affiliated Person” of, as defined in the 1940 Act, this portfolio company, as the Company owns more than 5% of the portfolio company’s outstanding voting securities. Transactions during the six months ended June 30, 2019 in which the Company was an Affiliated Person of the portfolio company are as follows: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Non-controlled, Affiliated Investments during the six months ended June 30, 2019</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79"/>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Net Change</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60"/>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3"/>
              </w:rPr>
              <w:t>Value at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8"/>
              </w:rPr>
              <w:t>Gross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4"/>
              </w:rPr>
              <w:t>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Value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32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Company</w:t>
            </w:r>
          </w:p>
        </w:tc>
        <w:tc>
          <w:tcPr>
            <w:tcW w:w="940" w:type="dxa"/>
            <w:vAlign w:val="bottom"/>
            <w:gridSpan w:val="3"/>
          </w:tcPr>
          <w:p>
            <w:pPr>
              <w:jc w:val="center"/>
              <w:ind w:left="2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In Unrealized</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Transfers</w:t>
            </w:r>
          </w:p>
        </w:tc>
        <w:tc>
          <w:tcPr>
            <w:tcW w:w="120" w:type="dxa"/>
            <w:vAlign w:val="bottom"/>
          </w:tcPr>
          <w:p>
            <w:pPr>
              <w:spacing w:after="0"/>
              <w:rPr>
                <w:sz w:val="12"/>
                <w:szCs w:val="12"/>
                <w:color w:val="auto"/>
              </w:rPr>
            </w:pPr>
          </w:p>
        </w:tc>
        <w:tc>
          <w:tcPr>
            <w:tcW w:w="6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2018</w:t>
            </w: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Additions (a)</w:t>
            </w:r>
          </w:p>
        </w:tc>
        <w:tc>
          <w:tcPr>
            <w:tcW w:w="1260" w:type="dxa"/>
            <w:vAlign w:val="bottom"/>
            <w:gridSpan w:val="4"/>
          </w:tcPr>
          <w:p>
            <w:pPr>
              <w:ind w:left="220"/>
              <w:spacing w:after="0"/>
              <w:rPr>
                <w:sz w:val="20"/>
                <w:szCs w:val="20"/>
                <w:color w:val="auto"/>
              </w:rPr>
            </w:pPr>
            <w:r>
              <w:rPr>
                <w:rFonts w:ascii="Arial" w:cs="Arial" w:eastAsia="Arial" w:hAnsi="Arial"/>
                <w:sz w:val="14"/>
                <w:szCs w:val="14"/>
                <w:b w:val="1"/>
                <w:bCs w:val="1"/>
                <w:color w:val="auto"/>
              </w:rPr>
              <w:t>Reductions (b)</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Gain/(Loss)</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Gain/(Losses)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60"/>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4"/>
                <w:szCs w:val="14"/>
                <w:color w:val="auto"/>
              </w:rPr>
            </w:pPr>
          </w:p>
        </w:tc>
        <w:tc>
          <w:tcPr>
            <w:tcW w:w="8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Income</w:t>
            </w: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45,342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4,776</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w w:val="80"/>
              </w:rPr>
              <w:t>(588)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49,918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2,599</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Validity, Inc.</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38,590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(39,993)</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1,163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83,932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6,265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FF0FC"/>
          </w:tcPr>
          <w:p>
            <w:pPr>
              <w:ind w:left="380"/>
              <w:spacing w:after="0"/>
              <w:rPr>
                <w:sz w:val="20"/>
                <w:szCs w:val="20"/>
                <w:color w:val="auto"/>
              </w:rPr>
            </w:pPr>
            <w:r>
              <w:rPr>
                <w:rFonts w:ascii="Arial" w:cs="Arial" w:eastAsia="Arial" w:hAnsi="Arial"/>
                <w:sz w:val="18"/>
                <w:szCs w:val="18"/>
                <w:b w:val="1"/>
                <w:bCs w:val="1"/>
                <w:color w:val="auto"/>
                <w:w w:val="80"/>
              </w:rPr>
              <w:t>(822)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(39,993</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49,918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3,762</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1040" w:right="260" w:hanging="519"/>
        <w:spacing w:after="0" w:line="258"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40" w:right="160" w:hanging="519"/>
        <w:spacing w:after="0" w:line="255" w:lineRule="auto"/>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82" w:lineRule="exact"/>
        <w:rPr>
          <w:rFonts w:ascii="Arial" w:cs="Arial" w:eastAsia="Arial" w:hAnsi="Arial"/>
          <w:sz w:val="18"/>
          <w:szCs w:val="18"/>
          <w:color w:val="auto"/>
        </w:rPr>
      </w:pPr>
    </w:p>
    <w:p>
      <w:pPr>
        <w:ind w:left="520" w:right="60" w:hanging="512"/>
        <w:spacing w:after="0" w:line="279" w:lineRule="auto"/>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six months ended June 30, 2019 in which the Company was an Affiliated Person of and was deemed to Control a portfolio company are as follows: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six months ended June 30, 2019</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79"/>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Net Change</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60"/>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3"/>
              </w:rPr>
              <w:t>Value at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8"/>
              </w:rPr>
              <w:t>Gross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4"/>
              </w:rPr>
              <w:t>Realized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Value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32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Company</w:t>
            </w:r>
          </w:p>
        </w:tc>
        <w:tc>
          <w:tcPr>
            <w:tcW w:w="940" w:type="dxa"/>
            <w:vAlign w:val="bottom"/>
            <w:gridSpan w:val="3"/>
          </w:tcPr>
          <w:p>
            <w:pPr>
              <w:jc w:val="center"/>
              <w:ind w:left="2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In Unrealized</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Transfers</w:t>
            </w:r>
          </w:p>
        </w:tc>
        <w:tc>
          <w:tcPr>
            <w:tcW w:w="120" w:type="dxa"/>
            <w:vAlign w:val="bottom"/>
          </w:tcPr>
          <w:p>
            <w:pPr>
              <w:spacing w:after="0"/>
              <w:rPr>
                <w:sz w:val="12"/>
                <w:szCs w:val="12"/>
                <w:color w:val="auto"/>
              </w:rPr>
            </w:pPr>
          </w:p>
        </w:tc>
        <w:tc>
          <w:tcPr>
            <w:tcW w:w="6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2018</w:t>
            </w:r>
          </w:p>
        </w:tc>
        <w:tc>
          <w:tcPr>
            <w:tcW w:w="1020" w:type="dxa"/>
            <w:vAlign w:val="bottom"/>
            <w:gridSpan w:val="3"/>
          </w:tcPr>
          <w:p>
            <w:pPr>
              <w:ind w:left="220"/>
              <w:spacing w:after="0"/>
              <w:rPr>
                <w:sz w:val="20"/>
                <w:szCs w:val="20"/>
                <w:color w:val="auto"/>
              </w:rPr>
            </w:pPr>
            <w:r>
              <w:rPr>
                <w:rFonts w:ascii="Arial" w:cs="Arial" w:eastAsia="Arial" w:hAnsi="Arial"/>
                <w:sz w:val="14"/>
                <w:szCs w:val="14"/>
                <w:b w:val="1"/>
                <w:bCs w:val="1"/>
                <w:color w:val="auto"/>
                <w:w w:val="91"/>
              </w:rPr>
              <w:t>Additions (a)</w:t>
            </w:r>
          </w:p>
        </w:tc>
        <w:tc>
          <w:tcPr>
            <w:tcW w:w="1140" w:type="dxa"/>
            <w:vAlign w:val="bottom"/>
            <w:gridSpan w:val="3"/>
          </w:tcPr>
          <w:p>
            <w:pPr>
              <w:ind w:left="220"/>
              <w:spacing w:after="0"/>
              <w:rPr>
                <w:sz w:val="20"/>
                <w:szCs w:val="20"/>
                <w:color w:val="auto"/>
              </w:rPr>
            </w:pPr>
            <w:r>
              <w:rPr>
                <w:rFonts w:ascii="Arial" w:cs="Arial" w:eastAsia="Arial" w:hAnsi="Arial"/>
                <w:sz w:val="14"/>
                <w:szCs w:val="14"/>
                <w:b w:val="1"/>
                <w:bCs w:val="1"/>
                <w:color w:val="auto"/>
                <w:w w:val="91"/>
              </w:rPr>
              <w:t>Reductions (b)</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Gain/(Loss)</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Gain/(Losses)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60"/>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4"/>
                <w:szCs w:val="14"/>
                <w:color w:val="auto"/>
              </w:rPr>
            </w:pPr>
          </w:p>
        </w:tc>
        <w:tc>
          <w:tcPr>
            <w:tcW w:w="8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Income</w:t>
            </w: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IRGSE Holding Corp.</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34,527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2,564</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w w:val="80"/>
              </w:rPr>
              <w:t>(2,044)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35,047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1,911</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20" w:type="dxa"/>
            <w:vAlign w:val="bottom"/>
          </w:tcPr>
          <w:p>
            <w:pPr>
              <w:spacing w:after="0"/>
              <w:rPr>
                <w:sz w:val="20"/>
                <w:szCs w:val="20"/>
                <w:color w:val="auto"/>
              </w:rPr>
            </w:pPr>
            <w:r>
              <w:rPr>
                <w:rFonts w:ascii="Arial" w:cs="Arial" w:eastAsia="Arial" w:hAnsi="Arial"/>
                <w:sz w:val="18"/>
                <w:szCs w:val="18"/>
                <w:color w:val="auto"/>
              </w:rPr>
              <w:t>Mississippi Resources,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140"/>
              <w:spacing w:after="0"/>
              <w:rPr>
                <w:sz w:val="20"/>
                <w:szCs w:val="20"/>
                <w:color w:val="auto"/>
              </w:rPr>
            </w:pPr>
            <w:r>
              <w:rPr>
                <w:rFonts w:ascii="Arial" w:cs="Arial" w:eastAsia="Arial" w:hAnsi="Arial"/>
                <w:sz w:val="18"/>
                <w:szCs w:val="18"/>
                <w:color w:val="auto"/>
              </w:rPr>
              <w:t>LLC</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21,978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rPr>
              <w:t>(5,922)</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16,446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1,009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56,505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2,954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FF0FC"/>
          </w:tcPr>
          <w:p>
            <w:pPr>
              <w:ind w:left="54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FF0FC"/>
          </w:tcPr>
          <w:p>
            <w:pPr>
              <w:ind w:left="380"/>
              <w:spacing w:after="0"/>
              <w:rPr>
                <w:sz w:val="20"/>
                <w:szCs w:val="20"/>
                <w:color w:val="auto"/>
              </w:rPr>
            </w:pPr>
            <w:r>
              <w:rPr>
                <w:rFonts w:ascii="Arial" w:cs="Arial" w:eastAsia="Arial" w:hAnsi="Arial"/>
                <w:sz w:val="18"/>
                <w:szCs w:val="18"/>
                <w:b w:val="1"/>
                <w:bCs w:val="1"/>
                <w:color w:val="auto"/>
                <w:w w:val="80"/>
              </w:rPr>
              <w:t>(7,966)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FF0FC"/>
          </w:tcPr>
          <w:p>
            <w:pPr>
              <w:ind w:left="520"/>
              <w:spacing w:after="0"/>
              <w:rPr>
                <w:sz w:val="20"/>
                <w:szCs w:val="20"/>
                <w:color w:val="auto"/>
              </w:rPr>
            </w:pPr>
            <w:r>
              <w:rPr>
                <w:rFonts w:ascii="Arial" w:cs="Arial" w:eastAsia="Arial" w:hAnsi="Arial"/>
                <w:sz w:val="18"/>
                <w:szCs w:val="18"/>
                <w:b w:val="1"/>
                <w:bCs w:val="1"/>
                <w:color w:val="auto"/>
                <w:w w:val="88"/>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51,493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2,920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40" w:right="260" w:hanging="519"/>
        <w:spacing w:after="0" w:line="258"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40" w:right="360" w:hanging="519"/>
        <w:spacing w:after="0" w:line="261"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 w:name="page12"/>
    <w:bookmarkEnd w:id="11"/>
    <w:p>
      <w:pPr>
        <w:ind w:left="1032"/>
        <w:spacing w:after="0"/>
        <w:rPr>
          <w:sz w:val="20"/>
          <w:szCs w:val="20"/>
          <w:color w:val="auto"/>
        </w:rPr>
      </w:pPr>
      <w:r>
        <w:rPr>
          <w:rFonts w:ascii="Arial" w:cs="Arial" w:eastAsia="Arial" w:hAnsi="Arial"/>
          <w:sz w:val="16"/>
          <w:szCs w:val="16"/>
          <w:color w:val="auto"/>
        </w:rPr>
        <w:t>investment is placed on non-accrual status, any cash flows received by the Company may be applied to the outstanding principal balance.</w:t>
      </w:r>
    </w:p>
    <w:p>
      <w:pPr>
        <w:spacing w:after="0" w:line="140" w:lineRule="exact"/>
        <w:rPr>
          <w:sz w:val="20"/>
          <w:szCs w:val="20"/>
          <w:color w:val="auto"/>
        </w:rPr>
      </w:pPr>
    </w:p>
    <w:p>
      <w:pPr>
        <w:ind w:left="512" w:right="320" w:hanging="512"/>
        <w:spacing w:after="0" w:line="258" w:lineRule="auto"/>
        <w:tabs>
          <w:tab w:leader="none" w:pos="512"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June 30, 2019, the estimated cost basis of investments for U.S. federal tax purposes was $2,044,764, resulting in estimated gross unrealized gains and losses of $108,808 and $93,922, respectively.</w:t>
      </w:r>
    </w:p>
    <w:p>
      <w:pPr>
        <w:spacing w:after="0" w:line="1" w:lineRule="exact"/>
        <w:rPr>
          <w:rFonts w:ascii="Arial" w:cs="Arial" w:eastAsia="Arial" w:hAnsi="Arial"/>
          <w:sz w:val="18"/>
          <w:szCs w:val="18"/>
          <w:color w:val="auto"/>
        </w:rPr>
      </w:pPr>
    </w:p>
    <w:p>
      <w:pPr>
        <w:ind w:left="512" w:hanging="512"/>
        <w:spacing w:after="0" w:line="250" w:lineRule="auto"/>
        <w:tabs>
          <w:tab w:leader="none" w:pos="51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512" w:right="40" w:hanging="512"/>
        <w:spacing w:after="0" w:line="250" w:lineRule="auto"/>
        <w:tabs>
          <w:tab w:leader="none" w:pos="512"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Arial" w:cs="Arial" w:eastAsia="Arial" w:hAnsi="Arial"/>
          <w:sz w:val="18"/>
          <w:szCs w:val="18"/>
          <w:color w:val="auto"/>
        </w:rPr>
      </w:pPr>
    </w:p>
    <w:p>
      <w:pPr>
        <w:ind w:left="512" w:hanging="512"/>
        <w:spacing w:after="0" w:line="250" w:lineRule="auto"/>
        <w:tabs>
          <w:tab w:leader="none" w:pos="51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512" w:hanging="512"/>
        <w:spacing w:after="0" w:line="250" w:lineRule="auto"/>
        <w:tabs>
          <w:tab w:leader="none" w:pos="51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ind w:left="512" w:hanging="512"/>
        <w:spacing w:after="0"/>
        <w:tabs>
          <w:tab w:leader="none" w:pos="51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equity investment is non-income producing.</w:t>
      </w:r>
    </w:p>
    <w:p>
      <w:pPr>
        <w:spacing w:after="0" w:line="9" w:lineRule="exact"/>
        <w:rPr>
          <w:rFonts w:ascii="Arial" w:cs="Arial" w:eastAsia="Arial" w:hAnsi="Arial"/>
          <w:sz w:val="18"/>
          <w:szCs w:val="18"/>
          <w:color w:val="auto"/>
        </w:rPr>
      </w:pPr>
    </w:p>
    <w:p>
      <w:pPr>
        <w:ind w:left="512" w:right="60" w:hanging="512"/>
        <w:spacing w:after="0" w:line="265" w:lineRule="auto"/>
        <w:tabs>
          <w:tab w:leader="none" w:pos="512" w:val="left"/>
        </w:tabs>
        <w:numPr>
          <w:ilvl w:val="0"/>
          <w:numId w:val="9"/>
        </w:numPr>
        <w:rPr>
          <w:rFonts w:ascii="Arial" w:cs="Arial" w:eastAsia="Arial" w:hAnsi="Arial"/>
          <w:sz w:val="17"/>
          <w:szCs w:val="17"/>
          <w:color w:val="auto"/>
        </w:rPr>
      </w:pPr>
      <w:r>
        <w:rPr>
          <w:rFonts w:ascii="Arial" w:cs="Arial" w:eastAsia="Arial" w:hAnsi="Arial"/>
          <w:sz w:val="17"/>
          <w:szCs w:val="17"/>
          <w:color w:val="auto"/>
        </w:rPr>
        <w:t>Security acquired in transaction exempt from registration under the Securities Act of 1933, and may be deemed to be “restricted securities” under the Securities Act. As of June 30, 2019, the aggregate fair value of these securities is $10,542, or 1.0% of the Company’s net assets.</w:t>
      </w:r>
    </w:p>
    <w:p>
      <w:pPr>
        <w:ind w:left="512" w:hanging="512"/>
        <w:spacing w:after="0"/>
        <w:tabs>
          <w:tab w:leader="none" w:pos="512" w:val="left"/>
        </w:tabs>
        <w:numPr>
          <w:ilvl w:val="0"/>
          <w:numId w:val="9"/>
        </w:numPr>
        <w:rPr>
          <w:rFonts w:ascii="Arial" w:cs="Arial" w:eastAsia="Arial" w:hAnsi="Arial"/>
          <w:sz w:val="18"/>
          <w:szCs w:val="18"/>
          <w:color w:val="auto"/>
        </w:rPr>
      </w:pPr>
      <w:r>
        <w:rPr>
          <w:rFonts w:ascii="Arial" w:cs="Arial" w:eastAsia="Arial" w:hAnsi="Arial"/>
          <w:sz w:val="18"/>
          <w:szCs w:val="18"/>
          <w:color w:val="auto"/>
        </w:rPr>
        <w:t>Ownership of equity investments may occur through a holding company or partnership.</w:t>
      </w:r>
    </w:p>
    <w:p>
      <w:pPr>
        <w:spacing w:after="0" w:line="211"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12"/>
          </w:cols>
          <w:pgMar w:left="248" w:top="341" w:right="3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Schedule of Investments as of December 31, 2018</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Initial</w:t>
            </w: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Reference</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3"/>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Acquisition</w:t>
            </w: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Rate and</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0"/>
              </w:rPr>
              <w:t>Amortized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Fair Value</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Percentage</w:t>
            </w:r>
          </w:p>
        </w:tc>
        <w:tc>
          <w:tcPr>
            <w:tcW w:w="20" w:type="dxa"/>
            <w:vAlign w:val="bottom"/>
          </w:tcPr>
          <w:p>
            <w:pPr>
              <w:spacing w:after="0"/>
              <w:rPr>
                <w:sz w:val="20"/>
                <w:szCs w:val="20"/>
                <w:color w:val="auto"/>
              </w:rPr>
            </w:pPr>
          </w:p>
        </w:tc>
      </w:tr>
      <w:tr>
        <w:trPr>
          <w:trHeight w:val="217"/>
        </w:trPr>
        <w:tc>
          <w:tcPr>
            <w:tcW w:w="2240" w:type="dxa"/>
            <w:vAlign w:val="bottom"/>
          </w:tcPr>
          <w:p>
            <w:pPr>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5"/>
                <w:szCs w:val="15"/>
                <w:b w:val="1"/>
                <w:bCs w:val="1"/>
                <w:color w:val="auto"/>
              </w:rPr>
              <w:t>(1)</w:t>
            </w:r>
          </w:p>
        </w:tc>
        <w:tc>
          <w:tcPr>
            <w:tcW w:w="100" w:type="dxa"/>
            <w:vAlign w:val="bottom"/>
          </w:tcPr>
          <w:p>
            <w:pPr>
              <w:spacing w:after="0"/>
              <w:rPr>
                <w:sz w:val="18"/>
                <w:szCs w:val="18"/>
                <w:color w:val="auto"/>
              </w:rPr>
            </w:pPr>
          </w:p>
        </w:tc>
        <w:tc>
          <w:tcPr>
            <w:tcW w:w="2100" w:type="dxa"/>
            <w:vAlign w:val="bottom"/>
            <w:gridSpan w:val="2"/>
          </w:tcPr>
          <w:p>
            <w:pPr>
              <w:ind w:left="560"/>
              <w:spacing w:after="0"/>
              <w:rPr>
                <w:sz w:val="20"/>
                <w:szCs w:val="20"/>
                <w:color w:val="auto"/>
              </w:rPr>
            </w:pPr>
            <w:r>
              <w:rPr>
                <w:rFonts w:ascii="Arial" w:cs="Arial" w:eastAsia="Arial" w:hAnsi="Arial"/>
                <w:sz w:val="18"/>
                <w:szCs w:val="18"/>
                <w:b w:val="1"/>
                <w:bCs w:val="1"/>
                <w:color w:val="auto"/>
              </w:rPr>
              <w:t>Investment</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Date</w:t>
            </w: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Spread</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Interest Rate</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5"/>
              </w:rPr>
              <w:t xml:space="preserve">Cost </w:t>
            </w:r>
            <w:r>
              <w:rPr>
                <w:rFonts w:ascii="Arial" w:cs="Arial" w:eastAsia="Arial" w:hAnsi="Arial"/>
                <w:sz w:val="15"/>
                <w:szCs w:val="15"/>
                <w:b w:val="1"/>
                <w:bCs w:val="1"/>
                <w:color w:val="auto"/>
                <w:w w:val="95"/>
              </w:rPr>
              <w:t>(2)(8)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31"/>
              <w:spacing w:after="0"/>
              <w:rPr>
                <w:sz w:val="20"/>
                <w:szCs w:val="20"/>
                <w:color w:val="auto"/>
              </w:rPr>
            </w:pPr>
            <w:r>
              <w:rPr>
                <w:rFonts w:ascii="Arial" w:cs="Arial" w:eastAsia="Arial" w:hAnsi="Arial"/>
                <w:sz w:val="15"/>
                <w:szCs w:val="15"/>
                <w:b w:val="1"/>
                <w:bCs w:val="1"/>
                <w:color w:val="auto"/>
                <w:w w:val="97"/>
              </w:rPr>
              <w:t>(10)</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3"/>
              </w:rPr>
              <w:t>of Net Assets</w:t>
            </w:r>
          </w:p>
        </w:tc>
        <w:tc>
          <w:tcPr>
            <w:tcW w:w="20" w:type="dxa"/>
            <w:vAlign w:val="bottom"/>
          </w:tcPr>
          <w:p>
            <w:pPr>
              <w:spacing w:after="0"/>
              <w:rPr>
                <w:sz w:val="18"/>
                <w:szCs w:val="18"/>
                <w:color w:val="auto"/>
              </w:rPr>
            </w:pPr>
          </w:p>
        </w:tc>
      </w:tr>
      <w:tr>
        <w:trPr>
          <w:trHeight w:val="223"/>
        </w:trPr>
        <w:tc>
          <w:tcPr>
            <w:tcW w:w="2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Debt Investments</w:t>
            </w:r>
          </w:p>
        </w:tc>
        <w:tc>
          <w:tcPr>
            <w:tcW w:w="10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b w:val="1"/>
                <w:bCs w:val="1"/>
                <w:color w:val="auto"/>
                <w:w w:val="92"/>
              </w:rPr>
              <w:t>Beverage, food and tobacco</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w w:val="97"/>
              </w:rPr>
              <w:t xml:space="preserve">AFS Technologies, Inc. </w:t>
            </w:r>
            <w:r>
              <w:rPr>
                <w:rFonts w:ascii="Arial" w:cs="Arial" w:eastAsia="Arial" w:hAnsi="Arial"/>
                <w:sz w:val="15"/>
                <w:szCs w:val="15"/>
                <w:color w:val="auto"/>
                <w:w w:val="97"/>
              </w:rPr>
              <w:t>(3)(5)</w:t>
            </w: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First-lien loan ($42,234</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shd w:val="clear" w:color="auto" w:fill="CFF0FC"/>
          </w:tcPr>
          <w:p>
            <w:pPr>
              <w:spacing w:after="0"/>
              <w:rPr>
                <w:sz w:val="20"/>
                <w:szCs w:val="20"/>
                <w:color w:val="auto"/>
              </w:rPr>
            </w:pPr>
            <w:r>
              <w:rPr>
                <w:rFonts w:ascii="Arial" w:cs="Arial" w:eastAsia="Arial" w:hAnsi="Arial"/>
                <w:sz w:val="15"/>
                <w:szCs w:val="15"/>
                <w:color w:val="auto"/>
              </w:rPr>
              <w:t>(6)</w:t>
            </w: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par, due 10/2023)</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10/16/2018</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+ 6.25%</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8.77%</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   41,611</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41,179</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0"/>
                <w:szCs w:val="20"/>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b w:val="1"/>
                <w:bCs w:val="1"/>
                <w:color w:val="auto"/>
              </w:rPr>
              <w:t>Business services</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w w:val="97"/>
              </w:rPr>
              <w:t xml:space="preserve">Acceo Solutions, Inc. </w:t>
            </w:r>
            <w:r>
              <w:rPr>
                <w:rFonts w:ascii="Arial" w:cs="Arial" w:eastAsia="Arial" w:hAnsi="Arial"/>
                <w:sz w:val="15"/>
                <w:szCs w:val="15"/>
                <w:color w:val="auto"/>
                <w:w w:val="97"/>
              </w:rPr>
              <w:t>(3)(4)(5)</w:t>
            </w: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First-lien loan (CAD</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46,051</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shd w:val="clear" w:color="auto" w:fill="CFF0FC"/>
          </w:tcPr>
          <w:p>
            <w:pPr>
              <w:spacing w:after="0"/>
              <w:rPr>
                <w:sz w:val="20"/>
                <w:szCs w:val="20"/>
                <w:color w:val="auto"/>
              </w:rPr>
            </w:pP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64,675 par, due 7/2023)</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7/6/2018</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C + 5.25%</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7.41%</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48,275</w:t>
            </w:r>
          </w:p>
        </w:tc>
        <w:tc>
          <w:tcPr>
            <w:tcW w:w="1480" w:type="dxa"/>
            <w:vAlign w:val="bottom"/>
            <w:gridSpan w:val="4"/>
            <w:shd w:val="clear" w:color="auto" w:fill="CFF0FC"/>
          </w:tcPr>
          <w:p>
            <w:pPr>
              <w:jc w:val="center"/>
              <w:ind w:right="40"/>
              <w:spacing w:after="0"/>
              <w:rPr>
                <w:sz w:val="20"/>
                <w:szCs w:val="20"/>
                <w:color w:val="auto"/>
              </w:rPr>
            </w:pPr>
            <w:r>
              <w:rPr>
                <w:rFonts w:ascii="Arial" w:cs="Arial" w:eastAsia="Arial" w:hAnsi="Arial"/>
                <w:sz w:val="18"/>
                <w:szCs w:val="18"/>
                <w:color w:val="auto"/>
                <w:w w:val="94"/>
              </w:rPr>
              <w:t>(CAD 62,896)</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0"/>
                <w:szCs w:val="20"/>
                <w:color w:val="auto"/>
              </w:rPr>
            </w:pPr>
          </w:p>
        </w:tc>
      </w:tr>
      <w:tr>
        <w:trPr>
          <w:trHeight w:val="215"/>
        </w:trPr>
        <w:tc>
          <w:tcPr>
            <w:tcW w:w="2240" w:type="dxa"/>
            <w:vAlign w:val="bottom"/>
          </w:tcPr>
          <w:p>
            <w:pPr>
              <w:spacing w:after="0"/>
              <w:rPr>
                <w:sz w:val="20"/>
                <w:szCs w:val="20"/>
                <w:color w:val="auto"/>
              </w:rPr>
            </w:pPr>
            <w:r>
              <w:rPr>
                <w:rFonts w:ascii="Arial" w:cs="Arial" w:eastAsia="Arial" w:hAnsi="Arial"/>
                <w:sz w:val="18"/>
                <w:szCs w:val="18"/>
                <w:color w:val="auto"/>
                <w:w w:val="95"/>
              </w:rPr>
              <w:t xml:space="preserve">Integration Appliance, Inc. </w:t>
            </w:r>
            <w:r>
              <w:rPr>
                <w:rFonts w:ascii="Arial" w:cs="Arial" w:eastAsia="Arial" w:hAnsi="Arial"/>
                <w:sz w:val="15"/>
                <w:szCs w:val="15"/>
                <w:color w:val="auto"/>
                <w:w w:val="95"/>
              </w:rPr>
              <w:t>(3)</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First-lien loan ($52,381</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tcPr>
          <w:p>
            <w:pPr>
              <w:spacing w:after="0"/>
              <w:rPr>
                <w:sz w:val="20"/>
                <w:szCs w:val="20"/>
                <w:color w:val="auto"/>
              </w:rPr>
            </w:pP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par, due 8/2023)</w:t>
            </w:r>
          </w:p>
        </w:tc>
        <w:tc>
          <w:tcPr>
            <w:tcW w:w="900" w:type="dxa"/>
            <w:vAlign w:val="bottom"/>
          </w:tcPr>
          <w:p>
            <w:pPr>
              <w:jc w:val="right"/>
              <w:spacing w:after="0"/>
              <w:rPr>
                <w:sz w:val="20"/>
                <w:szCs w:val="20"/>
                <w:color w:val="auto"/>
              </w:rPr>
            </w:pPr>
            <w:r>
              <w:rPr>
                <w:rFonts w:ascii="Arial" w:cs="Arial" w:eastAsia="Arial" w:hAnsi="Arial"/>
                <w:sz w:val="18"/>
                <w:szCs w:val="18"/>
                <w:color w:val="auto"/>
              </w:rPr>
              <w:t>8/13/2018</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+ 7.25%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9.60%</w:t>
            </w:r>
          </w:p>
        </w:tc>
        <w:tc>
          <w:tcPr>
            <w:tcW w:w="840" w:type="dxa"/>
            <w:vAlign w:val="bottom"/>
          </w:tcPr>
          <w:p>
            <w:pPr>
              <w:jc w:val="right"/>
              <w:spacing w:after="0"/>
              <w:rPr>
                <w:sz w:val="20"/>
                <w:szCs w:val="20"/>
                <w:color w:val="auto"/>
              </w:rPr>
            </w:pPr>
            <w:r>
              <w:rPr>
                <w:rFonts w:ascii="Arial" w:cs="Arial" w:eastAsia="Arial" w:hAnsi="Arial"/>
                <w:sz w:val="18"/>
                <w:szCs w:val="18"/>
                <w:color w:val="auto"/>
              </w:rPr>
              <w:t>51,608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51,281</w:t>
            </w: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0"/>
                <w:szCs w:val="20"/>
                <w:color w:val="auto"/>
              </w:rPr>
            </w:pPr>
          </w:p>
        </w:tc>
      </w:tr>
      <w:tr>
        <w:trPr>
          <w:trHeight w:val="215"/>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Jive Software, Inc. </w:t>
            </w:r>
            <w:r>
              <w:rPr>
                <w:rFonts w:ascii="Arial" w:cs="Arial" w:eastAsia="Arial" w:hAnsi="Arial"/>
                <w:sz w:val="15"/>
                <w:szCs w:val="15"/>
                <w:color w:val="auto"/>
              </w:rPr>
              <w:t>(3)(5)</w:t>
            </w: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First-lien loan ($52,110</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shd w:val="clear" w:color="auto" w:fill="CFF0FC"/>
          </w:tcPr>
          <w:p>
            <w:pPr>
              <w:spacing w:after="0"/>
              <w:rPr>
                <w:sz w:val="20"/>
                <w:szCs w:val="20"/>
                <w:color w:val="auto"/>
              </w:rPr>
            </w:pP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par, due 6/2022)</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6/12/2017</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+ 9.25%</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11.77%</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50,656</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54,194</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20"/>
                <w:szCs w:val="20"/>
                <w:color w:val="auto"/>
              </w:rPr>
            </w:pPr>
          </w:p>
        </w:tc>
      </w:tr>
      <w:tr>
        <w:trPr>
          <w:trHeight w:val="215"/>
        </w:trPr>
        <w:tc>
          <w:tcPr>
            <w:tcW w:w="2240" w:type="dxa"/>
            <w:vAlign w:val="bottom"/>
          </w:tcPr>
          <w:p>
            <w:pPr>
              <w:spacing w:after="0"/>
              <w:rPr>
                <w:sz w:val="20"/>
                <w:szCs w:val="20"/>
                <w:color w:val="auto"/>
              </w:rPr>
            </w:pPr>
            <w:r>
              <w:rPr>
                <w:rFonts w:ascii="Arial" w:cs="Arial" w:eastAsia="Arial" w:hAnsi="Arial"/>
                <w:sz w:val="18"/>
                <w:szCs w:val="18"/>
                <w:color w:val="auto"/>
              </w:rPr>
              <w:t xml:space="preserve">Motus, LLC </w:t>
            </w:r>
            <w:r>
              <w:rPr>
                <w:rFonts w:ascii="Arial" w:cs="Arial" w:eastAsia="Arial" w:hAnsi="Arial"/>
                <w:sz w:val="15"/>
                <w:szCs w:val="15"/>
                <w:color w:val="auto"/>
              </w:rPr>
              <w:t>(3)</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First-lien loan ($68,880</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tcPr>
          <w:p>
            <w:pPr>
              <w:spacing w:after="0"/>
              <w:rPr>
                <w:sz w:val="20"/>
                <w:szCs w:val="20"/>
                <w:color w:val="auto"/>
              </w:rPr>
            </w:pP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par, due 1/2024)</w:t>
            </w:r>
          </w:p>
        </w:tc>
        <w:tc>
          <w:tcPr>
            <w:tcW w:w="900" w:type="dxa"/>
            <w:vAlign w:val="bottom"/>
          </w:tcPr>
          <w:p>
            <w:pPr>
              <w:jc w:val="right"/>
              <w:spacing w:after="0"/>
              <w:rPr>
                <w:sz w:val="20"/>
                <w:szCs w:val="20"/>
                <w:color w:val="auto"/>
              </w:rPr>
            </w:pPr>
            <w:r>
              <w:rPr>
                <w:rFonts w:ascii="Arial" w:cs="Arial" w:eastAsia="Arial" w:hAnsi="Arial"/>
                <w:sz w:val="18"/>
                <w:szCs w:val="18"/>
                <w:color w:val="auto"/>
              </w:rPr>
              <w:t>1/17/2018</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+ 6.75%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9.22%</w:t>
            </w:r>
          </w:p>
        </w:tc>
        <w:tc>
          <w:tcPr>
            <w:tcW w:w="840" w:type="dxa"/>
            <w:vAlign w:val="bottom"/>
          </w:tcPr>
          <w:p>
            <w:pPr>
              <w:jc w:val="right"/>
              <w:spacing w:after="0"/>
              <w:rPr>
                <w:sz w:val="20"/>
                <w:szCs w:val="20"/>
                <w:color w:val="auto"/>
              </w:rPr>
            </w:pPr>
            <w:r>
              <w:rPr>
                <w:rFonts w:ascii="Arial" w:cs="Arial" w:eastAsia="Arial" w:hAnsi="Arial"/>
                <w:sz w:val="18"/>
                <w:szCs w:val="18"/>
                <w:color w:val="auto"/>
              </w:rPr>
              <w:t>67,262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69,624</w:t>
            </w: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0"/>
                <w:szCs w:val="20"/>
                <w:color w:val="auto"/>
              </w:rPr>
            </w:pPr>
          </w:p>
        </w:tc>
      </w:tr>
      <w:tr>
        <w:trPr>
          <w:trHeight w:val="215"/>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Nintex Global, Ltd. </w:t>
            </w:r>
            <w:r>
              <w:rPr>
                <w:rFonts w:ascii="Arial" w:cs="Arial" w:eastAsia="Arial" w:hAnsi="Arial"/>
                <w:sz w:val="15"/>
                <w:szCs w:val="15"/>
                <w:color w:val="auto"/>
              </w:rPr>
              <w:t>(3)(5)</w:t>
            </w: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First-lien loan ($71,975</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shd w:val="clear" w:color="auto" w:fill="CFF0FC"/>
          </w:tcPr>
          <w:p>
            <w:pPr>
              <w:spacing w:after="0"/>
              <w:rPr>
                <w:sz w:val="20"/>
                <w:szCs w:val="20"/>
                <w:color w:val="auto"/>
              </w:rPr>
            </w:pP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par, due 4/2024)</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3/30/2018</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+ 6.75%</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9.28%</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70,382</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70,176</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0"/>
                <w:szCs w:val="20"/>
                <w:color w:val="auto"/>
              </w:rPr>
            </w:pPr>
          </w:p>
        </w:tc>
      </w:tr>
      <w:tr>
        <w:trPr>
          <w:trHeight w:val="215"/>
        </w:trPr>
        <w:tc>
          <w:tcPr>
            <w:tcW w:w="2240" w:type="dxa"/>
            <w:vAlign w:val="bottom"/>
          </w:tcPr>
          <w:p>
            <w:pPr>
              <w:spacing w:after="0"/>
              <w:rPr>
                <w:sz w:val="20"/>
                <w:szCs w:val="20"/>
                <w:color w:val="auto"/>
              </w:rPr>
            </w:pPr>
            <w:r>
              <w:rPr>
                <w:rFonts w:ascii="Arial" w:cs="Arial" w:eastAsia="Arial" w:hAnsi="Arial"/>
                <w:sz w:val="18"/>
                <w:szCs w:val="18"/>
                <w:color w:val="auto"/>
              </w:rPr>
              <w:t xml:space="preserve">Sovos Compliance, LLC </w:t>
            </w:r>
            <w:r>
              <w:rPr>
                <w:rFonts w:ascii="Arial" w:cs="Arial" w:eastAsia="Arial" w:hAnsi="Arial"/>
                <w:sz w:val="15"/>
                <w:szCs w:val="15"/>
                <w:color w:val="auto"/>
              </w:rPr>
              <w:t>(3)</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First-lien loan ($36,453</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tcPr>
          <w:p>
            <w:pPr>
              <w:spacing w:after="0"/>
              <w:rPr>
                <w:sz w:val="20"/>
                <w:szCs w:val="20"/>
                <w:color w:val="auto"/>
              </w:rPr>
            </w:pP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par, due 3/2022)</w:t>
            </w:r>
          </w:p>
        </w:tc>
        <w:tc>
          <w:tcPr>
            <w:tcW w:w="900" w:type="dxa"/>
            <w:vAlign w:val="bottom"/>
          </w:tcPr>
          <w:p>
            <w:pPr>
              <w:jc w:val="right"/>
              <w:spacing w:after="0"/>
              <w:rPr>
                <w:sz w:val="20"/>
                <w:szCs w:val="20"/>
                <w:color w:val="auto"/>
              </w:rPr>
            </w:pPr>
            <w:r>
              <w:rPr>
                <w:rFonts w:ascii="Arial" w:cs="Arial" w:eastAsia="Arial" w:hAnsi="Arial"/>
                <w:sz w:val="18"/>
                <w:szCs w:val="18"/>
                <w:color w:val="auto"/>
              </w:rPr>
              <w:t>7/1/2016</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+ 6.00%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8.52%</w:t>
            </w:r>
          </w:p>
        </w:tc>
        <w:tc>
          <w:tcPr>
            <w:tcW w:w="840" w:type="dxa"/>
            <w:vAlign w:val="bottom"/>
          </w:tcPr>
          <w:p>
            <w:pPr>
              <w:jc w:val="right"/>
              <w:spacing w:after="0"/>
              <w:rPr>
                <w:sz w:val="20"/>
                <w:szCs w:val="20"/>
                <w:color w:val="auto"/>
              </w:rPr>
            </w:pPr>
            <w:r>
              <w:rPr>
                <w:rFonts w:ascii="Arial" w:cs="Arial" w:eastAsia="Arial" w:hAnsi="Arial"/>
                <w:sz w:val="18"/>
                <w:szCs w:val="18"/>
                <w:color w:val="auto"/>
              </w:rPr>
              <w:t>36,032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36,453</w:t>
            </w: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r>
      <w:tr>
        <w:trPr>
          <w:trHeight w:val="20"/>
        </w:trPr>
        <w:tc>
          <w:tcPr>
            <w:tcW w:w="2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9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324,215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327,779</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30.7%</w:t>
            </w:r>
          </w:p>
        </w:tc>
        <w:tc>
          <w:tcPr>
            <w:tcW w:w="20" w:type="dxa"/>
            <w:vAlign w:val="bottom"/>
          </w:tcPr>
          <w:p>
            <w:pPr>
              <w:spacing w:after="0"/>
              <w:rPr>
                <w:sz w:val="19"/>
                <w:szCs w:val="19"/>
                <w:color w:val="auto"/>
              </w:rPr>
            </w:pPr>
          </w:p>
        </w:tc>
      </w:tr>
      <w:tr>
        <w:trPr>
          <w:trHeight w:val="223"/>
        </w:trPr>
        <w:tc>
          <w:tcPr>
            <w:tcW w:w="2240" w:type="dxa"/>
            <w:vAlign w:val="bottom"/>
          </w:tcPr>
          <w:p>
            <w:pPr>
              <w:spacing w:after="0"/>
              <w:rPr>
                <w:sz w:val="20"/>
                <w:szCs w:val="20"/>
                <w:color w:val="auto"/>
              </w:rPr>
            </w:pPr>
            <w:r>
              <w:rPr>
                <w:rFonts w:ascii="Arial" w:cs="Arial" w:eastAsia="Arial" w:hAnsi="Arial"/>
                <w:sz w:val="18"/>
                <w:szCs w:val="18"/>
                <w:b w:val="1"/>
                <w:bCs w:val="1"/>
                <w:color w:val="auto"/>
              </w:rPr>
              <w:t>Chemicals</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w w:val="98"/>
              </w:rPr>
              <w:t xml:space="preserve">Vertellus Specialties, Inc. </w:t>
            </w:r>
            <w:r>
              <w:rPr>
                <w:rFonts w:ascii="Arial" w:cs="Arial" w:eastAsia="Arial" w:hAnsi="Arial"/>
                <w:sz w:val="15"/>
                <w:szCs w:val="15"/>
                <w:color w:val="auto"/>
                <w:w w:val="98"/>
              </w:rPr>
              <w:t>(3)</w:t>
            </w: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w w:val="98"/>
              </w:rPr>
              <w:t>First-lien loan ($4,967 par,</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shd w:val="clear" w:color="auto" w:fill="CFF0FC"/>
          </w:tcPr>
          <w:p>
            <w:pPr>
              <w:spacing w:after="0"/>
              <w:rPr>
                <w:sz w:val="20"/>
                <w:szCs w:val="20"/>
                <w:color w:val="auto"/>
              </w:rPr>
            </w:pP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due 1/2019)</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10/31/2016</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+ 9.00%</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11.42%</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4,967</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4,967</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0"/>
                <w:szCs w:val="20"/>
                <w:color w:val="auto"/>
              </w:rPr>
            </w:pPr>
          </w:p>
        </w:tc>
      </w:tr>
      <w:tr>
        <w:trPr>
          <w:trHeight w:val="215"/>
        </w:trPr>
        <w:tc>
          <w:tcPr>
            <w:tcW w:w="2240" w:type="dxa"/>
            <w:vAlign w:val="bottom"/>
          </w:tcPr>
          <w:p>
            <w:pPr>
              <w:spacing w:after="0"/>
              <w:rPr>
                <w:sz w:val="18"/>
                <w:szCs w:val="18"/>
                <w:color w:val="auto"/>
              </w:rPr>
            </w:pP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Second-lien loan ($3,341</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tcPr>
          <w:p>
            <w:pPr>
              <w:spacing w:after="0"/>
              <w:rPr>
                <w:sz w:val="20"/>
                <w:szCs w:val="20"/>
                <w:color w:val="auto"/>
              </w:rPr>
            </w:pP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par, due 10/2021)</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10/31/2016</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+ 12.00%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14.42%</w:t>
            </w:r>
          </w:p>
        </w:tc>
        <w:tc>
          <w:tcPr>
            <w:tcW w:w="840" w:type="dxa"/>
            <w:vAlign w:val="bottom"/>
          </w:tcPr>
          <w:p>
            <w:pPr>
              <w:jc w:val="right"/>
              <w:spacing w:after="0"/>
              <w:rPr>
                <w:sz w:val="20"/>
                <w:szCs w:val="20"/>
                <w:color w:val="auto"/>
              </w:rPr>
            </w:pPr>
            <w:r>
              <w:rPr>
                <w:rFonts w:ascii="Arial" w:cs="Arial" w:eastAsia="Arial" w:hAnsi="Arial"/>
                <w:sz w:val="18"/>
                <w:szCs w:val="18"/>
                <w:color w:val="auto"/>
              </w:rPr>
              <w:t>3,341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3,350</w:t>
            </w: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0"/>
                <w:szCs w:val="20"/>
                <w:color w:val="auto"/>
              </w:rPr>
            </w:pPr>
          </w:p>
        </w:tc>
      </w:tr>
      <w:tr>
        <w:trPr>
          <w:trHeight w:val="20"/>
        </w:trPr>
        <w:tc>
          <w:tcPr>
            <w:tcW w:w="2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9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8,317</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r>
      <w:tr>
        <w:trPr>
          <w:trHeight w:val="223"/>
        </w:trPr>
        <w:tc>
          <w:tcPr>
            <w:tcW w:w="2240" w:type="dxa"/>
            <w:vAlign w:val="bottom"/>
          </w:tcPr>
          <w:p>
            <w:pPr>
              <w:spacing w:after="0"/>
              <w:rPr>
                <w:sz w:val="20"/>
                <w:szCs w:val="20"/>
                <w:color w:val="auto"/>
              </w:rPr>
            </w:pPr>
            <w:r>
              <w:rPr>
                <w:rFonts w:ascii="Arial" w:cs="Arial" w:eastAsia="Arial" w:hAnsi="Arial"/>
                <w:sz w:val="18"/>
                <w:szCs w:val="18"/>
                <w:b w:val="1"/>
                <w:bCs w:val="1"/>
                <w:color w:val="auto"/>
              </w:rPr>
              <w:t>Education</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w w:val="99"/>
              </w:rPr>
              <w:t>Curriculum Associates, LLC</w:t>
            </w: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First-lien loan ($49,875</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shd w:val="clear" w:color="auto" w:fill="CFF0FC"/>
          </w:tcPr>
          <w:p>
            <w:pPr>
              <w:spacing w:after="0"/>
              <w:rPr>
                <w:sz w:val="20"/>
                <w:szCs w:val="20"/>
                <w:color w:val="auto"/>
              </w:rPr>
            </w:pPr>
            <w:r>
              <w:rPr>
                <w:rFonts w:ascii="Arial" w:cs="Arial" w:eastAsia="Arial" w:hAnsi="Arial"/>
                <w:sz w:val="15"/>
                <w:szCs w:val="15"/>
                <w:color w:val="auto"/>
              </w:rPr>
              <w:t>(3)(5)</w:t>
            </w: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par, due 2/2024)</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2/28/2018</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+ 6.00%</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8.52%</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48,497</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50,374</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0"/>
                <w:szCs w:val="20"/>
                <w:color w:val="auto"/>
              </w:rPr>
            </w:pPr>
          </w:p>
        </w:tc>
      </w:tr>
      <w:tr>
        <w:trPr>
          <w:trHeight w:val="215"/>
        </w:trPr>
        <w:tc>
          <w:tcPr>
            <w:tcW w:w="2240" w:type="dxa"/>
            <w:vAlign w:val="bottom"/>
          </w:tcPr>
          <w:p>
            <w:pPr>
              <w:spacing w:after="0"/>
              <w:rPr>
                <w:sz w:val="20"/>
                <w:szCs w:val="20"/>
                <w:color w:val="auto"/>
              </w:rPr>
            </w:pPr>
            <w:r>
              <w:rPr>
                <w:rFonts w:ascii="Arial" w:cs="Arial" w:eastAsia="Arial" w:hAnsi="Arial"/>
                <w:sz w:val="18"/>
                <w:szCs w:val="18"/>
                <w:color w:val="auto"/>
                <w:w w:val="91"/>
              </w:rPr>
              <w:t>Frontline Technologies Group,</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First-lien loan ($47,225</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 xml:space="preserve">LLC </w:t>
            </w:r>
            <w:r>
              <w:rPr>
                <w:rFonts w:ascii="Arial" w:cs="Arial" w:eastAsia="Arial" w:hAnsi="Arial"/>
                <w:sz w:val="15"/>
                <w:szCs w:val="15"/>
                <w:color w:val="auto"/>
              </w:rPr>
              <w:t>(3)</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par, due 9/2023)</w:t>
            </w:r>
          </w:p>
        </w:tc>
        <w:tc>
          <w:tcPr>
            <w:tcW w:w="900" w:type="dxa"/>
            <w:vAlign w:val="bottom"/>
          </w:tcPr>
          <w:p>
            <w:pPr>
              <w:jc w:val="right"/>
              <w:spacing w:after="0"/>
              <w:rPr>
                <w:sz w:val="20"/>
                <w:szCs w:val="20"/>
                <w:color w:val="auto"/>
              </w:rPr>
            </w:pPr>
            <w:r>
              <w:rPr>
                <w:rFonts w:ascii="Arial" w:cs="Arial" w:eastAsia="Arial" w:hAnsi="Arial"/>
                <w:sz w:val="18"/>
                <w:szCs w:val="18"/>
                <w:color w:val="auto"/>
              </w:rPr>
              <w:t>9/18/2017</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+ 6.50%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9.02%</w:t>
            </w:r>
          </w:p>
        </w:tc>
        <w:tc>
          <w:tcPr>
            <w:tcW w:w="840" w:type="dxa"/>
            <w:vAlign w:val="bottom"/>
          </w:tcPr>
          <w:p>
            <w:pPr>
              <w:jc w:val="right"/>
              <w:spacing w:after="0"/>
              <w:rPr>
                <w:sz w:val="20"/>
                <w:szCs w:val="20"/>
                <w:color w:val="auto"/>
              </w:rPr>
            </w:pPr>
            <w:r>
              <w:rPr>
                <w:rFonts w:ascii="Arial" w:cs="Arial" w:eastAsia="Arial" w:hAnsi="Arial"/>
                <w:sz w:val="18"/>
                <w:szCs w:val="18"/>
                <w:color w:val="auto"/>
              </w:rPr>
              <w:t>46,713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46,801</w:t>
            </w: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0"/>
                <w:szCs w:val="20"/>
                <w:color w:val="auto"/>
              </w:rPr>
            </w:pPr>
          </w:p>
        </w:tc>
      </w:tr>
      <w:tr>
        <w:trPr>
          <w:trHeight w:val="215"/>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Illuminate Education, Inc.</w:t>
            </w:r>
            <w:r>
              <w:rPr>
                <w:rFonts w:ascii="Arial" w:cs="Arial" w:eastAsia="Arial" w:hAnsi="Arial"/>
                <w:sz w:val="15"/>
                <w:szCs w:val="15"/>
                <w:color w:val="auto"/>
              </w:rPr>
              <w:t>(3)</w:t>
            </w: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First-lien loan ($64,675</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shd w:val="clear" w:color="auto" w:fill="CFF0FC"/>
          </w:tcPr>
          <w:p>
            <w:pPr>
              <w:spacing w:after="0"/>
              <w:rPr>
                <w:sz w:val="20"/>
                <w:szCs w:val="20"/>
                <w:color w:val="auto"/>
              </w:rPr>
            </w:pPr>
            <w:r>
              <w:rPr>
                <w:rFonts w:ascii="Arial" w:cs="Arial" w:eastAsia="Arial" w:hAnsi="Arial"/>
                <w:sz w:val="15"/>
                <w:szCs w:val="15"/>
                <w:color w:val="auto"/>
              </w:rPr>
              <w:t>(5)</w:t>
            </w: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par, due 8/2022)</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8/25/2017</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+ 7.25%</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9.78%</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63,611</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63,544</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0"/>
                <w:szCs w:val="20"/>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158,821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160,719</w:t>
            </w:r>
          </w:p>
        </w:tc>
        <w:tc>
          <w:tcPr>
            <w:tcW w:w="2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9"/>
                <w:szCs w:val="19"/>
                <w:color w:val="auto"/>
              </w:rPr>
            </w:pPr>
          </w:p>
        </w:tc>
      </w:tr>
      <w:tr>
        <w:trPr>
          <w:trHeight w:val="223"/>
        </w:trPr>
        <w:tc>
          <w:tcPr>
            <w:tcW w:w="2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services</w:t>
            </w:r>
          </w:p>
        </w:tc>
        <w:tc>
          <w:tcPr>
            <w:tcW w:w="10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240" w:type="dxa"/>
            <w:vAlign w:val="bottom"/>
          </w:tcPr>
          <w:p>
            <w:pPr>
              <w:spacing w:after="0"/>
              <w:rPr>
                <w:sz w:val="20"/>
                <w:szCs w:val="20"/>
                <w:color w:val="auto"/>
              </w:rPr>
            </w:pPr>
            <w:r>
              <w:rPr>
                <w:rFonts w:ascii="Arial" w:cs="Arial" w:eastAsia="Arial" w:hAnsi="Arial"/>
                <w:sz w:val="18"/>
                <w:szCs w:val="18"/>
                <w:color w:val="auto"/>
              </w:rPr>
              <w:t xml:space="preserve">AppStar Financial, LLC </w:t>
            </w:r>
            <w:r>
              <w:rPr>
                <w:rFonts w:ascii="Arial" w:cs="Arial" w:eastAsia="Arial" w:hAnsi="Arial"/>
                <w:sz w:val="15"/>
                <w:szCs w:val="15"/>
                <w:color w:val="auto"/>
              </w:rPr>
              <w:t>(3)</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First-lien loan ($18,506</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tcPr>
          <w:p>
            <w:pPr>
              <w:spacing w:after="0"/>
              <w:rPr>
                <w:sz w:val="20"/>
                <w:szCs w:val="20"/>
                <w:color w:val="auto"/>
              </w:rPr>
            </w:pP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par, due 8/2020)</w:t>
            </w:r>
          </w:p>
        </w:tc>
        <w:tc>
          <w:tcPr>
            <w:tcW w:w="900" w:type="dxa"/>
            <w:vAlign w:val="bottom"/>
          </w:tcPr>
          <w:p>
            <w:pPr>
              <w:jc w:val="right"/>
              <w:spacing w:after="0"/>
              <w:rPr>
                <w:sz w:val="20"/>
                <w:szCs w:val="20"/>
                <w:color w:val="auto"/>
              </w:rPr>
            </w:pPr>
            <w:r>
              <w:rPr>
                <w:rFonts w:ascii="Arial" w:cs="Arial" w:eastAsia="Arial" w:hAnsi="Arial"/>
                <w:sz w:val="18"/>
                <w:szCs w:val="18"/>
                <w:color w:val="auto"/>
              </w:rPr>
              <w:t>8/18/2015</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+ 7.50%</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10.02%</w:t>
            </w:r>
          </w:p>
        </w:tc>
        <w:tc>
          <w:tcPr>
            <w:tcW w:w="840" w:type="dxa"/>
            <w:vAlign w:val="bottom"/>
          </w:tcPr>
          <w:p>
            <w:pPr>
              <w:jc w:val="right"/>
              <w:spacing w:after="0"/>
              <w:rPr>
                <w:sz w:val="20"/>
                <w:szCs w:val="20"/>
                <w:color w:val="auto"/>
              </w:rPr>
            </w:pPr>
            <w:r>
              <w:rPr>
                <w:rFonts w:ascii="Arial" w:cs="Arial" w:eastAsia="Arial" w:hAnsi="Arial"/>
                <w:sz w:val="18"/>
                <w:szCs w:val="18"/>
                <w:color w:val="auto"/>
              </w:rPr>
              <w:t>18,333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18,609</w:t>
            </w: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r>
      <w:tr>
        <w:trPr>
          <w:trHeight w:val="215"/>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(3)</w:t>
            </w: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First-lien loan ($54,449</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shd w:val="clear" w:color="auto" w:fill="CFF0FC"/>
          </w:tcPr>
          <w:p>
            <w:pPr>
              <w:spacing w:after="0"/>
              <w:rPr>
                <w:sz w:val="20"/>
                <w:szCs w:val="20"/>
                <w:color w:val="auto"/>
              </w:rPr>
            </w:pP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par, due 8/2020)</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8/7/2015</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+ 9.50%</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12.06%</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54,080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54,994</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0"/>
                <w:szCs w:val="20"/>
                <w:color w:val="auto"/>
              </w:rPr>
            </w:pPr>
          </w:p>
        </w:tc>
      </w:tr>
      <w:tr>
        <w:trPr>
          <w:trHeight w:val="215"/>
        </w:trPr>
        <w:tc>
          <w:tcPr>
            <w:tcW w:w="2240" w:type="dxa"/>
            <w:vAlign w:val="bottom"/>
          </w:tcPr>
          <w:p>
            <w:pPr>
              <w:spacing w:after="0"/>
              <w:rPr>
                <w:sz w:val="20"/>
                <w:szCs w:val="20"/>
                <w:color w:val="auto"/>
              </w:rPr>
            </w:pPr>
            <w:r>
              <w:rPr>
                <w:rFonts w:ascii="Arial" w:cs="Arial" w:eastAsia="Arial" w:hAnsi="Arial"/>
                <w:sz w:val="18"/>
                <w:szCs w:val="18"/>
                <w:color w:val="auto"/>
              </w:rPr>
              <w:t xml:space="preserve">G Treasury SS, LLC </w:t>
            </w:r>
            <w:r>
              <w:rPr>
                <w:rFonts w:ascii="Arial" w:cs="Arial" w:eastAsia="Arial" w:hAnsi="Arial"/>
                <w:sz w:val="15"/>
                <w:szCs w:val="15"/>
                <w:color w:val="auto"/>
              </w:rPr>
              <w:t>(3)</w:t>
            </w: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First-lien loan ($30,515</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11.78% (incl.</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tcPr>
          <w:p>
            <w:pPr>
              <w:spacing w:after="0"/>
              <w:rPr>
                <w:sz w:val="20"/>
                <w:szCs w:val="20"/>
                <w:color w:val="auto"/>
              </w:rPr>
            </w:pPr>
          </w:p>
        </w:tc>
        <w:tc>
          <w:tcPr>
            <w:tcW w:w="2200" w:type="dxa"/>
            <w:vAlign w:val="bottom"/>
            <w:gridSpan w:val="3"/>
          </w:tcPr>
          <w:p>
            <w:pPr>
              <w:ind w:left="100"/>
              <w:spacing w:after="0"/>
              <w:rPr>
                <w:sz w:val="20"/>
                <w:szCs w:val="20"/>
                <w:color w:val="auto"/>
              </w:rPr>
            </w:pPr>
            <w:r>
              <w:rPr>
                <w:rFonts w:ascii="Arial" w:cs="Arial" w:eastAsia="Arial" w:hAnsi="Arial"/>
                <w:sz w:val="18"/>
                <w:szCs w:val="18"/>
                <w:color w:val="auto"/>
              </w:rPr>
              <w:t>par, due 4/2022)</w:t>
            </w:r>
          </w:p>
        </w:tc>
        <w:tc>
          <w:tcPr>
            <w:tcW w:w="900" w:type="dxa"/>
            <w:vAlign w:val="bottom"/>
          </w:tcPr>
          <w:p>
            <w:pPr>
              <w:jc w:val="right"/>
              <w:spacing w:after="0"/>
              <w:rPr>
                <w:sz w:val="20"/>
                <w:szCs w:val="20"/>
                <w:color w:val="auto"/>
              </w:rPr>
            </w:pPr>
            <w:r>
              <w:rPr>
                <w:rFonts w:ascii="Arial" w:cs="Arial" w:eastAsia="Arial" w:hAnsi="Arial"/>
                <w:sz w:val="18"/>
                <w:szCs w:val="18"/>
                <w:color w:val="auto"/>
              </w:rPr>
              <w:t>4/9/2018</w:t>
            </w:r>
          </w:p>
        </w:tc>
        <w:tc>
          <w:tcPr>
            <w:tcW w:w="1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L + 9.25%</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3.00% PIK)</w:t>
            </w:r>
          </w:p>
        </w:tc>
        <w:tc>
          <w:tcPr>
            <w:tcW w:w="840" w:type="dxa"/>
            <w:vAlign w:val="bottom"/>
          </w:tcPr>
          <w:p>
            <w:pPr>
              <w:jc w:val="right"/>
              <w:spacing w:after="0"/>
              <w:rPr>
                <w:sz w:val="20"/>
                <w:szCs w:val="20"/>
                <w:color w:val="auto"/>
              </w:rPr>
            </w:pPr>
            <w:r>
              <w:rPr>
                <w:rFonts w:ascii="Arial" w:cs="Arial" w:eastAsia="Arial" w:hAnsi="Arial"/>
                <w:sz w:val="18"/>
                <w:szCs w:val="18"/>
                <w:color w:val="auto"/>
              </w:rPr>
              <w:t>29,914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29,765</w:t>
            </w:r>
          </w:p>
        </w:tc>
        <w:tc>
          <w:tcPr>
            <w:tcW w:w="2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r>
      <w:tr>
        <w:trPr>
          <w:trHeight w:val="215"/>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w w:val="97"/>
              </w:rPr>
              <w:t xml:space="preserve">Government Brands, LLC </w:t>
            </w:r>
            <w:r>
              <w:rPr>
                <w:rFonts w:ascii="Arial" w:cs="Arial" w:eastAsia="Arial" w:hAnsi="Arial"/>
                <w:sz w:val="15"/>
                <w:szCs w:val="15"/>
                <w:color w:val="auto"/>
                <w:w w:val="97"/>
              </w:rPr>
              <w:t>(3)</w:t>
            </w: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First-lien loan ($45,870</w:t>
            </w: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11.81% (incl.</w:t>
            </w: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240" w:type="dxa"/>
            <w:vAlign w:val="bottom"/>
            <w:shd w:val="clear" w:color="auto" w:fill="CFF0FC"/>
          </w:tcPr>
          <w:p>
            <w:pPr>
              <w:spacing w:after="0"/>
              <w:rPr>
                <w:sz w:val="20"/>
                <w:szCs w:val="20"/>
                <w:color w:val="auto"/>
              </w:rPr>
            </w:pPr>
          </w:p>
        </w:tc>
        <w:tc>
          <w:tcPr>
            <w:tcW w:w="2200" w:type="dxa"/>
            <w:vAlign w:val="bottom"/>
            <w:gridSpan w:val="3"/>
            <w:shd w:val="clear" w:color="auto" w:fill="CFF0FC"/>
          </w:tcPr>
          <w:p>
            <w:pPr>
              <w:ind w:left="100"/>
              <w:spacing w:after="0"/>
              <w:rPr>
                <w:sz w:val="20"/>
                <w:szCs w:val="20"/>
                <w:color w:val="auto"/>
              </w:rPr>
            </w:pPr>
            <w:r>
              <w:rPr>
                <w:rFonts w:ascii="Arial" w:cs="Arial" w:eastAsia="Arial" w:hAnsi="Arial"/>
                <w:sz w:val="18"/>
                <w:szCs w:val="18"/>
                <w:color w:val="auto"/>
              </w:rPr>
              <w:t>par, due 3/2023)</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3/15/2018</w:t>
            </w: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L + 9.25%</w:t>
            </w: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2.50% PIK)</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45,001</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44,853</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0"/>
                <w:szCs w:val="20"/>
                <w:color w:val="auto"/>
              </w:rPr>
            </w:pPr>
          </w:p>
        </w:tc>
      </w:tr>
      <w:tr>
        <w:trPr>
          <w:trHeight w:val="432"/>
        </w:trPr>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ind w:right="39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 xml:space="preserve">PayLease, LLC </w:t>
            </w:r>
            <w:r>
              <w:rPr>
                <w:rFonts w:ascii="Arial" w:cs="Arial" w:eastAsia="Arial" w:hAnsi="Arial"/>
                <w:sz w:val="15"/>
                <w:szCs w:val="15"/>
                <w:color w:val="auto"/>
              </w:rPr>
              <w:t>(3)</w:t>
            </w:r>
          </w:p>
        </w:tc>
        <w:tc>
          <w:tcPr>
            <w:tcW w:w="2260" w:type="dxa"/>
            <w:vAlign w:val="bottom"/>
          </w:tcPr>
          <w:p>
            <w:pPr>
              <w:ind w:left="60"/>
              <w:spacing w:after="0"/>
              <w:rPr>
                <w:sz w:val="20"/>
                <w:szCs w:val="20"/>
                <w:color w:val="auto"/>
              </w:rPr>
            </w:pPr>
            <w:r>
              <w:rPr>
                <w:rFonts w:ascii="Arial" w:cs="Arial" w:eastAsia="Arial" w:hAnsi="Arial"/>
                <w:sz w:val="18"/>
                <w:szCs w:val="18"/>
                <w:color w:val="auto"/>
                <w:w w:val="99"/>
              </w:rPr>
              <w:t>First-lien loan ($55,958 par,</w:t>
            </w: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due 7/2022)</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7/28/2017</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L + 7.00%</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9.52%</w:t>
            </w:r>
          </w:p>
        </w:tc>
        <w:tc>
          <w:tcPr>
            <w:tcW w:w="760" w:type="dxa"/>
            <w:vAlign w:val="bottom"/>
          </w:tcPr>
          <w:p>
            <w:pPr>
              <w:jc w:val="right"/>
              <w:spacing w:after="0"/>
              <w:rPr>
                <w:sz w:val="20"/>
                <w:szCs w:val="20"/>
                <w:color w:val="auto"/>
              </w:rPr>
            </w:pPr>
            <w:r>
              <w:rPr>
                <w:rFonts w:ascii="Arial" w:cs="Arial" w:eastAsia="Arial" w:hAnsi="Arial"/>
                <w:sz w:val="18"/>
                <w:szCs w:val="18"/>
                <w:color w:val="auto"/>
              </w:rPr>
              <w:t>55,065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55,810</w:t>
            </w: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PaySimple, Inc. </w:t>
            </w:r>
            <w:r>
              <w:rPr>
                <w:rFonts w:ascii="Arial" w:cs="Arial" w:eastAsia="Arial" w:hAnsi="Arial"/>
                <w:sz w:val="15"/>
                <w:szCs w:val="15"/>
                <w:color w:val="auto"/>
              </w:rPr>
              <w:t>(3)(5)</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First-lien loan ($59,395 par,</w:t>
            </w:r>
          </w:p>
        </w:tc>
        <w:tc>
          <w:tcPr>
            <w:tcW w:w="10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10.81% (incl.</w:t>
            </w: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3/2022)</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4/17/2018</w:t>
            </w:r>
          </w:p>
        </w:tc>
        <w:tc>
          <w:tcPr>
            <w:tcW w:w="10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L + 8.25%</w:t>
            </w:r>
          </w:p>
        </w:tc>
        <w:tc>
          <w:tcPr>
            <w:tcW w:w="14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1.75% PIK)</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59,121</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58,652</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PrimeRevenue, Inc. </w:t>
            </w:r>
            <w:r>
              <w:rPr>
                <w:rFonts w:ascii="Arial" w:cs="Arial" w:eastAsia="Arial" w:hAnsi="Arial"/>
                <w:sz w:val="15"/>
                <w:szCs w:val="15"/>
                <w:color w:val="auto"/>
              </w:rPr>
              <w:t>(3)</w:t>
            </w:r>
          </w:p>
        </w:tc>
        <w:tc>
          <w:tcPr>
            <w:tcW w:w="2260" w:type="dxa"/>
            <w:vAlign w:val="bottom"/>
          </w:tcPr>
          <w:p>
            <w:pPr>
              <w:ind w:left="60"/>
              <w:spacing w:after="0"/>
              <w:rPr>
                <w:sz w:val="20"/>
                <w:szCs w:val="20"/>
                <w:color w:val="auto"/>
              </w:rPr>
            </w:pPr>
            <w:r>
              <w:rPr>
                <w:rFonts w:ascii="Arial" w:cs="Arial" w:eastAsia="Arial" w:hAnsi="Arial"/>
                <w:sz w:val="18"/>
                <w:szCs w:val="18"/>
                <w:color w:val="auto"/>
                <w:w w:val="99"/>
              </w:rPr>
              <w:t>First-lien loan ($20,000 par,</w:t>
            </w: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11.02% (incl.</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due 12/2023)</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w w:val="97"/>
              </w:rPr>
              <w:t>12/31/2018</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L + 8.50%</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5.50% PIK)</w:t>
            </w:r>
          </w:p>
        </w:tc>
        <w:tc>
          <w:tcPr>
            <w:tcW w:w="760" w:type="dxa"/>
            <w:vAlign w:val="bottom"/>
          </w:tcPr>
          <w:p>
            <w:pPr>
              <w:jc w:val="right"/>
              <w:spacing w:after="0"/>
              <w:rPr>
                <w:sz w:val="20"/>
                <w:szCs w:val="20"/>
                <w:color w:val="auto"/>
              </w:rPr>
            </w:pPr>
            <w:r>
              <w:rPr>
                <w:rFonts w:ascii="Arial" w:cs="Arial" w:eastAsia="Arial" w:hAnsi="Arial"/>
                <w:sz w:val="18"/>
                <w:szCs w:val="18"/>
                <w:color w:val="auto"/>
              </w:rPr>
              <w:t>19,672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19,672</w:t>
            </w: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Swift Gift, Ltd. </w:t>
            </w:r>
            <w:r>
              <w:rPr>
                <w:rFonts w:ascii="Arial" w:cs="Arial" w:eastAsia="Arial" w:hAnsi="Arial"/>
                <w:sz w:val="15"/>
                <w:szCs w:val="15"/>
                <w:color w:val="auto"/>
              </w:rPr>
              <w:t>(3)(5)</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First-lien loan ($28,875 par,</w:t>
            </w:r>
          </w:p>
        </w:tc>
        <w:tc>
          <w:tcPr>
            <w:tcW w:w="10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1/2022)</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7/31/2017</w:t>
            </w:r>
          </w:p>
        </w:tc>
        <w:tc>
          <w:tcPr>
            <w:tcW w:w="10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L + 6.50%</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9.06%</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28,335</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29,958</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309,521</w:t>
            </w:r>
          </w:p>
        </w:tc>
        <w:tc>
          <w:tcPr>
            <w:tcW w:w="220" w:type="dxa"/>
            <w:vAlign w:val="bottom"/>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312,313</w:t>
            </w: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Healthcare</w:t>
            </w:r>
          </w:p>
        </w:tc>
        <w:tc>
          <w:tcPr>
            <w:tcW w:w="2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Caris Life Sciences, Ltd.</w:t>
            </w:r>
          </w:p>
        </w:tc>
        <w:tc>
          <w:tcPr>
            <w:tcW w:w="2260" w:type="dxa"/>
            <w:vAlign w:val="bottom"/>
          </w:tcPr>
          <w:p>
            <w:pPr>
              <w:ind w:left="60"/>
              <w:spacing w:after="0"/>
              <w:rPr>
                <w:sz w:val="20"/>
                <w:szCs w:val="20"/>
                <w:color w:val="auto"/>
              </w:rPr>
            </w:pPr>
            <w:r>
              <w:rPr>
                <w:rFonts w:ascii="Arial" w:cs="Arial" w:eastAsia="Arial" w:hAnsi="Arial"/>
                <w:sz w:val="18"/>
                <w:szCs w:val="18"/>
                <w:color w:val="auto"/>
              </w:rPr>
              <w:t>First-lien loan ($2,500 par,</w:t>
            </w: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due 9/2023)</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9/21/2018</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11.30%</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11.30%</w:t>
            </w:r>
          </w:p>
        </w:tc>
        <w:tc>
          <w:tcPr>
            <w:tcW w:w="760" w:type="dxa"/>
            <w:vAlign w:val="bottom"/>
          </w:tcPr>
          <w:p>
            <w:pPr>
              <w:jc w:val="right"/>
              <w:spacing w:after="0"/>
              <w:rPr>
                <w:sz w:val="20"/>
                <w:szCs w:val="20"/>
                <w:color w:val="auto"/>
              </w:rPr>
            </w:pPr>
            <w:r>
              <w:rPr>
                <w:rFonts w:ascii="Arial" w:cs="Arial" w:eastAsia="Arial" w:hAnsi="Arial"/>
                <w:sz w:val="18"/>
                <w:szCs w:val="18"/>
                <w:color w:val="auto"/>
              </w:rPr>
              <w:t>2,305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2,206</w:t>
            </w: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18"/>
                <w:szCs w:val="18"/>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3"/>
              </w:rPr>
              <w:t>Convertible note ($2,500 par,</w:t>
            </w:r>
          </w:p>
        </w:tc>
        <w:tc>
          <w:tcPr>
            <w:tcW w:w="10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9/2023)</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9/21/2018</w:t>
            </w:r>
          </w:p>
        </w:tc>
        <w:tc>
          <w:tcPr>
            <w:tcW w:w="10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8.00%</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8.00%</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w w:val="92"/>
              </w:rPr>
              <w:t>Integrated Practice Solutions, Inc.</w:t>
            </w:r>
          </w:p>
        </w:tc>
        <w:tc>
          <w:tcPr>
            <w:tcW w:w="2260" w:type="dxa"/>
            <w:vAlign w:val="bottom"/>
          </w:tcPr>
          <w:p>
            <w:pPr>
              <w:ind w:left="60"/>
              <w:spacing w:after="0"/>
              <w:rPr>
                <w:sz w:val="20"/>
                <w:szCs w:val="20"/>
                <w:color w:val="auto"/>
              </w:rPr>
            </w:pPr>
            <w:r>
              <w:rPr>
                <w:rFonts w:ascii="Arial" w:cs="Arial" w:eastAsia="Arial" w:hAnsi="Arial"/>
                <w:sz w:val="18"/>
                <w:szCs w:val="18"/>
                <w:color w:val="auto"/>
                <w:w w:val="99"/>
              </w:rPr>
              <w:t>First-lien loan ($36,501 par,</w:t>
            </w: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5"/>
                <w:szCs w:val="15"/>
                <w:color w:val="auto"/>
              </w:rPr>
              <w:t>(3)(5)</w:t>
            </w:r>
          </w:p>
        </w:tc>
        <w:tc>
          <w:tcPr>
            <w:tcW w:w="2260" w:type="dxa"/>
            <w:vAlign w:val="bottom"/>
          </w:tcPr>
          <w:p>
            <w:pPr>
              <w:ind w:left="60"/>
              <w:spacing w:after="0"/>
              <w:rPr>
                <w:sz w:val="20"/>
                <w:szCs w:val="20"/>
                <w:color w:val="auto"/>
              </w:rPr>
            </w:pPr>
            <w:r>
              <w:rPr>
                <w:rFonts w:ascii="Arial" w:cs="Arial" w:eastAsia="Arial" w:hAnsi="Arial"/>
                <w:sz w:val="18"/>
                <w:szCs w:val="18"/>
                <w:color w:val="auto"/>
              </w:rPr>
              <w:t>due 6/2022)</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6/30/2017</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L + 8.00%</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10.52%</w:t>
            </w:r>
          </w:p>
        </w:tc>
        <w:tc>
          <w:tcPr>
            <w:tcW w:w="760" w:type="dxa"/>
            <w:vAlign w:val="bottom"/>
          </w:tcPr>
          <w:p>
            <w:pPr>
              <w:jc w:val="right"/>
              <w:spacing w:after="0"/>
              <w:rPr>
                <w:sz w:val="20"/>
                <w:szCs w:val="20"/>
                <w:color w:val="auto"/>
              </w:rPr>
            </w:pPr>
            <w:r>
              <w:rPr>
                <w:rFonts w:ascii="Arial" w:cs="Arial" w:eastAsia="Arial" w:hAnsi="Arial"/>
                <w:sz w:val="18"/>
                <w:szCs w:val="18"/>
                <w:color w:val="auto"/>
              </w:rPr>
              <w:t>35,696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36,136</w:t>
            </w: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MedeAnalytics, Inc. </w:t>
            </w:r>
            <w:r>
              <w:rPr>
                <w:rFonts w:ascii="Arial" w:cs="Arial" w:eastAsia="Arial" w:hAnsi="Arial"/>
                <w:sz w:val="15"/>
                <w:szCs w:val="15"/>
                <w:color w:val="auto"/>
              </w:rPr>
              <w:t>(3)(5)</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First-lien loan ($41,884 par,</w:t>
            </w:r>
          </w:p>
        </w:tc>
        <w:tc>
          <w:tcPr>
            <w:tcW w:w="10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9/2020)</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9/30/2015</w:t>
            </w:r>
          </w:p>
        </w:tc>
        <w:tc>
          <w:tcPr>
            <w:tcW w:w="10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L + 7.50%</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10.02%</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41,384</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41,884</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w w:val="98"/>
              </w:rPr>
              <w:t xml:space="preserve">InterOperability Bidco, Inc. </w:t>
            </w:r>
            <w:r>
              <w:rPr>
                <w:rFonts w:ascii="Arial" w:cs="Arial" w:eastAsia="Arial" w:hAnsi="Arial"/>
                <w:sz w:val="15"/>
                <w:szCs w:val="15"/>
                <w:color w:val="auto"/>
                <w:w w:val="98"/>
              </w:rPr>
              <w:t>(3)(5)</w:t>
            </w:r>
          </w:p>
        </w:tc>
        <w:tc>
          <w:tcPr>
            <w:tcW w:w="2260" w:type="dxa"/>
            <w:vAlign w:val="bottom"/>
          </w:tcPr>
          <w:p>
            <w:pPr>
              <w:ind w:left="60"/>
              <w:spacing w:after="0"/>
              <w:rPr>
                <w:sz w:val="20"/>
                <w:szCs w:val="20"/>
                <w:color w:val="auto"/>
              </w:rPr>
            </w:pPr>
            <w:r>
              <w:rPr>
                <w:rFonts w:ascii="Arial" w:cs="Arial" w:eastAsia="Arial" w:hAnsi="Arial"/>
                <w:sz w:val="18"/>
                <w:szCs w:val="18"/>
                <w:color w:val="auto"/>
                <w:w w:val="99"/>
              </w:rPr>
              <w:t>First-lien loan ($29,925 par,</w:t>
            </w: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due 10/2023)</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w w:val="97"/>
              </w:rPr>
              <w:t>10/30/2018</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L + 7.00%</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9.52%</w:t>
            </w:r>
          </w:p>
        </w:tc>
        <w:tc>
          <w:tcPr>
            <w:tcW w:w="760" w:type="dxa"/>
            <w:vAlign w:val="bottom"/>
          </w:tcPr>
          <w:p>
            <w:pPr>
              <w:jc w:val="right"/>
              <w:spacing w:after="0"/>
              <w:rPr>
                <w:sz w:val="20"/>
                <w:szCs w:val="20"/>
                <w:color w:val="auto"/>
              </w:rPr>
            </w:pPr>
            <w:r>
              <w:rPr>
                <w:rFonts w:ascii="Arial" w:cs="Arial" w:eastAsia="Arial" w:hAnsi="Arial"/>
                <w:sz w:val="18"/>
                <w:szCs w:val="18"/>
                <w:color w:val="auto"/>
              </w:rPr>
              <w:t>28,729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28,578</w:t>
            </w: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Quantros, Inc. </w:t>
            </w:r>
            <w:r>
              <w:rPr>
                <w:rFonts w:ascii="Arial" w:cs="Arial" w:eastAsia="Arial" w:hAnsi="Arial"/>
                <w:sz w:val="15"/>
                <w:szCs w:val="15"/>
                <w:color w:val="auto"/>
              </w:rPr>
              <w:t>(3)(5)</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First-lien loan ($27,965 par,</w:t>
            </w:r>
          </w:p>
        </w:tc>
        <w:tc>
          <w:tcPr>
            <w:tcW w:w="10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9/2019)</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2/29/2016</w:t>
            </w:r>
          </w:p>
        </w:tc>
        <w:tc>
          <w:tcPr>
            <w:tcW w:w="10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L + 7.75%</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10.55%</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26,650</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27,475</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137,264</w:t>
            </w:r>
          </w:p>
        </w:tc>
        <w:tc>
          <w:tcPr>
            <w:tcW w:w="220" w:type="dxa"/>
            <w:vAlign w:val="bottom"/>
            <w:vMerge w:val="continue"/>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138,760</w:t>
            </w:r>
          </w:p>
        </w:tc>
        <w:tc>
          <w:tcPr>
            <w:tcW w:w="2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Hotel, gaming, and leisure</w:t>
            </w:r>
          </w:p>
        </w:tc>
        <w:tc>
          <w:tcPr>
            <w:tcW w:w="2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(3)(7)</w:t>
            </w:r>
          </w:p>
        </w:tc>
        <w:tc>
          <w:tcPr>
            <w:tcW w:w="2260" w:type="dxa"/>
            <w:vAlign w:val="bottom"/>
          </w:tcPr>
          <w:p>
            <w:pPr>
              <w:ind w:left="60"/>
              <w:spacing w:after="0"/>
              <w:rPr>
                <w:sz w:val="20"/>
                <w:szCs w:val="20"/>
                <w:color w:val="auto"/>
              </w:rPr>
            </w:pPr>
            <w:r>
              <w:rPr>
                <w:rFonts w:ascii="Arial" w:cs="Arial" w:eastAsia="Arial" w:hAnsi="Arial"/>
                <w:sz w:val="18"/>
                <w:szCs w:val="18"/>
                <w:color w:val="auto"/>
                <w:w w:val="99"/>
              </w:rPr>
              <w:t>First-lien loan ($30,042 par,</w:t>
            </w: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12.30% (incl.</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due 9/2019)</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9/29/2015</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L + 9.50%</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5.00% PIK)</w:t>
            </w:r>
          </w:p>
        </w:tc>
        <w:tc>
          <w:tcPr>
            <w:tcW w:w="760" w:type="dxa"/>
            <w:vAlign w:val="bottom"/>
          </w:tcPr>
          <w:p>
            <w:pPr>
              <w:jc w:val="right"/>
              <w:spacing w:after="0"/>
              <w:rPr>
                <w:sz w:val="20"/>
                <w:szCs w:val="20"/>
                <w:color w:val="auto"/>
              </w:rPr>
            </w:pPr>
            <w:r>
              <w:rPr>
                <w:rFonts w:ascii="Arial" w:cs="Arial" w:eastAsia="Arial" w:hAnsi="Arial"/>
                <w:sz w:val="18"/>
                <w:szCs w:val="18"/>
                <w:color w:val="auto"/>
              </w:rPr>
              <w:t>28,187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29,959</w:t>
            </w: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Human resource support</w:t>
            </w:r>
          </w:p>
        </w:tc>
        <w:tc>
          <w:tcPr>
            <w:tcW w:w="2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services</w:t>
            </w:r>
          </w:p>
        </w:tc>
        <w:tc>
          <w:tcPr>
            <w:tcW w:w="2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ClearCompany, LLC </w:t>
            </w:r>
            <w:r>
              <w:rPr>
                <w:rFonts w:ascii="Arial" w:cs="Arial" w:eastAsia="Arial" w:hAnsi="Arial"/>
                <w:sz w:val="15"/>
                <w:szCs w:val="15"/>
                <w:color w:val="auto"/>
              </w:rPr>
              <w:t>(3)</w:t>
            </w:r>
          </w:p>
        </w:tc>
        <w:tc>
          <w:tcPr>
            <w:tcW w:w="2260" w:type="dxa"/>
            <w:vAlign w:val="bottom"/>
          </w:tcPr>
          <w:p>
            <w:pPr>
              <w:ind w:left="60"/>
              <w:spacing w:after="0"/>
              <w:rPr>
                <w:sz w:val="20"/>
                <w:szCs w:val="20"/>
                <w:color w:val="auto"/>
              </w:rPr>
            </w:pPr>
            <w:r>
              <w:rPr>
                <w:rFonts w:ascii="Arial" w:cs="Arial" w:eastAsia="Arial" w:hAnsi="Arial"/>
                <w:sz w:val="18"/>
                <w:szCs w:val="18"/>
                <w:color w:val="auto"/>
                <w:w w:val="99"/>
              </w:rPr>
              <w:t>First-lien loan ($17,154 par,</w:t>
            </w: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11.21% (incl.</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due 7/2023)</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7/23/2018</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L + 8.50%</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2.50% PIK)</w:t>
            </w:r>
          </w:p>
        </w:tc>
        <w:tc>
          <w:tcPr>
            <w:tcW w:w="760" w:type="dxa"/>
            <w:vAlign w:val="bottom"/>
          </w:tcPr>
          <w:p>
            <w:pPr>
              <w:jc w:val="right"/>
              <w:spacing w:after="0"/>
              <w:rPr>
                <w:sz w:val="20"/>
                <w:szCs w:val="20"/>
                <w:color w:val="auto"/>
              </w:rPr>
            </w:pPr>
            <w:r>
              <w:rPr>
                <w:rFonts w:ascii="Arial" w:cs="Arial" w:eastAsia="Arial" w:hAnsi="Arial"/>
                <w:sz w:val="18"/>
                <w:szCs w:val="18"/>
                <w:color w:val="auto"/>
              </w:rPr>
              <w:t>16,885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16,751</w:t>
            </w: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PageUp People Limited </w:t>
            </w:r>
            <w:r>
              <w:rPr>
                <w:rFonts w:ascii="Arial" w:cs="Arial" w:eastAsia="Arial" w:hAnsi="Arial"/>
                <w:sz w:val="15"/>
                <w:szCs w:val="15"/>
                <w:color w:val="auto"/>
              </w:rPr>
              <w:t>(3)(4)</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First-lien loan (AUD 46,848</w:t>
            </w:r>
          </w:p>
        </w:tc>
        <w:tc>
          <w:tcPr>
            <w:tcW w:w="10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9.17% (incl.</w:t>
            </w:r>
          </w:p>
        </w:tc>
        <w:tc>
          <w:tcPr>
            <w:tcW w:w="7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32,486</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par, due 12/2022)</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1/11/2018</w:t>
            </w:r>
          </w:p>
        </w:tc>
        <w:tc>
          <w:tcPr>
            <w:tcW w:w="10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8"/>
              </w:rPr>
              <w:t>B + 7.25%</w:t>
            </w:r>
          </w:p>
        </w:tc>
        <w:tc>
          <w:tcPr>
            <w:tcW w:w="14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2.25% PIK)</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36,234</w:t>
            </w:r>
          </w:p>
        </w:tc>
        <w:tc>
          <w:tcPr>
            <w:tcW w:w="148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(AUD 46,145)</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18"/>
                <w:szCs w:val="18"/>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First-lien revolving loan</w:t>
            </w: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(AUD 2,000 par, due</w:t>
            </w: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1,355</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12/2022)</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1/11/2018</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w w:val="98"/>
              </w:rPr>
              <w:t>B + 7.25%</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9.23%</w:t>
            </w:r>
          </w:p>
        </w:tc>
        <w:tc>
          <w:tcPr>
            <w:tcW w:w="760" w:type="dxa"/>
            <w:vAlign w:val="bottom"/>
          </w:tcPr>
          <w:p>
            <w:pPr>
              <w:jc w:val="right"/>
              <w:spacing w:after="0"/>
              <w:rPr>
                <w:sz w:val="20"/>
                <w:szCs w:val="20"/>
                <w:color w:val="auto"/>
              </w:rPr>
            </w:pPr>
            <w:r>
              <w:rPr>
                <w:rFonts w:ascii="Arial" w:cs="Arial" w:eastAsia="Arial" w:hAnsi="Arial"/>
                <w:sz w:val="18"/>
                <w:szCs w:val="18"/>
                <w:color w:val="auto"/>
              </w:rPr>
              <w:t>1,429</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(AUD 1,925)</w:t>
            </w: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2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2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54,548</w:t>
            </w:r>
          </w:p>
        </w:tc>
        <w:tc>
          <w:tcPr>
            <w:tcW w:w="220" w:type="dxa"/>
            <w:vAlign w:val="bottom"/>
            <w:vMerge w:val="continue"/>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50,592</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rPr>
              <w:t>Insurance</w:t>
            </w:r>
          </w:p>
        </w:tc>
        <w:tc>
          <w:tcPr>
            <w:tcW w:w="2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Insurity, Inc. </w:t>
            </w:r>
            <w:r>
              <w:rPr>
                <w:rFonts w:ascii="Arial" w:cs="Arial" w:eastAsia="Arial" w:hAnsi="Arial"/>
                <w:sz w:val="15"/>
                <w:szCs w:val="15"/>
                <w:color w:val="auto"/>
              </w:rPr>
              <w:t>(3)(5)</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First-lien loan ($61,665 par,</w:t>
            </w:r>
          </w:p>
        </w:tc>
        <w:tc>
          <w:tcPr>
            <w:tcW w:w="10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10/2020)</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7"/>
              </w:rPr>
              <w:t>10/31/2014</w:t>
            </w:r>
          </w:p>
        </w:tc>
        <w:tc>
          <w:tcPr>
            <w:tcW w:w="10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L + 6.75%</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9.47%</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61,384</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62,127</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Riskonnect, Inc. </w:t>
            </w:r>
            <w:r>
              <w:rPr>
                <w:rFonts w:ascii="Arial" w:cs="Arial" w:eastAsia="Arial" w:hAnsi="Arial"/>
                <w:sz w:val="15"/>
                <w:szCs w:val="15"/>
                <w:color w:val="auto"/>
              </w:rPr>
              <w:t>(3)(5)</w:t>
            </w:r>
          </w:p>
        </w:tc>
        <w:tc>
          <w:tcPr>
            <w:tcW w:w="2260" w:type="dxa"/>
            <w:vAlign w:val="bottom"/>
          </w:tcPr>
          <w:p>
            <w:pPr>
              <w:ind w:left="60"/>
              <w:spacing w:after="0"/>
              <w:rPr>
                <w:sz w:val="20"/>
                <w:szCs w:val="20"/>
                <w:color w:val="auto"/>
              </w:rPr>
            </w:pPr>
            <w:r>
              <w:rPr>
                <w:rFonts w:ascii="Arial" w:cs="Arial" w:eastAsia="Arial" w:hAnsi="Arial"/>
                <w:sz w:val="18"/>
                <w:szCs w:val="18"/>
                <w:color w:val="auto"/>
                <w:w w:val="99"/>
              </w:rPr>
              <w:t>First-lien loan ($50,000 par,</w:t>
            </w: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60"/>
              <w:spacing w:after="0"/>
              <w:rPr>
                <w:sz w:val="20"/>
                <w:szCs w:val="20"/>
                <w:color w:val="auto"/>
              </w:rPr>
            </w:pPr>
            <w:r>
              <w:rPr>
                <w:rFonts w:ascii="Arial" w:cs="Arial" w:eastAsia="Arial" w:hAnsi="Arial"/>
                <w:sz w:val="18"/>
                <w:szCs w:val="18"/>
                <w:color w:val="auto"/>
              </w:rPr>
              <w:t>due 10/2023)</w:t>
            </w: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6/30/2017</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L + 7.75%</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10.56%</w:t>
            </w:r>
          </w:p>
        </w:tc>
        <w:tc>
          <w:tcPr>
            <w:tcW w:w="760" w:type="dxa"/>
            <w:vAlign w:val="bottom"/>
          </w:tcPr>
          <w:p>
            <w:pPr>
              <w:jc w:val="right"/>
              <w:spacing w:after="0"/>
              <w:rPr>
                <w:sz w:val="20"/>
                <w:szCs w:val="20"/>
                <w:color w:val="auto"/>
              </w:rPr>
            </w:pPr>
            <w:r>
              <w:rPr>
                <w:rFonts w:ascii="Arial" w:cs="Arial" w:eastAsia="Arial" w:hAnsi="Arial"/>
                <w:sz w:val="18"/>
                <w:szCs w:val="18"/>
                <w:color w:val="auto"/>
              </w:rPr>
              <w:t>49,432</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49,000</w:t>
            </w: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22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4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2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110,816</w:t>
            </w:r>
          </w:p>
        </w:tc>
        <w:tc>
          <w:tcPr>
            <w:tcW w:w="220" w:type="dxa"/>
            <w:vAlign w:val="bottom"/>
            <w:vMerge w:val="continue"/>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111,127</w:t>
            </w:r>
          </w:p>
        </w:tc>
        <w:tc>
          <w:tcPr>
            <w:tcW w:w="2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rPr>
              <w:t>Internet services</w:t>
            </w:r>
          </w:p>
        </w:tc>
        <w:tc>
          <w:tcPr>
            <w:tcW w:w="2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Higher Logic, LLC </w:t>
            </w:r>
            <w:r>
              <w:rPr>
                <w:rFonts w:ascii="Arial" w:cs="Arial" w:eastAsia="Arial" w:hAnsi="Arial"/>
                <w:sz w:val="15"/>
                <w:szCs w:val="15"/>
                <w:color w:val="auto"/>
              </w:rPr>
              <w:t>(3)(5)</w:t>
            </w: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First-lien loan ($37,810 par,</w:t>
            </w:r>
          </w:p>
        </w:tc>
        <w:tc>
          <w:tcPr>
            <w:tcW w:w="10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due 1/2022)</w:t>
            </w:r>
          </w:p>
        </w:tc>
        <w:tc>
          <w:tcPr>
            <w:tcW w:w="1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6/18/2018</w:t>
            </w:r>
          </w:p>
        </w:tc>
        <w:tc>
          <w:tcPr>
            <w:tcW w:w="10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L + 6.00%</w:t>
            </w:r>
          </w:p>
        </w:tc>
        <w:tc>
          <w:tcPr>
            <w:tcW w:w="1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8.81%</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37,236</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36,959</w:t>
            </w:r>
          </w:p>
        </w:tc>
        <w:tc>
          <w:tcPr>
            <w:tcW w:w="2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5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2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 xml:space="preserve">Lithium Technologies, LLC </w:t>
            </w:r>
            <w:r>
              <w:rPr>
                <w:rFonts w:ascii="Arial" w:cs="Arial" w:eastAsia="Arial" w:hAnsi="Arial"/>
                <w:sz w:val="15"/>
                <w:szCs w:val="15"/>
                <w:color w:val="auto"/>
              </w:rPr>
              <w:t>(3)</w:t>
            </w:r>
          </w:p>
        </w:tc>
        <w:tc>
          <w:tcPr>
            <w:tcW w:w="2260" w:type="dxa"/>
            <w:vAlign w:val="bottom"/>
          </w:tcPr>
          <w:p>
            <w:pPr>
              <w:ind w:left="100"/>
              <w:spacing w:after="0"/>
              <w:rPr>
                <w:sz w:val="20"/>
                <w:szCs w:val="20"/>
                <w:color w:val="auto"/>
              </w:rPr>
            </w:pPr>
            <w:r>
              <w:rPr>
                <w:rFonts w:ascii="Arial" w:cs="Arial" w:eastAsia="Arial" w:hAnsi="Arial"/>
                <w:sz w:val="18"/>
                <w:szCs w:val="18"/>
                <w:color w:val="auto"/>
                <w:w w:val="97"/>
              </w:rPr>
              <w:t>First-lien loan ($54,700 par,</w:t>
            </w: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due 10/2022)</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10/3/2017</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L + 8.00%</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10.39%</w:t>
            </w:r>
          </w:p>
        </w:tc>
        <w:tc>
          <w:tcPr>
            <w:tcW w:w="840" w:type="dxa"/>
            <w:vAlign w:val="bottom"/>
          </w:tcPr>
          <w:p>
            <w:pPr>
              <w:jc w:val="right"/>
              <w:spacing w:after="0"/>
              <w:rPr>
                <w:sz w:val="20"/>
                <w:szCs w:val="20"/>
                <w:color w:val="auto"/>
              </w:rPr>
            </w:pPr>
            <w:r>
              <w:rPr>
                <w:rFonts w:ascii="Arial" w:cs="Arial" w:eastAsia="Arial" w:hAnsi="Arial"/>
                <w:sz w:val="18"/>
                <w:szCs w:val="18"/>
                <w:color w:val="auto"/>
              </w:rPr>
              <w:t>53,639</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53,967</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2520" w:type="dxa"/>
            <w:vAlign w:val="bottom"/>
            <w:shd w:val="clear" w:color="auto" w:fill="CFF0FC"/>
          </w:tcPr>
          <w:p>
            <w:pPr>
              <w:spacing w:after="0" w:line="20" w:lineRule="exact"/>
              <w:rPr>
                <w:sz w:val="1"/>
                <w:szCs w:val="1"/>
                <w:color w:val="auto"/>
              </w:rPr>
            </w:pPr>
          </w:p>
        </w:tc>
        <w:tc>
          <w:tcPr>
            <w:tcW w:w="22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252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90,875</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90,926</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rPr>
              <w:t>Manufacturing</w:t>
            </w:r>
          </w:p>
        </w:tc>
        <w:tc>
          <w:tcPr>
            <w:tcW w:w="2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ScentAir Technologies, Inc. </w:t>
            </w:r>
            <w:r>
              <w:rPr>
                <w:rFonts w:ascii="Arial" w:cs="Arial" w:eastAsia="Arial" w:hAnsi="Arial"/>
                <w:sz w:val="15"/>
                <w:szCs w:val="15"/>
                <w:color w:val="auto"/>
              </w:rPr>
              <w:t>(3)</w:t>
            </w: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7"/>
              </w:rPr>
              <w:t>First-lien loan ($19,986 par,</w:t>
            </w:r>
          </w:p>
        </w:tc>
        <w:tc>
          <w:tcPr>
            <w:tcW w:w="10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due 12/2019)</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12/30/2014</w:t>
            </w:r>
          </w:p>
        </w:tc>
        <w:tc>
          <w:tcPr>
            <w:tcW w:w="13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L + 7.25%</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9.77%</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19,897</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19,886</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r>
      <w:tr>
        <w:trPr>
          <w:trHeight w:val="215"/>
        </w:trPr>
        <w:tc>
          <w:tcPr>
            <w:tcW w:w="2520" w:type="dxa"/>
            <w:vAlign w:val="bottom"/>
          </w:tcPr>
          <w:p>
            <w:pPr>
              <w:spacing w:after="0"/>
              <w:rPr>
                <w:sz w:val="18"/>
                <w:szCs w:val="18"/>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First-lien revolving loan</w:t>
            </w: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($1,393 par, due 12/2019)</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12/30/2014</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L + 7.25%</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9.77%</w:t>
            </w:r>
          </w:p>
        </w:tc>
        <w:tc>
          <w:tcPr>
            <w:tcW w:w="840" w:type="dxa"/>
            <w:vAlign w:val="bottom"/>
          </w:tcPr>
          <w:p>
            <w:pPr>
              <w:jc w:val="right"/>
              <w:spacing w:after="0"/>
              <w:rPr>
                <w:sz w:val="20"/>
                <w:szCs w:val="20"/>
                <w:color w:val="auto"/>
              </w:rPr>
            </w:pPr>
            <w:r>
              <w:rPr>
                <w:rFonts w:ascii="Arial" w:cs="Arial" w:eastAsia="Arial" w:hAnsi="Arial"/>
                <w:sz w:val="18"/>
                <w:szCs w:val="18"/>
                <w:color w:val="auto"/>
              </w:rPr>
              <w:t>1,385</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1,382</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2520" w:type="dxa"/>
            <w:vAlign w:val="bottom"/>
            <w:shd w:val="clear" w:color="auto" w:fill="CFF0FC"/>
          </w:tcPr>
          <w:p>
            <w:pPr>
              <w:spacing w:after="0" w:line="20" w:lineRule="exact"/>
              <w:rPr>
                <w:sz w:val="1"/>
                <w:szCs w:val="1"/>
                <w:color w:val="auto"/>
              </w:rPr>
            </w:pPr>
          </w:p>
        </w:tc>
        <w:tc>
          <w:tcPr>
            <w:tcW w:w="22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252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21,282</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21,268</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rPr>
              <w:t>Marketing services</w:t>
            </w:r>
          </w:p>
        </w:tc>
        <w:tc>
          <w:tcPr>
            <w:tcW w:w="2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Validity, Inc. </w:t>
            </w:r>
            <w:r>
              <w:rPr>
                <w:rFonts w:ascii="Arial" w:cs="Arial" w:eastAsia="Arial" w:hAnsi="Arial"/>
                <w:sz w:val="15"/>
                <w:szCs w:val="15"/>
                <w:color w:val="auto"/>
              </w:rPr>
              <w:t>(3)(5)(6)</w:t>
            </w: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7"/>
              </w:rPr>
              <w:t>First-lien loan ($35,550 par,</w:t>
            </w:r>
          </w:p>
        </w:tc>
        <w:tc>
          <w:tcPr>
            <w:tcW w:w="10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due 5/2023)</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5/31/2018</w:t>
            </w:r>
          </w:p>
        </w:tc>
        <w:tc>
          <w:tcPr>
            <w:tcW w:w="13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L + 6.50%</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9.25%</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34,988</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34,750</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2520" w:type="dxa"/>
            <w:vAlign w:val="bottom"/>
          </w:tcPr>
          <w:p>
            <w:pPr>
              <w:spacing w:after="0"/>
              <w:rPr>
                <w:sz w:val="20"/>
                <w:szCs w:val="20"/>
                <w:color w:val="auto"/>
              </w:rPr>
            </w:pPr>
            <w:r>
              <w:rPr>
                <w:rFonts w:ascii="Arial" w:cs="Arial" w:eastAsia="Arial" w:hAnsi="Arial"/>
                <w:sz w:val="18"/>
                <w:szCs w:val="18"/>
                <w:b w:val="1"/>
                <w:bCs w:val="1"/>
                <w:color w:val="auto"/>
              </w:rPr>
              <w:t>Office products</w:t>
            </w:r>
          </w:p>
        </w:tc>
        <w:tc>
          <w:tcPr>
            <w:tcW w:w="2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USR Parent, Inc. </w:t>
            </w:r>
            <w:r>
              <w:rPr>
                <w:rFonts w:ascii="Arial" w:cs="Arial" w:eastAsia="Arial" w:hAnsi="Arial"/>
                <w:sz w:val="15"/>
                <w:szCs w:val="15"/>
                <w:color w:val="auto"/>
              </w:rPr>
              <w:t>(3)(5)</w:t>
            </w: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ABL FILO term</w:t>
            </w:r>
          </w:p>
        </w:tc>
        <w:tc>
          <w:tcPr>
            <w:tcW w:w="10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2520" w:type="dxa"/>
            <w:vAlign w:val="bottom"/>
            <w:shd w:val="clear" w:color="auto" w:fill="CFF0FC"/>
          </w:tcPr>
          <w:p>
            <w:pPr>
              <w:spacing w:after="0"/>
              <w:rPr>
                <w:sz w:val="18"/>
                <w:szCs w:val="18"/>
                <w:color w:val="auto"/>
              </w:rPr>
            </w:pP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loan ($13,500 par, due</w:t>
            </w:r>
          </w:p>
        </w:tc>
        <w:tc>
          <w:tcPr>
            <w:tcW w:w="10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9/2022)</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9/12/2017</w:t>
            </w:r>
          </w:p>
        </w:tc>
        <w:tc>
          <w:tcPr>
            <w:tcW w:w="13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L + 7.75%</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10.09%</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13,251</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13,331</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2520" w:type="dxa"/>
            <w:vAlign w:val="bottom"/>
          </w:tcPr>
          <w:p>
            <w:pPr>
              <w:spacing w:after="0"/>
              <w:rPr>
                <w:sz w:val="20"/>
                <w:szCs w:val="20"/>
                <w:color w:val="auto"/>
              </w:rPr>
            </w:pPr>
            <w:r>
              <w:rPr>
                <w:rFonts w:ascii="Arial" w:cs="Arial" w:eastAsia="Arial" w:hAnsi="Arial"/>
                <w:sz w:val="18"/>
                <w:szCs w:val="18"/>
                <w:b w:val="1"/>
                <w:bCs w:val="1"/>
                <w:color w:val="auto"/>
                <w:w w:val="96"/>
              </w:rPr>
              <w:t>Oil, gas and consumable fuels</w:t>
            </w:r>
          </w:p>
        </w:tc>
        <w:tc>
          <w:tcPr>
            <w:tcW w:w="2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MD America Energy, LLC </w:t>
            </w:r>
            <w:r>
              <w:rPr>
                <w:rFonts w:ascii="Arial" w:cs="Arial" w:eastAsia="Arial" w:hAnsi="Arial"/>
                <w:sz w:val="15"/>
                <w:szCs w:val="15"/>
                <w:color w:val="auto"/>
              </w:rPr>
              <w:t>(3)</w:t>
            </w: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7"/>
              </w:rPr>
              <w:t>First-lien loan ($15,000 par,</w:t>
            </w:r>
          </w:p>
        </w:tc>
        <w:tc>
          <w:tcPr>
            <w:tcW w:w="10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due 11/2023)</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11/14/2018</w:t>
            </w:r>
          </w:p>
        </w:tc>
        <w:tc>
          <w:tcPr>
            <w:tcW w:w="13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L + 7.75%</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10.37%</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14,530</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14,325</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w w:val="95"/>
              </w:rPr>
              <w:t xml:space="preserve">Mississippi Resources, LLC </w:t>
            </w:r>
            <w:r>
              <w:rPr>
                <w:rFonts w:ascii="Arial" w:cs="Arial" w:eastAsia="Arial" w:hAnsi="Arial"/>
                <w:sz w:val="15"/>
                <w:szCs w:val="15"/>
                <w:color w:val="auto"/>
                <w:w w:val="95"/>
              </w:rPr>
              <w:t>(3)(7)</w:t>
            </w:r>
          </w:p>
        </w:tc>
        <w:tc>
          <w:tcPr>
            <w:tcW w:w="2260" w:type="dxa"/>
            <w:vAlign w:val="bottom"/>
          </w:tcPr>
          <w:p>
            <w:pPr>
              <w:ind w:left="100"/>
              <w:spacing w:after="0"/>
              <w:rPr>
                <w:sz w:val="20"/>
                <w:szCs w:val="20"/>
                <w:color w:val="auto"/>
              </w:rPr>
            </w:pPr>
            <w:r>
              <w:rPr>
                <w:rFonts w:ascii="Arial" w:cs="Arial" w:eastAsia="Arial" w:hAnsi="Arial"/>
                <w:sz w:val="18"/>
                <w:szCs w:val="18"/>
                <w:color w:val="auto"/>
                <w:w w:val="97"/>
              </w:rPr>
              <w:t>First-lien loan ($17,429 par,</w:t>
            </w: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due 6/2020)</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6/29/2018</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L + 9.00%</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11.52%</w:t>
            </w:r>
          </w:p>
        </w:tc>
        <w:tc>
          <w:tcPr>
            <w:tcW w:w="840" w:type="dxa"/>
            <w:vAlign w:val="bottom"/>
          </w:tcPr>
          <w:p>
            <w:pPr>
              <w:jc w:val="right"/>
              <w:spacing w:after="0"/>
              <w:rPr>
                <w:sz w:val="20"/>
                <w:szCs w:val="20"/>
                <w:color w:val="auto"/>
              </w:rPr>
            </w:pPr>
            <w:r>
              <w:rPr>
                <w:rFonts w:ascii="Arial" w:cs="Arial" w:eastAsia="Arial" w:hAnsi="Arial"/>
                <w:sz w:val="18"/>
                <w:szCs w:val="18"/>
                <w:color w:val="auto"/>
              </w:rPr>
              <w:t>17,429</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17,080</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2520" w:type="dxa"/>
            <w:vAlign w:val="bottom"/>
            <w:shd w:val="clear" w:color="auto" w:fill="CFF0FC"/>
          </w:tcPr>
          <w:p>
            <w:pPr>
              <w:spacing w:after="0" w:line="20" w:lineRule="exact"/>
              <w:rPr>
                <w:sz w:val="1"/>
                <w:szCs w:val="1"/>
                <w:color w:val="auto"/>
              </w:rPr>
            </w:pPr>
          </w:p>
        </w:tc>
        <w:tc>
          <w:tcPr>
            <w:tcW w:w="22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252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31,959</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31,405</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rPr>
              <w:t>Pharmaceuticals</w:t>
            </w:r>
          </w:p>
        </w:tc>
        <w:tc>
          <w:tcPr>
            <w:tcW w:w="2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w w:val="99"/>
              </w:rPr>
              <w:t>Ironwood Pharmaceuticals, Inc.</w:t>
            </w: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7"/>
              </w:rPr>
              <w:t>Secured note ($33,333 par,</w:t>
            </w:r>
          </w:p>
        </w:tc>
        <w:tc>
          <w:tcPr>
            <w:tcW w:w="10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r>
              <w:rPr>
                <w:rFonts w:ascii="Arial" w:cs="Arial" w:eastAsia="Arial" w:hAnsi="Arial"/>
                <w:sz w:val="15"/>
                <w:szCs w:val="15"/>
                <w:color w:val="auto"/>
              </w:rPr>
              <w:t>(4)(5)(9)</w:t>
            </w: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due 9/2026)</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1/5/2017</w:t>
            </w:r>
          </w:p>
        </w:tc>
        <w:tc>
          <w:tcPr>
            <w:tcW w:w="13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8.38%</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8.38%</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33,202</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33,833</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w:t>
            </w: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Nektar Therapeutics </w:t>
            </w:r>
            <w:r>
              <w:rPr>
                <w:rFonts w:ascii="Arial" w:cs="Arial" w:eastAsia="Arial" w:hAnsi="Arial"/>
                <w:sz w:val="15"/>
                <w:szCs w:val="15"/>
                <w:color w:val="auto"/>
              </w:rPr>
              <w:t>(4)(5)(9)</w:t>
            </w:r>
          </w:p>
        </w:tc>
        <w:tc>
          <w:tcPr>
            <w:tcW w:w="2260" w:type="dxa"/>
            <w:vAlign w:val="bottom"/>
          </w:tcPr>
          <w:p>
            <w:pPr>
              <w:ind w:left="100"/>
              <w:spacing w:after="0"/>
              <w:rPr>
                <w:sz w:val="20"/>
                <w:szCs w:val="20"/>
                <w:color w:val="auto"/>
              </w:rPr>
            </w:pPr>
            <w:r>
              <w:rPr>
                <w:rFonts w:ascii="Arial" w:cs="Arial" w:eastAsia="Arial" w:hAnsi="Arial"/>
                <w:sz w:val="18"/>
                <w:szCs w:val="18"/>
                <w:color w:val="auto"/>
                <w:w w:val="97"/>
              </w:rPr>
              <w:t>Secured note ($74,950 par,</w:t>
            </w: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due 10/2020)</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10/5/2015</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7.75%</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7.75%</w:t>
            </w:r>
          </w:p>
        </w:tc>
        <w:tc>
          <w:tcPr>
            <w:tcW w:w="840" w:type="dxa"/>
            <w:vAlign w:val="bottom"/>
          </w:tcPr>
          <w:p>
            <w:pPr>
              <w:jc w:val="right"/>
              <w:spacing w:after="0"/>
              <w:rPr>
                <w:sz w:val="20"/>
                <w:szCs w:val="20"/>
                <w:color w:val="auto"/>
              </w:rPr>
            </w:pPr>
            <w:r>
              <w:rPr>
                <w:rFonts w:ascii="Arial" w:cs="Arial" w:eastAsia="Arial" w:hAnsi="Arial"/>
                <w:sz w:val="18"/>
                <w:szCs w:val="18"/>
                <w:color w:val="auto"/>
              </w:rPr>
              <w:t>74,559</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76,074</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2520" w:type="dxa"/>
            <w:vAlign w:val="bottom"/>
            <w:shd w:val="clear" w:color="auto" w:fill="CFF0FC"/>
          </w:tcPr>
          <w:p>
            <w:pPr>
              <w:spacing w:after="0" w:line="20" w:lineRule="exact"/>
              <w:rPr>
                <w:sz w:val="1"/>
                <w:szCs w:val="1"/>
                <w:color w:val="auto"/>
              </w:rPr>
            </w:pPr>
          </w:p>
        </w:tc>
        <w:tc>
          <w:tcPr>
            <w:tcW w:w="22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252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107,761</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109,907</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2520" w:type="dxa"/>
            <w:vAlign w:val="bottom"/>
          </w:tcPr>
          <w:p>
            <w:pPr>
              <w:spacing w:after="0"/>
              <w:rPr>
                <w:sz w:val="20"/>
                <w:szCs w:val="20"/>
                <w:color w:val="auto"/>
              </w:rPr>
            </w:pPr>
            <w:r>
              <w:rPr>
                <w:rFonts w:ascii="Arial" w:cs="Arial" w:eastAsia="Arial" w:hAnsi="Arial"/>
                <w:sz w:val="18"/>
                <w:szCs w:val="18"/>
                <w:b w:val="1"/>
                <w:bCs w:val="1"/>
                <w:color w:val="auto"/>
                <w:w w:val="96"/>
              </w:rPr>
              <w:t>Retail and consumer products</w:t>
            </w:r>
          </w:p>
        </w:tc>
        <w:tc>
          <w:tcPr>
            <w:tcW w:w="2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99 Cents Only Stores LLC </w:t>
            </w:r>
            <w:r>
              <w:rPr>
                <w:rFonts w:ascii="Arial" w:cs="Arial" w:eastAsia="Arial" w:hAnsi="Arial"/>
                <w:sz w:val="15"/>
                <w:szCs w:val="15"/>
                <w:color w:val="auto"/>
              </w:rPr>
              <w:t>(3)</w:t>
            </w: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ABL FILO term loan</w:t>
            </w:r>
          </w:p>
        </w:tc>
        <w:tc>
          <w:tcPr>
            <w:tcW w:w="10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($32,500 par, due 4/2021)</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9/6/2017</w:t>
            </w:r>
          </w:p>
        </w:tc>
        <w:tc>
          <w:tcPr>
            <w:tcW w:w="13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L + 7.75%</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10.49%</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32,164</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32,338</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w w:val="95"/>
              </w:rPr>
              <w:t xml:space="preserve">American Achievement, Corp. </w:t>
            </w:r>
            <w:r>
              <w:rPr>
                <w:rFonts w:ascii="Arial" w:cs="Arial" w:eastAsia="Arial" w:hAnsi="Arial"/>
                <w:sz w:val="15"/>
                <w:szCs w:val="15"/>
                <w:color w:val="auto"/>
                <w:w w:val="95"/>
              </w:rPr>
              <w:t>(3)</w:t>
            </w:r>
          </w:p>
        </w:tc>
        <w:tc>
          <w:tcPr>
            <w:tcW w:w="2260" w:type="dxa"/>
            <w:vAlign w:val="bottom"/>
          </w:tcPr>
          <w:p>
            <w:pPr>
              <w:ind w:left="100"/>
              <w:spacing w:after="0"/>
              <w:rPr>
                <w:sz w:val="20"/>
                <w:szCs w:val="20"/>
                <w:color w:val="auto"/>
              </w:rPr>
            </w:pPr>
            <w:r>
              <w:rPr>
                <w:rFonts w:ascii="Arial" w:cs="Arial" w:eastAsia="Arial" w:hAnsi="Arial"/>
                <w:sz w:val="18"/>
                <w:szCs w:val="18"/>
                <w:color w:val="auto"/>
                <w:w w:val="97"/>
              </w:rPr>
              <w:t>First-lien loan ($22,403 par,</w:t>
            </w: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due 9/2020)</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9/30/2015</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L + 8.25%</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10.60%</w:t>
            </w:r>
          </w:p>
        </w:tc>
        <w:tc>
          <w:tcPr>
            <w:tcW w:w="840" w:type="dxa"/>
            <w:vAlign w:val="bottom"/>
          </w:tcPr>
          <w:p>
            <w:pPr>
              <w:jc w:val="right"/>
              <w:spacing w:after="0"/>
              <w:rPr>
                <w:sz w:val="20"/>
                <w:szCs w:val="20"/>
                <w:color w:val="auto"/>
              </w:rPr>
            </w:pPr>
            <w:r>
              <w:rPr>
                <w:rFonts w:ascii="Arial" w:cs="Arial" w:eastAsia="Arial" w:hAnsi="Arial"/>
                <w:sz w:val="18"/>
                <w:szCs w:val="18"/>
                <w:color w:val="auto"/>
              </w:rPr>
              <w:t>22,277</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22,179</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5"/>
        </w:trPr>
        <w:tc>
          <w:tcPr>
            <w:tcW w:w="2520" w:type="dxa"/>
            <w:vAlign w:val="bottom"/>
            <w:shd w:val="clear" w:color="auto" w:fill="CFF0FC"/>
          </w:tcPr>
          <w:p>
            <w:pPr>
              <w:spacing w:after="0"/>
              <w:rPr>
                <w:sz w:val="18"/>
                <w:szCs w:val="18"/>
                <w:color w:val="auto"/>
              </w:rPr>
            </w:pP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Secured Promissory note</w:t>
            </w:r>
          </w:p>
        </w:tc>
        <w:tc>
          <w:tcPr>
            <w:tcW w:w="10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($795 par, due 12/2020)</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12/19/2018</w:t>
            </w:r>
          </w:p>
        </w:tc>
        <w:tc>
          <w:tcPr>
            <w:tcW w:w="13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L + 8.25%</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10.64%</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w:t>
            </w: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PayLess Inc. </w:t>
            </w:r>
            <w:r>
              <w:rPr>
                <w:rFonts w:ascii="Arial" w:cs="Arial" w:eastAsia="Arial" w:hAnsi="Arial"/>
                <w:sz w:val="15"/>
                <w:szCs w:val="15"/>
                <w:color w:val="auto"/>
              </w:rPr>
              <w:t>(3)(5)</w:t>
            </w:r>
          </w:p>
        </w:tc>
        <w:tc>
          <w:tcPr>
            <w:tcW w:w="2260" w:type="dxa"/>
            <w:vAlign w:val="bottom"/>
          </w:tcPr>
          <w:p>
            <w:pPr>
              <w:ind w:left="100"/>
              <w:spacing w:after="0"/>
              <w:rPr>
                <w:sz w:val="20"/>
                <w:szCs w:val="20"/>
                <w:color w:val="auto"/>
              </w:rPr>
            </w:pPr>
            <w:r>
              <w:rPr>
                <w:rFonts w:ascii="Arial" w:cs="Arial" w:eastAsia="Arial" w:hAnsi="Arial"/>
                <w:sz w:val="18"/>
                <w:szCs w:val="18"/>
                <w:color w:val="auto"/>
              </w:rPr>
              <w:t>ABL FILO term</w:t>
            </w: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loan ($14,063 par, due</w:t>
            </w: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8/2022)</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3/1/2018</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L + 8.00%</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10.38%</w:t>
            </w:r>
          </w:p>
        </w:tc>
        <w:tc>
          <w:tcPr>
            <w:tcW w:w="840" w:type="dxa"/>
            <w:vAlign w:val="bottom"/>
          </w:tcPr>
          <w:p>
            <w:pPr>
              <w:jc w:val="right"/>
              <w:spacing w:after="0"/>
              <w:rPr>
                <w:sz w:val="20"/>
                <w:szCs w:val="20"/>
                <w:color w:val="auto"/>
              </w:rPr>
            </w:pPr>
            <w:r>
              <w:rPr>
                <w:rFonts w:ascii="Arial" w:cs="Arial" w:eastAsia="Arial" w:hAnsi="Arial"/>
                <w:sz w:val="18"/>
                <w:szCs w:val="18"/>
                <w:color w:val="auto"/>
              </w:rPr>
              <w:t>13,806</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13,957</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Sears </w:t>
            </w:r>
            <w:r>
              <w:rPr>
                <w:rFonts w:ascii="Arial" w:cs="Arial" w:eastAsia="Arial" w:hAnsi="Arial"/>
                <w:sz w:val="15"/>
                <w:szCs w:val="15"/>
                <w:color w:val="auto"/>
              </w:rPr>
              <w:t>(3)(4)(11)</w:t>
            </w: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First-lien ABL DIP loan</w:t>
            </w:r>
          </w:p>
        </w:tc>
        <w:tc>
          <w:tcPr>
            <w:tcW w:w="10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520" w:type="dxa"/>
            <w:vAlign w:val="bottom"/>
            <w:shd w:val="clear" w:color="auto" w:fill="CFF0FC"/>
          </w:tcPr>
          <w:p>
            <w:pPr>
              <w:spacing w:after="0"/>
              <w:rPr>
                <w:sz w:val="20"/>
                <w:szCs w:val="20"/>
                <w:color w:val="auto"/>
              </w:rPr>
            </w:pPr>
          </w:p>
        </w:tc>
        <w:tc>
          <w:tcPr>
            <w:tcW w:w="2260" w:type="dxa"/>
            <w:vAlign w:val="bottom"/>
            <w:shd w:val="clear" w:color="auto" w:fill="CFF0FC"/>
          </w:tcPr>
          <w:p>
            <w:pPr>
              <w:ind w:left="100"/>
              <w:spacing w:after="0"/>
              <w:rPr>
                <w:sz w:val="20"/>
                <w:szCs w:val="20"/>
                <w:color w:val="auto"/>
              </w:rPr>
            </w:pPr>
            <w:r>
              <w:rPr>
                <w:rFonts w:ascii="Arial" w:cs="Arial" w:eastAsia="Arial" w:hAnsi="Arial"/>
                <w:sz w:val="18"/>
                <w:szCs w:val="18"/>
                <w:color w:val="auto"/>
                <w:w w:val="98"/>
              </w:rPr>
              <w:t>($25,394 par, due 10/2019)</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3/18/2016</w:t>
            </w:r>
          </w:p>
        </w:tc>
        <w:tc>
          <w:tcPr>
            <w:tcW w:w="13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L + 8.00%</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10.42%</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25,176</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25,870</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2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2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94,210</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95,131</w:t>
            </w: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223"/>
        </w:trPr>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Transportation</w:t>
            </w:r>
          </w:p>
        </w:tc>
        <w:tc>
          <w:tcPr>
            <w:tcW w:w="2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 xml:space="preserve">Ferrellgas, L.P. </w:t>
            </w:r>
            <w:r>
              <w:rPr>
                <w:rFonts w:ascii="Arial" w:cs="Arial" w:eastAsia="Arial" w:hAnsi="Arial"/>
                <w:sz w:val="15"/>
                <w:szCs w:val="15"/>
                <w:color w:val="auto"/>
              </w:rPr>
              <w:t>(3)(4)(5)</w:t>
            </w:r>
          </w:p>
        </w:tc>
        <w:tc>
          <w:tcPr>
            <w:tcW w:w="2260" w:type="dxa"/>
            <w:vAlign w:val="bottom"/>
          </w:tcPr>
          <w:p>
            <w:pPr>
              <w:ind w:left="100"/>
              <w:spacing w:after="0"/>
              <w:rPr>
                <w:sz w:val="20"/>
                <w:szCs w:val="20"/>
                <w:color w:val="auto"/>
              </w:rPr>
            </w:pPr>
            <w:r>
              <w:rPr>
                <w:rFonts w:ascii="Arial" w:cs="Arial" w:eastAsia="Arial" w:hAnsi="Arial"/>
                <w:sz w:val="18"/>
                <w:szCs w:val="18"/>
                <w:color w:val="auto"/>
                <w:w w:val="97"/>
              </w:rPr>
              <w:t>First-lien loan ($82,500 par,</w:t>
            </w:r>
          </w:p>
        </w:tc>
        <w:tc>
          <w:tcPr>
            <w:tcW w:w="10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520" w:type="dxa"/>
            <w:vAlign w:val="bottom"/>
          </w:tcPr>
          <w:p>
            <w:pPr>
              <w:spacing w:after="0"/>
              <w:rPr>
                <w:sz w:val="20"/>
                <w:szCs w:val="20"/>
                <w:color w:val="auto"/>
              </w:rPr>
            </w:pPr>
          </w:p>
        </w:tc>
        <w:tc>
          <w:tcPr>
            <w:tcW w:w="2260" w:type="dxa"/>
            <w:vAlign w:val="bottom"/>
          </w:tcPr>
          <w:p>
            <w:pPr>
              <w:ind w:left="100"/>
              <w:spacing w:after="0"/>
              <w:rPr>
                <w:sz w:val="20"/>
                <w:szCs w:val="20"/>
                <w:color w:val="auto"/>
              </w:rPr>
            </w:pPr>
            <w:r>
              <w:rPr>
                <w:rFonts w:ascii="Arial" w:cs="Arial" w:eastAsia="Arial" w:hAnsi="Arial"/>
                <w:sz w:val="18"/>
                <w:szCs w:val="18"/>
                <w:color w:val="auto"/>
              </w:rPr>
              <w:t>due 5/2023)</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5/4/2018</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L + 5.75%</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8.10%</w:t>
            </w:r>
          </w:p>
        </w:tc>
        <w:tc>
          <w:tcPr>
            <w:tcW w:w="840" w:type="dxa"/>
            <w:vAlign w:val="bottom"/>
          </w:tcPr>
          <w:p>
            <w:pPr>
              <w:jc w:val="right"/>
              <w:spacing w:after="0"/>
              <w:rPr>
                <w:sz w:val="20"/>
                <w:szCs w:val="20"/>
                <w:color w:val="auto"/>
              </w:rPr>
            </w:pPr>
            <w:r>
              <w:rPr>
                <w:rFonts w:ascii="Arial" w:cs="Arial" w:eastAsia="Arial" w:hAnsi="Arial"/>
                <w:sz w:val="18"/>
                <w:szCs w:val="18"/>
                <w:color w:val="auto"/>
              </w:rPr>
              <w:t>81,026</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83,062</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2520" w:type="dxa"/>
            <w:vAlign w:val="bottom"/>
            <w:shd w:val="clear" w:color="auto" w:fill="CFF0FC"/>
          </w:tcPr>
          <w:p>
            <w:pPr>
              <w:spacing w:after="0"/>
              <w:rPr>
                <w:sz w:val="19"/>
                <w:szCs w:val="19"/>
                <w:color w:val="auto"/>
              </w:rPr>
            </w:pPr>
          </w:p>
        </w:tc>
        <w:tc>
          <w:tcPr>
            <w:tcW w:w="2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4"/>
        </w:trPr>
        <w:tc>
          <w:tcPr>
            <w:tcW w:w="2520" w:type="dxa"/>
            <w:vAlign w:val="bottom"/>
          </w:tcPr>
          <w:p>
            <w:pPr>
              <w:spacing w:after="0"/>
              <w:rPr>
                <w:sz w:val="20"/>
                <w:szCs w:val="20"/>
                <w:color w:val="auto"/>
              </w:rPr>
            </w:pPr>
            <w:r>
              <w:rPr>
                <w:rFonts w:ascii="Arial" w:cs="Arial" w:eastAsia="Arial" w:hAnsi="Arial"/>
                <w:sz w:val="18"/>
                <w:szCs w:val="18"/>
                <w:b w:val="1"/>
                <w:bCs w:val="1"/>
                <w:color w:val="auto"/>
              </w:rPr>
              <w:t>Total Debt Investments</w:t>
            </w:r>
          </w:p>
        </w:tc>
        <w:tc>
          <w:tcPr>
            <w:tcW w:w="2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1,648,643</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u w:val="single" w:color="auto"/>
                <w:color w:val="auto"/>
              </w:rPr>
              <w:t>1,660,525</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u w:val="single" w:color="auto"/>
                <w:color w:val="auto"/>
              </w:rPr>
              <w:t>156.1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Equity and Other Investments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Beverage, food and tobacco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5"/>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w w:val="99"/>
              </w:rPr>
              <w:t xml:space="preserve">AFS Technologies, Inc. </w:t>
            </w:r>
            <w:r>
              <w:rPr>
                <w:rFonts w:ascii="Arial" w:cs="Arial" w:eastAsia="Arial" w:hAnsi="Arial"/>
                <w:sz w:val="15"/>
                <w:szCs w:val="15"/>
                <w:color w:val="auto"/>
                <w:w w:val="99"/>
              </w:rPr>
              <w:t>(6)(13)(14)</w:t>
            </w: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Preferred Units (4,163,090</w:t>
            </w:r>
          </w:p>
        </w:tc>
        <w:tc>
          <w:tcPr>
            <w:tcW w:w="3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40" w:type="dxa"/>
            <w:vAlign w:val="bottom"/>
            <w:shd w:val="clear" w:color="auto" w:fill="CFF0FC"/>
          </w:tcPr>
          <w:p>
            <w:pPr>
              <w:spacing w:after="0"/>
              <w:rPr>
                <w:sz w:val="20"/>
                <w:szCs w:val="20"/>
                <w:color w:val="auto"/>
              </w:rPr>
            </w:pP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Units)</w:t>
            </w:r>
          </w:p>
        </w:tc>
        <w:tc>
          <w:tcPr>
            <w:tcW w:w="3400" w:type="dxa"/>
            <w:vAlign w:val="bottom"/>
            <w:shd w:val="clear" w:color="auto" w:fill="CFF0FC"/>
          </w:tcPr>
          <w:p>
            <w:pPr>
              <w:jc w:val="right"/>
              <w:ind w:right="2410"/>
              <w:spacing w:after="0"/>
              <w:rPr>
                <w:sz w:val="20"/>
                <w:szCs w:val="20"/>
                <w:color w:val="auto"/>
              </w:rPr>
            </w:pPr>
            <w:r>
              <w:rPr>
                <w:rFonts w:ascii="Arial" w:cs="Arial" w:eastAsia="Arial" w:hAnsi="Arial"/>
                <w:sz w:val="18"/>
                <w:szCs w:val="18"/>
                <w:color w:val="auto"/>
                <w:w w:val="97"/>
              </w:rPr>
              <w:t>10/16/2018</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4,163</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4,163</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0"/>
                <w:szCs w:val="20"/>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b w:val="1"/>
                <w:bCs w:val="1"/>
                <w:color w:val="auto"/>
              </w:rPr>
              <w:t>Business Services</w:t>
            </w:r>
          </w:p>
        </w:tc>
        <w:tc>
          <w:tcPr>
            <w:tcW w:w="24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Motus, LLC </w:t>
            </w:r>
            <w:r>
              <w:rPr>
                <w:rFonts w:ascii="Arial" w:cs="Arial" w:eastAsia="Arial" w:hAnsi="Arial"/>
                <w:sz w:val="15"/>
                <w:szCs w:val="15"/>
                <w:color w:val="auto"/>
              </w:rPr>
              <w:t>(13)(14)</w:t>
            </w: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Class A Units (1,262 Units)</w:t>
            </w:r>
          </w:p>
        </w:tc>
        <w:tc>
          <w:tcPr>
            <w:tcW w:w="3400" w:type="dxa"/>
            <w:vAlign w:val="bottom"/>
            <w:shd w:val="clear" w:color="auto" w:fill="CFF0FC"/>
          </w:tcPr>
          <w:p>
            <w:pPr>
              <w:jc w:val="right"/>
              <w:ind w:right="2410"/>
              <w:spacing w:after="0"/>
              <w:rPr>
                <w:sz w:val="20"/>
                <w:szCs w:val="20"/>
                <w:color w:val="auto"/>
              </w:rPr>
            </w:pPr>
            <w:r>
              <w:rPr>
                <w:rFonts w:ascii="Arial" w:cs="Arial" w:eastAsia="Arial" w:hAnsi="Arial"/>
                <w:sz w:val="18"/>
                <w:szCs w:val="18"/>
                <w:color w:val="auto"/>
              </w:rPr>
              <w:t>1/17/2018</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30"/>
        </w:trPr>
        <w:tc>
          <w:tcPr>
            <w:tcW w:w="2640" w:type="dxa"/>
            <w:vAlign w:val="bottom"/>
          </w:tcPr>
          <w:p>
            <w:pPr>
              <w:spacing w:after="0"/>
              <w:rPr>
                <w:sz w:val="19"/>
                <w:szCs w:val="19"/>
                <w:color w:val="auto"/>
              </w:rPr>
            </w:pPr>
          </w:p>
        </w:tc>
        <w:tc>
          <w:tcPr>
            <w:tcW w:w="2400" w:type="dxa"/>
            <w:vAlign w:val="bottom"/>
          </w:tcPr>
          <w:p>
            <w:pPr>
              <w:ind w:left="60"/>
              <w:spacing w:after="0"/>
              <w:rPr>
                <w:sz w:val="20"/>
                <w:szCs w:val="20"/>
                <w:color w:val="auto"/>
              </w:rPr>
            </w:pPr>
            <w:r>
              <w:rPr>
                <w:rFonts w:ascii="Arial" w:cs="Arial" w:eastAsia="Arial" w:hAnsi="Arial"/>
                <w:sz w:val="18"/>
                <w:szCs w:val="18"/>
                <w:color w:val="auto"/>
                <w:w w:val="98"/>
              </w:rPr>
              <w:t>Class B Units (517,020 Units)</w:t>
            </w:r>
          </w:p>
        </w:tc>
        <w:tc>
          <w:tcPr>
            <w:tcW w:w="3400" w:type="dxa"/>
            <w:vAlign w:val="bottom"/>
          </w:tcPr>
          <w:p>
            <w:pPr>
              <w:jc w:val="right"/>
              <w:ind w:right="2410"/>
              <w:spacing w:after="0"/>
              <w:rPr>
                <w:sz w:val="20"/>
                <w:szCs w:val="20"/>
                <w:color w:val="auto"/>
              </w:rPr>
            </w:pPr>
            <w:r>
              <w:rPr>
                <w:rFonts w:ascii="Arial" w:cs="Arial" w:eastAsia="Arial" w:hAnsi="Arial"/>
                <w:sz w:val="18"/>
                <w:szCs w:val="18"/>
                <w:color w:val="auto"/>
              </w:rPr>
              <w:t>1/17/2018</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30"/>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Nintex Global Limited </w:t>
            </w:r>
            <w:r>
              <w:rPr>
                <w:rFonts w:ascii="Arial" w:cs="Arial" w:eastAsia="Arial" w:hAnsi="Arial"/>
                <w:sz w:val="15"/>
                <w:szCs w:val="15"/>
                <w:color w:val="auto"/>
              </w:rPr>
              <w:t>(13)(14)</w:t>
            </w: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w w:val="93"/>
              </w:rPr>
              <w:t>Class A Shares (1,197 Shares)</w:t>
            </w:r>
          </w:p>
        </w:tc>
        <w:tc>
          <w:tcPr>
            <w:tcW w:w="3400" w:type="dxa"/>
            <w:vAlign w:val="bottom"/>
            <w:shd w:val="clear" w:color="auto" w:fill="CFF0FC"/>
          </w:tcPr>
          <w:p>
            <w:pPr>
              <w:jc w:val="right"/>
              <w:ind w:right="2410"/>
              <w:spacing w:after="0"/>
              <w:rPr>
                <w:sz w:val="20"/>
                <w:szCs w:val="20"/>
                <w:color w:val="auto"/>
              </w:rPr>
            </w:pPr>
            <w:r>
              <w:rPr>
                <w:rFonts w:ascii="Arial" w:cs="Arial" w:eastAsia="Arial" w:hAnsi="Arial"/>
                <w:sz w:val="18"/>
                <w:szCs w:val="18"/>
                <w:color w:val="auto"/>
              </w:rPr>
              <w:t>3/30/2018</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15"/>
        </w:trPr>
        <w:tc>
          <w:tcPr>
            <w:tcW w:w="264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Arial" w:cs="Arial" w:eastAsia="Arial" w:hAnsi="Arial"/>
                <w:sz w:val="18"/>
                <w:szCs w:val="18"/>
                <w:color w:val="auto"/>
              </w:rPr>
              <w:t>Class B Shares (398,557</w:t>
            </w:r>
          </w:p>
        </w:tc>
        <w:tc>
          <w:tcPr>
            <w:tcW w:w="3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40" w:type="dxa"/>
            <w:vAlign w:val="bottom"/>
          </w:tcPr>
          <w:p>
            <w:pPr>
              <w:spacing w:after="0"/>
              <w:rPr>
                <w:sz w:val="20"/>
                <w:szCs w:val="20"/>
                <w:color w:val="auto"/>
              </w:rPr>
            </w:pPr>
          </w:p>
        </w:tc>
        <w:tc>
          <w:tcPr>
            <w:tcW w:w="2400" w:type="dxa"/>
            <w:vAlign w:val="bottom"/>
          </w:tcPr>
          <w:p>
            <w:pPr>
              <w:ind w:left="60"/>
              <w:spacing w:after="0"/>
              <w:rPr>
                <w:sz w:val="20"/>
                <w:szCs w:val="20"/>
                <w:color w:val="auto"/>
              </w:rPr>
            </w:pPr>
            <w:r>
              <w:rPr>
                <w:rFonts w:ascii="Arial" w:cs="Arial" w:eastAsia="Arial" w:hAnsi="Arial"/>
                <w:sz w:val="18"/>
                <w:szCs w:val="18"/>
                <w:color w:val="auto"/>
              </w:rPr>
              <w:t>Shares)</w:t>
            </w:r>
          </w:p>
        </w:tc>
        <w:tc>
          <w:tcPr>
            <w:tcW w:w="3400" w:type="dxa"/>
            <w:vAlign w:val="bottom"/>
          </w:tcPr>
          <w:p>
            <w:pPr>
              <w:jc w:val="right"/>
              <w:ind w:right="2410"/>
              <w:spacing w:after="0"/>
              <w:rPr>
                <w:sz w:val="20"/>
                <w:szCs w:val="20"/>
                <w:color w:val="auto"/>
              </w:rPr>
            </w:pPr>
            <w:r>
              <w:rPr>
                <w:rFonts w:ascii="Arial" w:cs="Arial" w:eastAsia="Arial" w:hAnsi="Arial"/>
                <w:sz w:val="18"/>
                <w:szCs w:val="18"/>
                <w:color w:val="auto"/>
              </w:rPr>
              <w:t>3/30/2018</w:t>
            </w: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r>
      <w:tr>
        <w:trPr>
          <w:trHeight w:val="20"/>
        </w:trPr>
        <w:tc>
          <w:tcPr>
            <w:tcW w:w="264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34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4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2,471</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2,471</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223"/>
        </w:trPr>
        <w:tc>
          <w:tcPr>
            <w:tcW w:w="2640" w:type="dxa"/>
            <w:vAlign w:val="bottom"/>
          </w:tcPr>
          <w:p>
            <w:pPr>
              <w:spacing w:after="0"/>
              <w:rPr>
                <w:sz w:val="20"/>
                <w:szCs w:val="20"/>
                <w:color w:val="auto"/>
              </w:rPr>
            </w:pPr>
            <w:r>
              <w:rPr>
                <w:rFonts w:ascii="Arial" w:cs="Arial" w:eastAsia="Arial" w:hAnsi="Arial"/>
                <w:sz w:val="18"/>
                <w:szCs w:val="18"/>
                <w:b w:val="1"/>
                <w:bCs w:val="1"/>
                <w:color w:val="auto"/>
              </w:rPr>
              <w:t>Chemicals</w:t>
            </w:r>
          </w:p>
        </w:tc>
        <w:tc>
          <w:tcPr>
            <w:tcW w:w="24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Vertellus Specialties, Inc. </w:t>
            </w:r>
            <w:r>
              <w:rPr>
                <w:rFonts w:ascii="Arial" w:cs="Arial" w:eastAsia="Arial" w:hAnsi="Arial"/>
                <w:sz w:val="15"/>
                <w:szCs w:val="15"/>
                <w:color w:val="auto"/>
              </w:rPr>
              <w:t>(13)</w:t>
            </w: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Common Units (2,672,990</w:t>
            </w:r>
          </w:p>
        </w:tc>
        <w:tc>
          <w:tcPr>
            <w:tcW w:w="3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40" w:type="dxa"/>
            <w:vAlign w:val="bottom"/>
            <w:shd w:val="clear" w:color="auto" w:fill="CFF0FC"/>
          </w:tcPr>
          <w:p>
            <w:pPr>
              <w:spacing w:after="0"/>
              <w:rPr>
                <w:sz w:val="20"/>
                <w:szCs w:val="20"/>
                <w:color w:val="auto"/>
              </w:rPr>
            </w:pP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units)</w:t>
            </w:r>
          </w:p>
        </w:tc>
        <w:tc>
          <w:tcPr>
            <w:tcW w:w="3400" w:type="dxa"/>
            <w:vAlign w:val="bottom"/>
            <w:shd w:val="clear" w:color="auto" w:fill="CFF0FC"/>
          </w:tcPr>
          <w:p>
            <w:pPr>
              <w:jc w:val="right"/>
              <w:ind w:right="2410"/>
              <w:spacing w:after="0"/>
              <w:rPr>
                <w:sz w:val="20"/>
                <w:szCs w:val="20"/>
                <w:color w:val="auto"/>
              </w:rPr>
            </w:pPr>
            <w:r>
              <w:rPr>
                <w:rFonts w:ascii="Arial" w:cs="Arial" w:eastAsia="Arial" w:hAnsi="Arial"/>
                <w:sz w:val="18"/>
                <w:szCs w:val="18"/>
                <w:color w:val="auto"/>
                <w:w w:val="97"/>
              </w:rPr>
              <w:t>10/31/2016</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3,828</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3,503</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0"/>
                <w:szCs w:val="20"/>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b w:val="1"/>
                <w:bCs w:val="1"/>
                <w:color w:val="auto"/>
              </w:rPr>
              <w:t>Financial services</w:t>
            </w:r>
          </w:p>
        </w:tc>
        <w:tc>
          <w:tcPr>
            <w:tcW w:w="24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AvidXchange, Inc. </w:t>
            </w:r>
            <w:r>
              <w:rPr>
                <w:rFonts w:ascii="Arial" w:cs="Arial" w:eastAsia="Arial" w:hAnsi="Arial"/>
                <w:sz w:val="15"/>
                <w:szCs w:val="15"/>
                <w:color w:val="auto"/>
              </w:rPr>
              <w:t>(13)</w:t>
            </w: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Series E Preferred Equity</w:t>
            </w:r>
          </w:p>
        </w:tc>
        <w:tc>
          <w:tcPr>
            <w:tcW w:w="3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40" w:type="dxa"/>
            <w:vAlign w:val="bottom"/>
            <w:shd w:val="clear" w:color="auto" w:fill="CFF0FC"/>
          </w:tcPr>
          <w:p>
            <w:pPr>
              <w:spacing w:after="0"/>
              <w:rPr>
                <w:sz w:val="20"/>
                <w:szCs w:val="20"/>
                <w:color w:val="auto"/>
              </w:rPr>
            </w:pP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(214,132 shares)</w:t>
            </w:r>
          </w:p>
        </w:tc>
        <w:tc>
          <w:tcPr>
            <w:tcW w:w="3400" w:type="dxa"/>
            <w:vAlign w:val="bottom"/>
            <w:shd w:val="clear" w:color="auto" w:fill="CFF0FC"/>
          </w:tcPr>
          <w:p>
            <w:pPr>
              <w:jc w:val="right"/>
              <w:ind w:right="2410"/>
              <w:spacing w:after="0"/>
              <w:rPr>
                <w:sz w:val="20"/>
                <w:szCs w:val="20"/>
                <w:color w:val="auto"/>
              </w:rPr>
            </w:pPr>
            <w:r>
              <w:rPr>
                <w:rFonts w:ascii="Arial" w:cs="Arial" w:eastAsia="Arial" w:hAnsi="Arial"/>
                <w:sz w:val="18"/>
                <w:szCs w:val="18"/>
                <w:color w:val="auto"/>
              </w:rPr>
              <w:t>8/7/2015</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3,846</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7,481</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20"/>
                <w:szCs w:val="20"/>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w w:val="94"/>
              </w:rPr>
              <w:t xml:space="preserve">Oxford Square Capital Corp. </w:t>
            </w:r>
            <w:r>
              <w:rPr>
                <w:rFonts w:ascii="Arial" w:cs="Arial" w:eastAsia="Arial" w:hAnsi="Arial"/>
                <w:sz w:val="15"/>
                <w:szCs w:val="15"/>
                <w:color w:val="auto"/>
                <w:w w:val="94"/>
              </w:rPr>
              <w:t>(4)(12)</w:t>
            </w:r>
          </w:p>
        </w:tc>
        <w:tc>
          <w:tcPr>
            <w:tcW w:w="2400" w:type="dxa"/>
            <w:vAlign w:val="bottom"/>
          </w:tcPr>
          <w:p>
            <w:pPr>
              <w:ind w:left="60"/>
              <w:spacing w:after="0"/>
              <w:rPr>
                <w:sz w:val="20"/>
                <w:szCs w:val="20"/>
                <w:color w:val="auto"/>
              </w:rPr>
            </w:pPr>
            <w:r>
              <w:rPr>
                <w:rFonts w:ascii="Arial" w:cs="Arial" w:eastAsia="Arial" w:hAnsi="Arial"/>
                <w:sz w:val="18"/>
                <w:szCs w:val="18"/>
                <w:color w:val="auto"/>
                <w:w w:val="90"/>
              </w:rPr>
              <w:t>Common Shares (1,059 shares)</w:t>
            </w:r>
          </w:p>
        </w:tc>
        <w:tc>
          <w:tcPr>
            <w:tcW w:w="3400" w:type="dxa"/>
            <w:vAlign w:val="bottom"/>
          </w:tcPr>
          <w:p>
            <w:pPr>
              <w:jc w:val="right"/>
              <w:ind w:right="2410"/>
              <w:spacing w:after="0"/>
              <w:rPr>
                <w:sz w:val="20"/>
                <w:szCs w:val="20"/>
                <w:color w:val="auto"/>
              </w:rPr>
            </w:pPr>
            <w:r>
              <w:rPr>
                <w:rFonts w:ascii="Arial" w:cs="Arial" w:eastAsia="Arial" w:hAnsi="Arial"/>
                <w:sz w:val="18"/>
                <w:szCs w:val="18"/>
                <w:color w:val="auto"/>
              </w:rPr>
              <w:t>8/5/2015</w:t>
            </w: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15"/>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Swift Gift Limited </w:t>
            </w:r>
            <w:r>
              <w:rPr>
                <w:rFonts w:ascii="Arial" w:cs="Arial" w:eastAsia="Arial" w:hAnsi="Arial"/>
                <w:sz w:val="15"/>
                <w:szCs w:val="15"/>
                <w:color w:val="auto"/>
              </w:rPr>
              <w:t>(13)</w:t>
            </w: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Common Shares (35,000</w:t>
            </w:r>
          </w:p>
        </w:tc>
        <w:tc>
          <w:tcPr>
            <w:tcW w:w="3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40" w:type="dxa"/>
            <w:vAlign w:val="bottom"/>
            <w:shd w:val="clear" w:color="auto" w:fill="CFF0FC"/>
          </w:tcPr>
          <w:p>
            <w:pPr>
              <w:spacing w:after="0"/>
              <w:rPr>
                <w:sz w:val="20"/>
                <w:szCs w:val="20"/>
                <w:color w:val="auto"/>
              </w:rPr>
            </w:pP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shares)</w:t>
            </w:r>
          </w:p>
        </w:tc>
        <w:tc>
          <w:tcPr>
            <w:tcW w:w="3400" w:type="dxa"/>
            <w:vAlign w:val="bottom"/>
            <w:shd w:val="clear" w:color="auto" w:fill="CFF0FC"/>
          </w:tcPr>
          <w:p>
            <w:pPr>
              <w:jc w:val="right"/>
              <w:ind w:right="2410"/>
              <w:spacing w:after="0"/>
              <w:rPr>
                <w:sz w:val="20"/>
                <w:szCs w:val="20"/>
                <w:color w:val="auto"/>
              </w:rPr>
            </w:pPr>
            <w:r>
              <w:rPr>
                <w:rFonts w:ascii="Arial" w:cs="Arial" w:eastAsia="Arial" w:hAnsi="Arial"/>
                <w:sz w:val="18"/>
                <w:szCs w:val="18"/>
                <w:color w:val="auto"/>
              </w:rPr>
              <w:t>7/31/2017</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7,998</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0"/>
                <w:szCs w:val="20"/>
                <w:color w:val="auto"/>
              </w:rPr>
            </w:pPr>
          </w:p>
        </w:tc>
      </w:tr>
      <w:tr>
        <w:trPr>
          <w:trHeight w:val="20"/>
        </w:trPr>
        <w:tc>
          <w:tcPr>
            <w:tcW w:w="2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7,353</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15,486</w:t>
            </w:r>
          </w:p>
        </w:tc>
        <w:tc>
          <w:tcPr>
            <w:tcW w:w="2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r>
      <w:tr>
        <w:trPr>
          <w:trHeight w:val="223"/>
        </w:trPr>
        <w:tc>
          <w:tcPr>
            <w:tcW w:w="2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Healthcare</w:t>
            </w:r>
          </w:p>
        </w:tc>
        <w:tc>
          <w:tcPr>
            <w:tcW w:w="2400" w:type="dxa"/>
            <w:vAlign w:val="bottom"/>
            <w:tcBorders>
              <w:top w:val="single" w:sz="8" w:color="CFF0FC"/>
            </w:tcBorders>
            <w:shd w:val="clear" w:color="auto" w:fill="CFF0FC"/>
          </w:tcPr>
          <w:p>
            <w:pPr>
              <w:spacing w:after="0"/>
              <w:rPr>
                <w:sz w:val="19"/>
                <w:szCs w:val="19"/>
                <w:color w:val="auto"/>
              </w:rPr>
            </w:pPr>
          </w:p>
        </w:tc>
        <w:tc>
          <w:tcPr>
            <w:tcW w:w="34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 xml:space="preserve">Caris Life Sciences, Ltd. </w:t>
            </w:r>
            <w:r>
              <w:rPr>
                <w:rFonts w:ascii="Arial" w:cs="Arial" w:eastAsia="Arial" w:hAnsi="Arial"/>
                <w:sz w:val="15"/>
                <w:szCs w:val="15"/>
                <w:color w:val="auto"/>
              </w:rPr>
              <w:t>(13)(14)</w:t>
            </w:r>
          </w:p>
        </w:tc>
        <w:tc>
          <w:tcPr>
            <w:tcW w:w="2400" w:type="dxa"/>
            <w:vAlign w:val="bottom"/>
          </w:tcPr>
          <w:p>
            <w:pPr>
              <w:ind w:left="60"/>
              <w:spacing w:after="0"/>
              <w:rPr>
                <w:sz w:val="20"/>
                <w:szCs w:val="20"/>
                <w:color w:val="auto"/>
              </w:rPr>
            </w:pPr>
            <w:r>
              <w:rPr>
                <w:rFonts w:ascii="Arial" w:cs="Arial" w:eastAsia="Arial" w:hAnsi="Arial"/>
                <w:sz w:val="18"/>
                <w:szCs w:val="18"/>
                <w:color w:val="auto"/>
              </w:rPr>
              <w:t>Warrants</w:t>
            </w:r>
          </w:p>
        </w:tc>
        <w:tc>
          <w:tcPr>
            <w:tcW w:w="3400" w:type="dxa"/>
            <w:vAlign w:val="bottom"/>
          </w:tcPr>
          <w:p>
            <w:pPr>
              <w:jc w:val="right"/>
              <w:ind w:right="2410"/>
              <w:spacing w:after="0"/>
              <w:rPr>
                <w:sz w:val="20"/>
                <w:szCs w:val="20"/>
                <w:color w:val="auto"/>
              </w:rPr>
            </w:pPr>
            <w:r>
              <w:rPr>
                <w:rFonts w:ascii="Arial" w:cs="Arial" w:eastAsia="Arial" w:hAnsi="Arial"/>
                <w:sz w:val="18"/>
                <w:szCs w:val="18"/>
                <w:color w:val="auto"/>
              </w:rPr>
              <w:t>9/21/2018</w:t>
            </w:r>
          </w:p>
        </w:tc>
        <w:tc>
          <w:tcPr>
            <w:tcW w:w="760" w:type="dxa"/>
            <w:vAlign w:val="bottom"/>
          </w:tcPr>
          <w:p>
            <w:pPr>
              <w:jc w:val="right"/>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15"/>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SRS Parent Corp. </w:t>
            </w:r>
            <w:r>
              <w:rPr>
                <w:rFonts w:ascii="Arial" w:cs="Arial" w:eastAsia="Arial" w:hAnsi="Arial"/>
                <w:sz w:val="15"/>
                <w:szCs w:val="15"/>
                <w:color w:val="auto"/>
              </w:rPr>
              <w:t>(13)</w:t>
            </w: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Common Shares Class A</w:t>
            </w:r>
          </w:p>
        </w:tc>
        <w:tc>
          <w:tcPr>
            <w:tcW w:w="3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40" w:type="dxa"/>
            <w:vAlign w:val="bottom"/>
            <w:shd w:val="clear" w:color="auto" w:fill="CFF0FC"/>
          </w:tcPr>
          <w:p>
            <w:pPr>
              <w:spacing w:after="0"/>
              <w:rPr>
                <w:sz w:val="20"/>
                <w:szCs w:val="20"/>
                <w:color w:val="auto"/>
              </w:rPr>
            </w:pP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(1,980 shares)</w:t>
            </w:r>
          </w:p>
        </w:tc>
        <w:tc>
          <w:tcPr>
            <w:tcW w:w="3400" w:type="dxa"/>
            <w:vAlign w:val="bottom"/>
            <w:shd w:val="clear" w:color="auto" w:fill="CFF0FC"/>
          </w:tcPr>
          <w:p>
            <w:pPr>
              <w:jc w:val="right"/>
              <w:ind w:right="2410"/>
              <w:spacing w:after="0"/>
              <w:rPr>
                <w:sz w:val="20"/>
                <w:szCs w:val="20"/>
                <w:color w:val="auto"/>
              </w:rPr>
            </w:pPr>
            <w:r>
              <w:rPr>
                <w:rFonts w:ascii="Arial" w:cs="Arial" w:eastAsia="Arial" w:hAnsi="Arial"/>
                <w:sz w:val="18"/>
                <w:szCs w:val="18"/>
                <w:color w:val="auto"/>
                <w:w w:val="97"/>
              </w:rPr>
              <w:t>12/28/2012</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15"/>
        </w:trPr>
        <w:tc>
          <w:tcPr>
            <w:tcW w:w="264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Arial" w:cs="Arial" w:eastAsia="Arial" w:hAnsi="Arial"/>
                <w:sz w:val="18"/>
                <w:szCs w:val="18"/>
                <w:color w:val="auto"/>
              </w:rPr>
              <w:t>Common Shares Class B</w:t>
            </w:r>
          </w:p>
        </w:tc>
        <w:tc>
          <w:tcPr>
            <w:tcW w:w="3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40" w:type="dxa"/>
            <w:vAlign w:val="bottom"/>
          </w:tcPr>
          <w:p>
            <w:pPr>
              <w:spacing w:after="0"/>
              <w:rPr>
                <w:sz w:val="20"/>
                <w:szCs w:val="20"/>
                <w:color w:val="auto"/>
              </w:rPr>
            </w:pPr>
          </w:p>
        </w:tc>
        <w:tc>
          <w:tcPr>
            <w:tcW w:w="2400" w:type="dxa"/>
            <w:vAlign w:val="bottom"/>
          </w:tcPr>
          <w:p>
            <w:pPr>
              <w:ind w:left="60"/>
              <w:spacing w:after="0"/>
              <w:rPr>
                <w:sz w:val="20"/>
                <w:szCs w:val="20"/>
                <w:color w:val="auto"/>
              </w:rPr>
            </w:pPr>
            <w:r>
              <w:rPr>
                <w:rFonts w:ascii="Arial" w:cs="Arial" w:eastAsia="Arial" w:hAnsi="Arial"/>
                <w:sz w:val="18"/>
                <w:szCs w:val="18"/>
                <w:color w:val="auto"/>
              </w:rPr>
              <w:t>(2,953,020 shares)</w:t>
            </w:r>
          </w:p>
        </w:tc>
        <w:tc>
          <w:tcPr>
            <w:tcW w:w="3400" w:type="dxa"/>
            <w:vAlign w:val="bottom"/>
          </w:tcPr>
          <w:p>
            <w:pPr>
              <w:jc w:val="right"/>
              <w:ind w:right="2410"/>
              <w:spacing w:after="0"/>
              <w:rPr>
                <w:sz w:val="20"/>
                <w:szCs w:val="20"/>
                <w:color w:val="auto"/>
              </w:rPr>
            </w:pPr>
            <w:r>
              <w:rPr>
                <w:rFonts w:ascii="Arial" w:cs="Arial" w:eastAsia="Arial" w:hAnsi="Arial"/>
                <w:sz w:val="18"/>
                <w:szCs w:val="18"/>
                <w:color w:val="auto"/>
                <w:w w:val="97"/>
              </w:rPr>
              <w:t>12/28/2012</w:t>
            </w: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r>
      <w:tr>
        <w:trPr>
          <w:trHeight w:val="20"/>
        </w:trPr>
        <w:tc>
          <w:tcPr>
            <w:tcW w:w="264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34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4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2,192</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1,267</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23"/>
        </w:trPr>
        <w:tc>
          <w:tcPr>
            <w:tcW w:w="2640" w:type="dxa"/>
            <w:vAlign w:val="bottom"/>
          </w:tcPr>
          <w:p>
            <w:pPr>
              <w:spacing w:after="0"/>
              <w:rPr>
                <w:sz w:val="20"/>
                <w:szCs w:val="20"/>
                <w:color w:val="auto"/>
              </w:rPr>
            </w:pPr>
            <w:r>
              <w:rPr>
                <w:rFonts w:ascii="Arial" w:cs="Arial" w:eastAsia="Arial" w:hAnsi="Arial"/>
                <w:sz w:val="18"/>
                <w:szCs w:val="18"/>
                <w:b w:val="1"/>
                <w:bCs w:val="1"/>
                <w:color w:val="auto"/>
              </w:rPr>
              <w:t>Hotel, gaming, and leisure</w:t>
            </w:r>
          </w:p>
        </w:tc>
        <w:tc>
          <w:tcPr>
            <w:tcW w:w="24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IRGSE Holding Corp. </w:t>
            </w:r>
            <w:r>
              <w:rPr>
                <w:rFonts w:ascii="Arial" w:cs="Arial" w:eastAsia="Arial" w:hAnsi="Arial"/>
                <w:sz w:val="15"/>
                <w:szCs w:val="15"/>
                <w:color w:val="auto"/>
              </w:rPr>
              <w:t>(7)(13)</w:t>
            </w: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Class A Units (27,690,171</w:t>
            </w:r>
          </w:p>
        </w:tc>
        <w:tc>
          <w:tcPr>
            <w:tcW w:w="3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40" w:type="dxa"/>
            <w:vAlign w:val="bottom"/>
            <w:shd w:val="clear" w:color="auto" w:fill="CFF0FC"/>
          </w:tcPr>
          <w:p>
            <w:pPr>
              <w:spacing w:after="0"/>
              <w:rPr>
                <w:sz w:val="20"/>
                <w:szCs w:val="20"/>
                <w:color w:val="auto"/>
              </w:rPr>
            </w:pP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 xml:space="preserve">units) </w:t>
            </w:r>
            <w:r>
              <w:rPr>
                <w:rFonts w:ascii="Arial" w:cs="Arial" w:eastAsia="Arial" w:hAnsi="Arial"/>
                <w:sz w:val="15"/>
                <w:szCs w:val="15"/>
                <w:color w:val="auto"/>
              </w:rPr>
              <w:t>(14)</w:t>
            </w:r>
          </w:p>
        </w:tc>
        <w:tc>
          <w:tcPr>
            <w:tcW w:w="3400" w:type="dxa"/>
            <w:vAlign w:val="bottom"/>
            <w:shd w:val="clear" w:color="auto" w:fill="CFF0FC"/>
          </w:tcPr>
          <w:p>
            <w:pPr>
              <w:jc w:val="right"/>
              <w:ind w:right="2410"/>
              <w:spacing w:after="0"/>
              <w:rPr>
                <w:sz w:val="20"/>
                <w:szCs w:val="20"/>
                <w:color w:val="auto"/>
              </w:rPr>
            </w:pPr>
            <w:r>
              <w:rPr>
                <w:rFonts w:ascii="Arial" w:cs="Arial" w:eastAsia="Arial" w:hAnsi="Arial"/>
                <w:sz w:val="18"/>
                <w:szCs w:val="18"/>
                <w:color w:val="auto"/>
                <w:w w:val="97"/>
              </w:rPr>
              <w:t>12/21/2018</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20,063</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0"/>
                <w:szCs w:val="20"/>
                <w:color w:val="auto"/>
              </w:rPr>
            </w:pPr>
          </w:p>
        </w:tc>
      </w:tr>
      <w:tr>
        <w:trPr>
          <w:trHeight w:val="215"/>
        </w:trPr>
        <w:tc>
          <w:tcPr>
            <w:tcW w:w="264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Arial" w:cs="Arial" w:eastAsia="Arial" w:hAnsi="Arial"/>
                <w:sz w:val="18"/>
                <w:szCs w:val="18"/>
                <w:color w:val="auto"/>
              </w:rPr>
              <w:t>Common Shares (8,800,000</w:t>
            </w:r>
          </w:p>
        </w:tc>
        <w:tc>
          <w:tcPr>
            <w:tcW w:w="3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40" w:type="dxa"/>
            <w:vAlign w:val="bottom"/>
          </w:tcPr>
          <w:p>
            <w:pPr>
              <w:spacing w:after="0"/>
              <w:rPr>
                <w:sz w:val="20"/>
                <w:szCs w:val="20"/>
                <w:color w:val="auto"/>
              </w:rPr>
            </w:pPr>
          </w:p>
        </w:tc>
        <w:tc>
          <w:tcPr>
            <w:tcW w:w="2400" w:type="dxa"/>
            <w:vAlign w:val="bottom"/>
          </w:tcPr>
          <w:p>
            <w:pPr>
              <w:ind w:left="60"/>
              <w:spacing w:after="0"/>
              <w:rPr>
                <w:sz w:val="20"/>
                <w:szCs w:val="20"/>
                <w:color w:val="auto"/>
              </w:rPr>
            </w:pPr>
            <w:r>
              <w:rPr>
                <w:rFonts w:ascii="Arial" w:cs="Arial" w:eastAsia="Arial" w:hAnsi="Arial"/>
                <w:sz w:val="18"/>
                <w:szCs w:val="18"/>
                <w:color w:val="auto"/>
              </w:rPr>
              <w:t>shares)</w:t>
            </w:r>
          </w:p>
        </w:tc>
        <w:tc>
          <w:tcPr>
            <w:tcW w:w="3400" w:type="dxa"/>
            <w:vAlign w:val="bottom"/>
          </w:tcPr>
          <w:p>
            <w:pPr>
              <w:jc w:val="right"/>
              <w:ind w:right="2410"/>
              <w:spacing w:after="0"/>
              <w:rPr>
                <w:sz w:val="20"/>
                <w:szCs w:val="20"/>
                <w:color w:val="auto"/>
              </w:rPr>
            </w:pPr>
            <w:r>
              <w:rPr>
                <w:rFonts w:ascii="Arial" w:cs="Arial" w:eastAsia="Arial" w:hAnsi="Arial"/>
                <w:sz w:val="18"/>
                <w:szCs w:val="18"/>
                <w:color w:val="auto"/>
                <w:w w:val="97"/>
              </w:rPr>
              <w:t>12/21/2018</w:t>
            </w: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r>
      <w:tr>
        <w:trPr>
          <w:trHeight w:val="20"/>
        </w:trPr>
        <w:tc>
          <w:tcPr>
            <w:tcW w:w="264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34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4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20,163</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4,568</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r>
      <w:tr>
        <w:trPr>
          <w:trHeight w:val="223"/>
        </w:trPr>
        <w:tc>
          <w:tcPr>
            <w:tcW w:w="2640" w:type="dxa"/>
            <w:vAlign w:val="bottom"/>
          </w:tcPr>
          <w:p>
            <w:pPr>
              <w:spacing w:after="0"/>
              <w:rPr>
                <w:sz w:val="20"/>
                <w:szCs w:val="20"/>
                <w:color w:val="auto"/>
              </w:rPr>
            </w:pPr>
            <w:r>
              <w:rPr>
                <w:rFonts w:ascii="Arial" w:cs="Arial" w:eastAsia="Arial" w:hAnsi="Arial"/>
                <w:sz w:val="18"/>
                <w:szCs w:val="18"/>
                <w:b w:val="1"/>
                <w:bCs w:val="1"/>
                <w:color w:val="auto"/>
                <w:w w:val="89"/>
              </w:rPr>
              <w:t>Human resource support services</w:t>
            </w:r>
          </w:p>
        </w:tc>
        <w:tc>
          <w:tcPr>
            <w:tcW w:w="24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ClearCompany, LLC </w:t>
            </w:r>
            <w:r>
              <w:rPr>
                <w:rFonts w:ascii="Arial" w:cs="Arial" w:eastAsia="Arial" w:hAnsi="Arial"/>
                <w:sz w:val="15"/>
                <w:szCs w:val="15"/>
                <w:color w:val="auto"/>
              </w:rPr>
              <w:t>(13)(14)(15)</w:t>
            </w: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Class A Units (44,944 units)</w:t>
            </w:r>
          </w:p>
        </w:tc>
        <w:tc>
          <w:tcPr>
            <w:tcW w:w="3400" w:type="dxa"/>
            <w:vAlign w:val="bottom"/>
            <w:shd w:val="clear" w:color="auto" w:fill="CFF0FC"/>
          </w:tcPr>
          <w:p>
            <w:pPr>
              <w:jc w:val="right"/>
              <w:ind w:right="2410"/>
              <w:spacing w:after="0"/>
              <w:rPr>
                <w:sz w:val="20"/>
                <w:szCs w:val="20"/>
                <w:color w:val="auto"/>
              </w:rPr>
            </w:pPr>
            <w:r>
              <w:rPr>
                <w:rFonts w:ascii="Arial" w:cs="Arial" w:eastAsia="Arial" w:hAnsi="Arial"/>
                <w:sz w:val="18"/>
                <w:szCs w:val="18"/>
                <w:color w:val="auto"/>
              </w:rPr>
              <w:t>8/24/2018</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b w:val="1"/>
                <w:bCs w:val="1"/>
                <w:color w:val="auto"/>
              </w:rPr>
              <w:t>Insurance</w:t>
            </w:r>
          </w:p>
        </w:tc>
        <w:tc>
          <w:tcPr>
            <w:tcW w:w="24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Riskonnect, Inc. </w:t>
            </w:r>
            <w:r>
              <w:rPr>
                <w:rFonts w:ascii="Arial" w:cs="Arial" w:eastAsia="Arial" w:hAnsi="Arial"/>
                <w:sz w:val="15"/>
                <w:szCs w:val="15"/>
                <w:color w:val="auto"/>
              </w:rPr>
              <w:t>(13)(14)</w:t>
            </w: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Common Shares Class A</w:t>
            </w:r>
          </w:p>
        </w:tc>
        <w:tc>
          <w:tcPr>
            <w:tcW w:w="3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40" w:type="dxa"/>
            <w:vAlign w:val="bottom"/>
            <w:shd w:val="clear" w:color="auto" w:fill="CFF0FC"/>
          </w:tcPr>
          <w:p>
            <w:pPr>
              <w:spacing w:after="0"/>
              <w:rPr>
                <w:sz w:val="20"/>
                <w:szCs w:val="20"/>
                <w:color w:val="auto"/>
              </w:rPr>
            </w:pP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(1,020 units)</w:t>
            </w:r>
          </w:p>
        </w:tc>
        <w:tc>
          <w:tcPr>
            <w:tcW w:w="3400" w:type="dxa"/>
            <w:vAlign w:val="bottom"/>
            <w:shd w:val="clear" w:color="auto" w:fill="CFF0FC"/>
          </w:tcPr>
          <w:p>
            <w:pPr>
              <w:jc w:val="right"/>
              <w:ind w:right="2410"/>
              <w:spacing w:after="0"/>
              <w:rPr>
                <w:sz w:val="20"/>
                <w:szCs w:val="20"/>
                <w:color w:val="auto"/>
              </w:rPr>
            </w:pPr>
            <w:r>
              <w:rPr>
                <w:rFonts w:ascii="Arial" w:cs="Arial" w:eastAsia="Arial" w:hAnsi="Arial"/>
                <w:sz w:val="18"/>
                <w:szCs w:val="18"/>
                <w:color w:val="auto"/>
              </w:rPr>
              <w:t>6/30/2017</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15"/>
        </w:trPr>
        <w:tc>
          <w:tcPr>
            <w:tcW w:w="2640" w:type="dxa"/>
            <w:vAlign w:val="bottom"/>
          </w:tcPr>
          <w:p>
            <w:pPr>
              <w:spacing w:after="0"/>
              <w:rPr>
                <w:sz w:val="18"/>
                <w:szCs w:val="18"/>
                <w:color w:val="auto"/>
              </w:rPr>
            </w:pPr>
          </w:p>
        </w:tc>
        <w:tc>
          <w:tcPr>
            <w:tcW w:w="2400" w:type="dxa"/>
            <w:vAlign w:val="bottom"/>
          </w:tcPr>
          <w:p>
            <w:pPr>
              <w:ind w:left="60"/>
              <w:spacing w:after="0"/>
              <w:rPr>
                <w:sz w:val="20"/>
                <w:szCs w:val="20"/>
                <w:color w:val="auto"/>
              </w:rPr>
            </w:pPr>
            <w:r>
              <w:rPr>
                <w:rFonts w:ascii="Arial" w:cs="Arial" w:eastAsia="Arial" w:hAnsi="Arial"/>
                <w:sz w:val="18"/>
                <w:szCs w:val="18"/>
                <w:color w:val="auto"/>
              </w:rPr>
              <w:t>Common Shares Class B</w:t>
            </w:r>
          </w:p>
        </w:tc>
        <w:tc>
          <w:tcPr>
            <w:tcW w:w="3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40" w:type="dxa"/>
            <w:vAlign w:val="bottom"/>
          </w:tcPr>
          <w:p>
            <w:pPr>
              <w:spacing w:after="0"/>
              <w:rPr>
                <w:sz w:val="20"/>
                <w:szCs w:val="20"/>
                <w:color w:val="auto"/>
              </w:rPr>
            </w:pPr>
          </w:p>
        </w:tc>
        <w:tc>
          <w:tcPr>
            <w:tcW w:w="2400" w:type="dxa"/>
            <w:vAlign w:val="bottom"/>
          </w:tcPr>
          <w:p>
            <w:pPr>
              <w:ind w:left="60"/>
              <w:spacing w:after="0"/>
              <w:rPr>
                <w:sz w:val="20"/>
                <w:szCs w:val="20"/>
                <w:color w:val="auto"/>
              </w:rPr>
            </w:pPr>
            <w:r>
              <w:rPr>
                <w:rFonts w:ascii="Arial" w:cs="Arial" w:eastAsia="Arial" w:hAnsi="Arial"/>
                <w:sz w:val="18"/>
                <w:szCs w:val="18"/>
                <w:color w:val="auto"/>
              </w:rPr>
              <w:t>(987,929 units)</w:t>
            </w:r>
          </w:p>
        </w:tc>
        <w:tc>
          <w:tcPr>
            <w:tcW w:w="3400" w:type="dxa"/>
            <w:vAlign w:val="bottom"/>
          </w:tcPr>
          <w:p>
            <w:pPr>
              <w:jc w:val="right"/>
              <w:ind w:right="2410"/>
              <w:spacing w:after="0"/>
              <w:rPr>
                <w:sz w:val="20"/>
                <w:szCs w:val="20"/>
                <w:color w:val="auto"/>
              </w:rPr>
            </w:pPr>
            <w:r>
              <w:rPr>
                <w:rFonts w:ascii="Arial" w:cs="Arial" w:eastAsia="Arial" w:hAnsi="Arial"/>
                <w:sz w:val="18"/>
                <w:szCs w:val="18"/>
                <w:color w:val="auto"/>
              </w:rPr>
              <w:t>6/30/2017</w:t>
            </w: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r>
      <w:tr>
        <w:trPr>
          <w:trHeight w:val="20"/>
        </w:trPr>
        <w:tc>
          <w:tcPr>
            <w:tcW w:w="264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34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64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r>
      <w:tr>
        <w:trPr>
          <w:trHeight w:val="223"/>
        </w:trPr>
        <w:tc>
          <w:tcPr>
            <w:tcW w:w="2640" w:type="dxa"/>
            <w:vAlign w:val="bottom"/>
          </w:tcPr>
          <w:p>
            <w:pPr>
              <w:spacing w:after="0"/>
              <w:rPr>
                <w:sz w:val="20"/>
                <w:szCs w:val="20"/>
                <w:color w:val="auto"/>
              </w:rPr>
            </w:pPr>
            <w:r>
              <w:rPr>
                <w:rFonts w:ascii="Arial" w:cs="Arial" w:eastAsia="Arial" w:hAnsi="Arial"/>
                <w:sz w:val="18"/>
                <w:szCs w:val="18"/>
                <w:b w:val="1"/>
                <w:bCs w:val="1"/>
                <w:color w:val="auto"/>
              </w:rPr>
              <w:t>Marketing services</w:t>
            </w:r>
          </w:p>
        </w:tc>
        <w:tc>
          <w:tcPr>
            <w:tcW w:w="24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Validity, Inc. </w:t>
            </w:r>
            <w:r>
              <w:rPr>
                <w:rFonts w:ascii="Arial" w:cs="Arial" w:eastAsia="Arial" w:hAnsi="Arial"/>
                <w:sz w:val="15"/>
                <w:szCs w:val="15"/>
                <w:color w:val="auto"/>
              </w:rPr>
              <w:t>(6)(13)(14)</w:t>
            </w: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Series A Preferred Shares</w:t>
            </w:r>
          </w:p>
        </w:tc>
        <w:tc>
          <w:tcPr>
            <w:tcW w:w="3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40" w:type="dxa"/>
            <w:vAlign w:val="bottom"/>
            <w:shd w:val="clear" w:color="auto" w:fill="CFF0FC"/>
          </w:tcPr>
          <w:p>
            <w:pPr>
              <w:spacing w:after="0"/>
              <w:rPr>
                <w:sz w:val="20"/>
                <w:szCs w:val="20"/>
                <w:color w:val="auto"/>
              </w:rPr>
            </w:pP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(3,840,000 shares)</w:t>
            </w:r>
          </w:p>
        </w:tc>
        <w:tc>
          <w:tcPr>
            <w:tcW w:w="3400" w:type="dxa"/>
            <w:vAlign w:val="bottom"/>
            <w:shd w:val="clear" w:color="auto" w:fill="CFF0FC"/>
          </w:tcPr>
          <w:p>
            <w:pPr>
              <w:jc w:val="right"/>
              <w:ind w:right="2410"/>
              <w:spacing w:after="0"/>
              <w:rPr>
                <w:sz w:val="20"/>
                <w:szCs w:val="20"/>
                <w:color w:val="auto"/>
              </w:rPr>
            </w:pPr>
            <w:r>
              <w:rPr>
                <w:rFonts w:ascii="Arial" w:cs="Arial" w:eastAsia="Arial" w:hAnsi="Arial"/>
                <w:sz w:val="18"/>
                <w:szCs w:val="18"/>
                <w:color w:val="auto"/>
              </w:rPr>
              <w:t>5/31/2018</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3,840</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3,840</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0"/>
                <w:szCs w:val="20"/>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b w:val="1"/>
                <w:bCs w:val="1"/>
                <w:color w:val="auto"/>
              </w:rPr>
              <w:t>Oil, gas and consumable fuels</w:t>
            </w:r>
          </w:p>
        </w:tc>
        <w:tc>
          <w:tcPr>
            <w:tcW w:w="24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w w:val="96"/>
              </w:rPr>
              <w:t xml:space="preserve">Mississippi Resources, LLC </w:t>
            </w:r>
            <w:r>
              <w:rPr>
                <w:rFonts w:ascii="Arial" w:cs="Arial" w:eastAsia="Arial" w:hAnsi="Arial"/>
                <w:sz w:val="15"/>
                <w:szCs w:val="15"/>
                <w:color w:val="auto"/>
                <w:w w:val="96"/>
              </w:rPr>
              <w:t>(7)(13)</w:t>
            </w: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Class A-1 Member Units</w:t>
            </w:r>
          </w:p>
        </w:tc>
        <w:tc>
          <w:tcPr>
            <w:tcW w:w="3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640" w:type="dxa"/>
            <w:vAlign w:val="bottom"/>
            <w:shd w:val="clear" w:color="auto" w:fill="CFF0FC"/>
          </w:tcPr>
          <w:p>
            <w:pPr>
              <w:spacing w:after="0"/>
              <w:rPr>
                <w:sz w:val="20"/>
                <w:szCs w:val="20"/>
                <w:color w:val="auto"/>
              </w:rPr>
            </w:pPr>
            <w:r>
              <w:rPr>
                <w:rFonts w:ascii="Arial" w:cs="Arial" w:eastAsia="Arial" w:hAnsi="Arial"/>
                <w:sz w:val="15"/>
                <w:szCs w:val="15"/>
                <w:color w:val="auto"/>
              </w:rPr>
              <w:t>(14)</w:t>
            </w:r>
          </w:p>
        </w:tc>
        <w:tc>
          <w:tcPr>
            <w:tcW w:w="2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(1,360 units)</w:t>
            </w:r>
          </w:p>
        </w:tc>
        <w:tc>
          <w:tcPr>
            <w:tcW w:w="3400" w:type="dxa"/>
            <w:vAlign w:val="bottom"/>
            <w:shd w:val="clear" w:color="auto" w:fill="CFF0FC"/>
          </w:tcPr>
          <w:p>
            <w:pPr>
              <w:jc w:val="right"/>
              <w:ind w:right="2410"/>
              <w:spacing w:after="0"/>
              <w:rPr>
                <w:sz w:val="20"/>
                <w:szCs w:val="20"/>
                <w:color w:val="auto"/>
              </w:rPr>
            </w:pPr>
            <w:r>
              <w:rPr>
                <w:rFonts w:ascii="Arial" w:cs="Arial" w:eastAsia="Arial" w:hAnsi="Arial"/>
                <w:sz w:val="18"/>
                <w:szCs w:val="18"/>
                <w:color w:val="auto"/>
              </w:rPr>
              <w:t>5/3/2017</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10,366</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4,898</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20"/>
                <w:szCs w:val="20"/>
                <w:color w:val="auto"/>
              </w:rPr>
            </w:pPr>
          </w:p>
        </w:tc>
      </w:tr>
      <w:tr>
        <w:trPr>
          <w:trHeight w:val="432"/>
        </w:trPr>
        <w:tc>
          <w:tcPr>
            <w:tcW w:w="26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400" w:type="dxa"/>
            <w:vAlign w:val="bottom"/>
          </w:tcPr>
          <w:p>
            <w:pPr>
              <w:jc w:val="right"/>
              <w:ind w:right="2550"/>
              <w:spacing w:after="0"/>
              <w:rPr>
                <w:sz w:val="20"/>
                <w:szCs w:val="20"/>
                <w:color w:val="auto"/>
              </w:rPr>
            </w:pPr>
            <w:r>
              <w:rPr>
                <w:rFonts w:ascii="Arial" w:cs="Arial" w:eastAsia="Arial" w:hAnsi="Arial"/>
                <w:sz w:val="18"/>
                <w:szCs w:val="18"/>
                <w:color w:val="auto"/>
              </w:rPr>
              <w:t>16</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6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6" w:right="2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2760" w:type="dxa"/>
            <w:vAlign w:val="bottom"/>
            <w:gridSpan w:val="5"/>
          </w:tcPr>
          <w:p>
            <w:pPr>
              <w:ind w:left="520"/>
              <w:spacing w:after="0"/>
              <w:rPr>
                <w:sz w:val="20"/>
                <w:szCs w:val="20"/>
                <w:color w:val="auto"/>
              </w:rPr>
            </w:pPr>
            <w:r>
              <w:rPr>
                <w:rFonts w:ascii="Arial" w:cs="Arial" w:eastAsia="Arial" w:hAnsi="Arial"/>
                <w:sz w:val="18"/>
                <w:szCs w:val="18"/>
                <w:color w:val="auto"/>
                <w:w w:val="94"/>
              </w:rPr>
              <w:t>Class A-2 Member Units (933</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1340" w:type="dxa"/>
            <w:vAlign w:val="bottom"/>
            <w:gridSpan w:val="2"/>
          </w:tcPr>
          <w:p>
            <w:pPr>
              <w:ind w:left="520"/>
              <w:spacing w:after="0"/>
              <w:rPr>
                <w:sz w:val="20"/>
                <w:szCs w:val="20"/>
                <w:color w:val="auto"/>
              </w:rPr>
            </w:pPr>
            <w:r>
              <w:rPr>
                <w:rFonts w:ascii="Arial" w:cs="Arial" w:eastAsia="Arial" w:hAnsi="Arial"/>
                <w:sz w:val="18"/>
                <w:szCs w:val="18"/>
                <w:color w:val="auto"/>
              </w:rPr>
              <w:t>units)</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6/4/2014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8,874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5"/>
        </w:trPr>
        <w:tc>
          <w:tcPr>
            <w:tcW w:w="4900" w:type="dxa"/>
            <w:vAlign w:val="bottom"/>
            <w:gridSpan w:val="6"/>
            <w:shd w:val="clear" w:color="auto" w:fill="CFF0FC"/>
          </w:tcPr>
          <w:p>
            <w:pPr>
              <w:spacing w:after="0"/>
              <w:rPr>
                <w:sz w:val="20"/>
                <w:szCs w:val="20"/>
                <w:color w:val="auto"/>
              </w:rPr>
            </w:pPr>
            <w:r>
              <w:rPr>
                <w:rFonts w:ascii="Arial" w:cs="Arial" w:eastAsia="Arial" w:hAnsi="Arial"/>
                <w:sz w:val="18"/>
                <w:szCs w:val="18"/>
                <w:color w:val="auto"/>
                <w:w w:val="99"/>
              </w:rPr>
              <w:t xml:space="preserve">Northern Oil and Gas, Inc. </w:t>
            </w:r>
            <w:r>
              <w:rPr>
                <w:rFonts w:ascii="Arial" w:cs="Arial" w:eastAsia="Arial" w:hAnsi="Arial"/>
                <w:sz w:val="15"/>
                <w:szCs w:val="15"/>
                <w:color w:val="auto"/>
                <w:w w:val="99"/>
              </w:rPr>
              <w:t>(12)(13)</w:t>
            </w:r>
            <w:r>
              <w:rPr>
                <w:rFonts w:ascii="Arial" w:cs="Arial" w:eastAsia="Arial" w:hAnsi="Arial"/>
                <w:sz w:val="18"/>
                <w:szCs w:val="18"/>
                <w:color w:val="auto"/>
                <w:w w:val="99"/>
              </w:rPr>
              <w:t xml:space="preserve">  Common Shares (975,000</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shares)</w:t>
            </w: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shd w:val="clear" w:color="auto" w:fill="CFF0FC"/>
          </w:tcPr>
          <w:p>
            <w:pPr>
              <w:jc w:val="right"/>
              <w:ind w:right="113"/>
              <w:spacing w:after="0"/>
              <w:rPr>
                <w:sz w:val="20"/>
                <w:szCs w:val="20"/>
                <w:color w:val="auto"/>
              </w:rPr>
            </w:pPr>
            <w:r>
              <w:rPr>
                <w:rFonts w:ascii="Arial" w:cs="Arial" w:eastAsia="Arial" w:hAnsi="Arial"/>
                <w:sz w:val="18"/>
                <w:szCs w:val="18"/>
                <w:color w:val="auto"/>
              </w:rPr>
              <w:t>5/15/2018</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2,204</w:t>
            </w:r>
          </w:p>
        </w:tc>
        <w:tc>
          <w:tcPr>
            <w:tcW w:w="22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20,703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7,102</w:t>
            </w:r>
          </w:p>
        </w:tc>
        <w:tc>
          <w:tcPr>
            <w:tcW w:w="220" w:type="dxa"/>
            <w:vAlign w:val="bottom"/>
            <w:vMerge w:val="continue"/>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5"/>
        </w:trPr>
        <w:tc>
          <w:tcPr>
            <w:tcW w:w="214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Total Equity and Other</w:t>
            </w:r>
          </w:p>
        </w:tc>
        <w:tc>
          <w:tcPr>
            <w:tcW w:w="1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Investments</w:t>
            </w: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7"/>
              </w:rPr>
              <w:t>67,757</w:t>
            </w:r>
          </w:p>
        </w:tc>
        <w:tc>
          <w:tcPr>
            <w:tcW w:w="2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8"/>
              </w:rPr>
              <w:t>45,444</w:t>
            </w:r>
          </w:p>
        </w:tc>
        <w:tc>
          <w:tcPr>
            <w:tcW w:w="11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2140" w:type="dxa"/>
            <w:vAlign w:val="bottom"/>
          </w:tcPr>
          <w:p>
            <w:pPr>
              <w:spacing w:after="0"/>
              <w:rPr>
                <w:sz w:val="20"/>
                <w:szCs w:val="20"/>
                <w:color w:val="auto"/>
              </w:rPr>
            </w:pPr>
            <w:r>
              <w:rPr>
                <w:rFonts w:ascii="Arial" w:cs="Arial" w:eastAsia="Arial" w:hAnsi="Arial"/>
                <w:sz w:val="18"/>
                <w:szCs w:val="18"/>
                <w:b w:val="1"/>
                <w:bCs w:val="1"/>
                <w:color w:val="auto"/>
              </w:rPr>
              <w:t>Total Investments</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6"/>
              </w:rPr>
              <w:t>$ 1,716,400</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0"/>
              </w:rPr>
              <w:t>$ 1,705,969</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2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60" w:type="dxa"/>
            <w:vAlign w:val="bottom"/>
            <w:gridSpan w:val="9"/>
          </w:tcPr>
          <w:p>
            <w:pPr>
              <w:jc w:val="center"/>
              <w:ind w:right="120"/>
              <w:spacing w:after="0"/>
              <w:rPr>
                <w:sz w:val="20"/>
                <w:szCs w:val="20"/>
                <w:color w:val="auto"/>
              </w:rPr>
            </w:pPr>
            <w:r>
              <w:rPr>
                <w:rFonts w:ascii="Arial" w:cs="Arial" w:eastAsia="Arial" w:hAnsi="Arial"/>
                <w:sz w:val="14"/>
                <w:szCs w:val="14"/>
                <w:b w:val="1"/>
                <w:bCs w:val="1"/>
                <w:color w:val="auto"/>
                <w:w w:val="92"/>
              </w:rPr>
              <w:t>Interest Rate Swaps as of December 31, 2018</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140" w:type="dxa"/>
            <w:vAlign w:val="bottom"/>
          </w:tcPr>
          <w:p>
            <w:pPr>
              <w:spacing w:after="0"/>
              <w:rPr>
                <w:sz w:val="11"/>
                <w:szCs w:val="11"/>
                <w:color w:val="auto"/>
              </w:rPr>
            </w:pPr>
          </w:p>
        </w:tc>
        <w:tc>
          <w:tcPr>
            <w:tcW w:w="134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Company</w:t>
            </w:r>
          </w:p>
        </w:tc>
        <w:tc>
          <w:tcPr>
            <w:tcW w:w="1420" w:type="dxa"/>
            <w:vAlign w:val="bottom"/>
            <w:tcBorders>
              <w:top w:val="single" w:sz="8" w:color="auto"/>
            </w:tcBorders>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3"/>
              </w:rPr>
              <w:t>Company</w:t>
            </w:r>
          </w:p>
        </w:tc>
        <w:tc>
          <w:tcPr>
            <w:tcW w:w="1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center"/>
              <w:ind w:right="93"/>
              <w:spacing w:after="0"/>
              <w:rPr>
                <w:sz w:val="20"/>
                <w:szCs w:val="20"/>
                <w:color w:val="auto"/>
              </w:rPr>
            </w:pPr>
            <w:r>
              <w:rPr>
                <w:rFonts w:ascii="Arial" w:cs="Arial" w:eastAsia="Arial" w:hAnsi="Arial"/>
                <w:sz w:val="14"/>
                <w:szCs w:val="14"/>
                <w:b w:val="1"/>
                <w:bCs w:val="1"/>
                <w:color w:val="auto"/>
                <w:w w:val="96"/>
              </w:rPr>
              <w:t>Notional</w:t>
            </w:r>
          </w:p>
        </w:tc>
        <w:tc>
          <w:tcPr>
            <w:tcW w:w="2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rPr>
              <w:t>Fair</w:t>
            </w: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3"/>
          </w:tcPr>
          <w:p>
            <w:pPr>
              <w:jc w:val="center"/>
              <w:ind w:left="141"/>
              <w:spacing w:after="0" w:line="133" w:lineRule="exact"/>
              <w:rPr>
                <w:sz w:val="20"/>
                <w:szCs w:val="20"/>
                <w:color w:val="auto"/>
              </w:rPr>
            </w:pPr>
            <w:r>
              <w:rPr>
                <w:rFonts w:ascii="Arial" w:cs="Arial" w:eastAsia="Arial" w:hAnsi="Arial"/>
                <w:sz w:val="14"/>
                <w:szCs w:val="14"/>
                <w:b w:val="1"/>
                <w:bCs w:val="1"/>
                <w:color w:val="auto"/>
                <w:w w:val="98"/>
              </w:rPr>
              <w:t>Upfront</w:t>
            </w: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center"/>
              <w:ind w:right="10"/>
              <w:spacing w:after="0" w:line="133" w:lineRule="exact"/>
              <w:rPr>
                <w:sz w:val="20"/>
                <w:szCs w:val="20"/>
                <w:color w:val="auto"/>
              </w:rPr>
            </w:pPr>
            <w:r>
              <w:rPr>
                <w:rFonts w:ascii="Arial" w:cs="Arial" w:eastAsia="Arial" w:hAnsi="Arial"/>
                <w:sz w:val="14"/>
                <w:szCs w:val="14"/>
                <w:b w:val="1"/>
                <w:bCs w:val="1"/>
                <w:color w:val="auto"/>
                <w:w w:val="91"/>
              </w:rPr>
              <w:t>Change in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440" w:type="dxa"/>
            <w:vAlign w:val="bottom"/>
            <w:gridSpan w:val="3"/>
            <w:vMerge w:val="restart"/>
          </w:tcPr>
          <w:p>
            <w:pPr>
              <w:jc w:val="right"/>
              <w:ind w:right="390"/>
              <w:spacing w:after="0"/>
              <w:rPr>
                <w:sz w:val="20"/>
                <w:szCs w:val="20"/>
                <w:color w:val="auto"/>
              </w:rPr>
            </w:pPr>
            <w:r>
              <w:rPr>
                <w:rFonts w:ascii="Arial" w:cs="Arial" w:eastAsia="Arial" w:hAnsi="Arial"/>
                <w:sz w:val="14"/>
                <w:szCs w:val="14"/>
                <w:b w:val="1"/>
                <w:bCs w:val="1"/>
                <w:color w:val="auto"/>
              </w:rPr>
              <w:t>Maturity Date</w:t>
            </w: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rPr>
              <w:t>Market</w:t>
            </w:r>
          </w:p>
        </w:tc>
        <w:tc>
          <w:tcPr>
            <w:tcW w:w="180" w:type="dxa"/>
            <w:vAlign w:val="bottom"/>
          </w:tcPr>
          <w:p>
            <w:pPr>
              <w:spacing w:after="0"/>
              <w:rPr>
                <w:sz w:val="12"/>
                <w:szCs w:val="12"/>
                <w:color w:val="auto"/>
              </w:rPr>
            </w:pPr>
          </w:p>
        </w:tc>
        <w:tc>
          <w:tcPr>
            <w:tcW w:w="880" w:type="dxa"/>
            <w:vAlign w:val="bottom"/>
            <w:gridSpan w:val="3"/>
          </w:tcPr>
          <w:p>
            <w:pPr>
              <w:jc w:val="center"/>
              <w:ind w:left="121"/>
              <w:spacing w:after="0" w:line="149" w:lineRule="exact"/>
              <w:rPr>
                <w:sz w:val="20"/>
                <w:szCs w:val="20"/>
                <w:color w:val="auto"/>
              </w:rPr>
            </w:pPr>
            <w:r>
              <w:rPr>
                <w:rFonts w:ascii="Arial" w:cs="Arial" w:eastAsia="Arial" w:hAnsi="Arial"/>
                <w:sz w:val="14"/>
                <w:szCs w:val="14"/>
                <w:b w:val="1"/>
                <w:bCs w:val="1"/>
                <w:color w:val="auto"/>
                <w:w w:val="90"/>
              </w:rPr>
              <w:t>Payments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Receives</w:t>
            </w:r>
          </w:p>
        </w:tc>
        <w:tc>
          <w:tcPr>
            <w:tcW w:w="14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5"/>
              </w:rPr>
              <w:t>Pays</w:t>
            </w:r>
          </w:p>
        </w:tc>
        <w:tc>
          <w:tcPr>
            <w:tcW w:w="1440" w:type="dxa"/>
            <w:vAlign w:val="bottom"/>
            <w:gridSpan w:val="3"/>
            <w:vMerge w:val="continue"/>
          </w:tcPr>
          <w:p>
            <w:pPr>
              <w:spacing w:after="0"/>
              <w:rPr>
                <w:sz w:val="14"/>
                <w:szCs w:val="14"/>
                <w:color w:val="auto"/>
              </w:rPr>
            </w:pPr>
          </w:p>
        </w:tc>
        <w:tc>
          <w:tcPr>
            <w:tcW w:w="920" w:type="dxa"/>
            <w:vAlign w:val="bottom"/>
          </w:tcPr>
          <w:p>
            <w:pPr>
              <w:jc w:val="center"/>
              <w:ind w:right="93"/>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4"/>
                <w:szCs w:val="14"/>
                <w:color w:val="auto"/>
              </w:rPr>
            </w:pPr>
          </w:p>
        </w:tc>
        <w:tc>
          <w:tcPr>
            <w:tcW w:w="880" w:type="dxa"/>
            <w:vAlign w:val="bottom"/>
            <w:gridSpan w:val="3"/>
          </w:tcPr>
          <w:p>
            <w:pPr>
              <w:jc w:val="center"/>
              <w:ind w:left="121"/>
              <w:spacing w:after="0"/>
              <w:rPr>
                <w:sz w:val="20"/>
                <w:szCs w:val="20"/>
                <w:color w:val="auto"/>
              </w:rPr>
            </w:pPr>
            <w:r>
              <w:rPr>
                <w:rFonts w:ascii="Arial" w:cs="Arial" w:eastAsia="Arial" w:hAnsi="Arial"/>
                <w:sz w:val="14"/>
                <w:szCs w:val="14"/>
                <w:b w:val="1"/>
                <w:bCs w:val="1"/>
                <w:color w:val="auto"/>
                <w:w w:val="90"/>
              </w:rPr>
              <w:t>/ Receipts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8"/>
              </w:rPr>
              <w:t>Gains / (Losses)</w:t>
            </w:r>
          </w:p>
        </w:tc>
        <w:tc>
          <w:tcPr>
            <w:tcW w:w="0" w:type="dxa"/>
            <w:vAlign w:val="bottom"/>
          </w:tcPr>
          <w:p>
            <w:pPr>
              <w:spacing w:after="0"/>
              <w:rPr>
                <w:sz w:val="1"/>
                <w:szCs w:val="1"/>
                <w:color w:val="auto"/>
              </w:rPr>
            </w:pPr>
          </w:p>
        </w:tc>
      </w:tr>
      <w:tr>
        <w:trPr>
          <w:trHeight w:val="223"/>
        </w:trPr>
        <w:tc>
          <w:tcPr>
            <w:tcW w:w="2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L</w:t>
            </w: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2.66%</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6/27/2019</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91,500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61"/>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tcPr>
          <w:p>
            <w:pPr>
              <w:spacing w:after="0"/>
              <w:rPr>
                <w:sz w:val="19"/>
                <w:szCs w:val="19"/>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8"/>
                <w:szCs w:val="18"/>
                <w:color w:val="auto"/>
                <w:w w:val="93"/>
              </w:rPr>
              <w:t>L + 2.86%</w:t>
            </w:r>
          </w:p>
        </w:tc>
        <w:tc>
          <w:tcPr>
            <w:tcW w:w="1140" w:type="dxa"/>
            <w:vAlign w:val="bottom"/>
          </w:tcPr>
          <w:p>
            <w:pPr>
              <w:jc w:val="right"/>
              <w:spacing w:after="0"/>
              <w:rPr>
                <w:sz w:val="20"/>
                <w:szCs w:val="20"/>
                <w:color w:val="auto"/>
              </w:rPr>
            </w:pPr>
            <w:r>
              <w:rPr>
                <w:rFonts w:ascii="Arial" w:cs="Arial" w:eastAsia="Arial" w:hAnsi="Arial"/>
                <w:sz w:val="18"/>
                <w:szCs w:val="18"/>
                <w:color w:val="auto"/>
              </w:rPr>
              <w:t>12/15/2019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(1,285)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0"/>
        </w:trPr>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(a)(b)</w:t>
            </w:r>
          </w:p>
        </w:tc>
        <w:tc>
          <w:tcPr>
            <w:tcW w:w="134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rPr>
              <w:t>L</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1.72%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1/10/2020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tcPr>
          <w:p>
            <w:pPr>
              <w:spacing w:after="0"/>
              <w:rPr>
                <w:sz w:val="19"/>
                <w:szCs w:val="19"/>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8"/>
                <w:szCs w:val="18"/>
                <w:color w:val="auto"/>
                <w:w w:val="93"/>
              </w:rPr>
              <w:t>L + 2.37%</w:t>
            </w:r>
          </w:p>
        </w:tc>
        <w:tc>
          <w:tcPr>
            <w:tcW w:w="114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(1,877)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30"/>
        </w:trPr>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center"/>
              <w:ind w:right="340"/>
              <w:spacing w:after="0"/>
              <w:rPr>
                <w:sz w:val="20"/>
                <w:szCs w:val="20"/>
                <w:color w:val="auto"/>
              </w:rPr>
            </w:pPr>
            <w:r>
              <w:rPr>
                <w:rFonts w:ascii="Arial" w:cs="Arial" w:eastAsia="Arial" w:hAnsi="Arial"/>
                <w:sz w:val="18"/>
                <w:szCs w:val="18"/>
                <w:color w:val="auto"/>
                <w:w w:val="93"/>
              </w:rPr>
              <w:t>L + 1.59%</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tcPr>
          <w:p>
            <w:pPr>
              <w:spacing w:after="0"/>
              <w:rPr>
                <w:sz w:val="19"/>
                <w:szCs w:val="19"/>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8"/>
                <w:szCs w:val="18"/>
                <w:color w:val="auto"/>
                <w:w w:val="93"/>
              </w:rPr>
              <w:t>L + 1.60%</w:t>
            </w:r>
          </w:p>
        </w:tc>
        <w:tc>
          <w:tcPr>
            <w:tcW w:w="114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rate swap </w:t>
            </w:r>
            <w:r>
              <w:rPr>
                <w:rFonts w:ascii="Arial" w:cs="Arial" w:eastAsia="Arial" w:hAnsi="Arial"/>
                <w:sz w:val="15"/>
                <w:szCs w:val="15"/>
                <w:color w:val="auto"/>
              </w:rPr>
              <w:t>(b)</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4.50%</w:t>
            </w:r>
          </w:p>
        </w:tc>
        <w:tc>
          <w:tcPr>
            <w:tcW w:w="24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center"/>
              <w:ind w:right="340"/>
              <w:spacing w:after="0"/>
              <w:rPr>
                <w:sz w:val="20"/>
                <w:szCs w:val="20"/>
                <w:color w:val="auto"/>
              </w:rPr>
            </w:pPr>
            <w:r>
              <w:rPr>
                <w:rFonts w:ascii="Arial" w:cs="Arial" w:eastAsia="Arial" w:hAnsi="Arial"/>
                <w:sz w:val="18"/>
                <w:szCs w:val="18"/>
                <w:color w:val="auto"/>
                <w:w w:val="93"/>
              </w:rPr>
              <w:t>L + 1.99%</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1/22/2023</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Cash collateral</w:t>
            </w: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2,663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562,333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61"/>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040" w:hanging="519"/>
        <w:spacing w:after="0"/>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Contract terms are shown net of Company receiving 6.65% and paying 8.38%.</w:t>
      </w:r>
    </w:p>
    <w:p>
      <w:pPr>
        <w:spacing w:after="0" w:line="23" w:lineRule="exact"/>
        <w:rPr>
          <w:rFonts w:ascii="Arial" w:cs="Arial" w:eastAsia="Arial" w:hAnsi="Arial"/>
          <w:sz w:val="18"/>
          <w:szCs w:val="18"/>
          <w:color w:val="auto"/>
        </w:rPr>
      </w:pPr>
    </w:p>
    <w:p>
      <w:pPr>
        <w:ind w:left="1040" w:hanging="519"/>
        <w:spacing w:after="0"/>
        <w:tabs>
          <w:tab w:leader="none" w:pos="10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116" w:lineRule="exact"/>
        <w:rPr>
          <w:rFonts w:ascii="Arial" w:cs="Arial" w:eastAsia="Arial" w:hAnsi="Arial"/>
          <w:sz w:val="18"/>
          <w:szCs w:val="18"/>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3" w:lineRule="exact"/>
        <w:rPr>
          <w:rFonts w:ascii="Arial" w:cs="Arial" w:eastAsia="Arial" w:hAnsi="Arial"/>
          <w:sz w:val="18"/>
          <w:szCs w:val="18"/>
          <w:color w:val="auto"/>
        </w:rPr>
      </w:pPr>
    </w:p>
    <w:p>
      <w:pPr>
        <w:ind w:left="520" w:right="200" w:hanging="512"/>
        <w:spacing w:after="0" w:line="250"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ind w:left="520" w:right="40" w:hanging="512"/>
        <w:spacing w:after="0" w:line="265"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Canadian Dollar Offered Rate (“CDOR” or “C”), Bank Bill Swap Bid Rate (“BBSY” or “B”)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December 31, 2018.</w:t>
      </w:r>
    </w:p>
    <w:p>
      <w:pPr>
        <w:spacing w:after="0" w:line="1" w:lineRule="exact"/>
        <w:rPr>
          <w:rFonts w:ascii="Arial" w:cs="Arial" w:eastAsia="Arial" w:hAnsi="Arial"/>
          <w:sz w:val="17"/>
          <w:szCs w:val="17"/>
          <w:color w:val="auto"/>
        </w:rPr>
      </w:pPr>
    </w:p>
    <w:p>
      <w:pPr>
        <w:jc w:val="both"/>
        <w:ind w:left="520" w:right="60" w:hanging="512"/>
        <w:spacing w:after="0" w:line="265" w:lineRule="auto"/>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17.3% of total assets as of December 31, 2018.</w:t>
      </w:r>
    </w:p>
    <w:p>
      <w:pPr>
        <w:ind w:left="520" w:right="40" w:hanging="512"/>
        <w:spacing w:after="0" w:line="250"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1" w:lineRule="exact"/>
        <w:rPr>
          <w:rFonts w:ascii="Arial" w:cs="Arial" w:eastAsia="Arial" w:hAnsi="Arial"/>
          <w:sz w:val="18"/>
          <w:szCs w:val="18"/>
          <w:color w:val="auto"/>
        </w:rPr>
      </w:pPr>
    </w:p>
    <w:p>
      <w:pPr>
        <w:jc w:val="both"/>
        <w:ind w:left="520" w:right="40" w:hanging="512"/>
        <w:spacing w:after="0" w:line="255"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Under the 1940 Act, the Company is deemed to be an “Affiliated Person” of, as defined in the 1940 Act, this portfolio company, as the Company owns more than 5% of the portfolio company’s outstanding voting securities. Transactions during the year ended December 31, 2018 in which the Company was an Affiliated Person of the portfolio company are as follows:</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Non-controlled, Affiliated Investments during the year ended December 31, 2018</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9"/>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Net Change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9"/>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Value at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40" w:type="dxa"/>
            <w:vAlign w:val="bottom"/>
          </w:tcPr>
          <w:p>
            <w:pPr>
              <w:spacing w:after="0"/>
              <w:rPr>
                <w:sz w:val="12"/>
                <w:szCs w:val="12"/>
                <w:color w:val="auto"/>
              </w:rPr>
            </w:pPr>
          </w:p>
        </w:tc>
        <w:tc>
          <w:tcPr>
            <w:tcW w:w="7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Value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Company</w:t>
            </w:r>
          </w:p>
        </w:tc>
        <w:tc>
          <w:tcPr>
            <w:tcW w:w="1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 Unrealized</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Additions (a)</w:t>
            </w:r>
          </w:p>
        </w:tc>
        <w:tc>
          <w:tcPr>
            <w:tcW w:w="2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Gain/(Loss)</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Gain/(Losses)</w:t>
            </w:r>
          </w:p>
        </w:tc>
        <w:tc>
          <w:tcPr>
            <w:tcW w:w="140" w:type="dxa"/>
            <w:vAlign w:val="bottom"/>
          </w:tcPr>
          <w:p>
            <w:pPr>
              <w:spacing w:after="0"/>
              <w:rPr>
                <w:sz w:val="14"/>
                <w:szCs w:val="14"/>
                <w:color w:val="auto"/>
              </w:rPr>
            </w:pPr>
          </w:p>
        </w:tc>
        <w:tc>
          <w:tcPr>
            <w:tcW w:w="76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46,040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ind w:left="400"/>
              <w:spacing w:after="0"/>
              <w:rPr>
                <w:sz w:val="20"/>
                <w:szCs w:val="20"/>
                <w:color w:val="auto"/>
              </w:rPr>
            </w:pPr>
            <w:r>
              <w:rPr>
                <w:rFonts w:ascii="Arial" w:cs="Arial" w:eastAsia="Arial" w:hAnsi="Arial"/>
                <w:sz w:val="18"/>
                <w:szCs w:val="18"/>
                <w:color w:val="auto"/>
                <w:w w:val="76"/>
              </w:rPr>
              <w:t>(266)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80"/>
              </w:rPr>
              <w:t>(432)</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45,342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Validity, Inc.</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ind w:left="5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39,278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ind w:left="640"/>
              <w:spacing w:after="0"/>
              <w:rPr>
                <w:sz w:val="20"/>
                <w:szCs w:val="20"/>
                <w:color w:val="auto"/>
              </w:rPr>
            </w:pPr>
            <w:r>
              <w:rPr>
                <w:rFonts w:ascii="Arial" w:cs="Arial" w:eastAsia="Arial" w:hAnsi="Arial"/>
                <w:sz w:val="18"/>
                <w:szCs w:val="18"/>
                <w:color w:val="auto"/>
              </w:rPr>
              <w:t>(238)</w:t>
            </w:r>
          </w:p>
        </w:tc>
        <w:tc>
          <w:tcPr>
            <w:tcW w:w="140" w:type="dxa"/>
            <w:vAlign w:val="bottom"/>
          </w:tcPr>
          <w:p>
            <w:pPr>
              <w:spacing w:after="0"/>
              <w:rPr>
                <w:sz w:val="19"/>
                <w:szCs w:val="19"/>
                <w:color w:val="auto"/>
              </w:rPr>
            </w:pP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38,590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2,620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85,318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FF0FC"/>
          </w:tcPr>
          <w:p>
            <w:pPr>
              <w:ind w:left="400"/>
              <w:spacing w:after="0"/>
              <w:rPr>
                <w:sz w:val="20"/>
                <w:szCs w:val="20"/>
                <w:color w:val="auto"/>
              </w:rPr>
            </w:pPr>
            <w:r>
              <w:rPr>
                <w:rFonts w:ascii="Arial" w:cs="Arial" w:eastAsia="Arial" w:hAnsi="Arial"/>
                <w:sz w:val="18"/>
                <w:szCs w:val="18"/>
                <w:b w:val="1"/>
                <w:bCs w:val="1"/>
                <w:color w:val="auto"/>
                <w:w w:val="76"/>
              </w:rPr>
              <w:t>(716)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b w:val="1"/>
                <w:bCs w:val="1"/>
                <w:color w:val="auto"/>
                <w:w w:val="80"/>
              </w:rPr>
              <w:t>(670)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FF0FC"/>
          </w:tcPr>
          <w:p>
            <w:pPr>
              <w:ind w:left="56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83,932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3,652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17" w:name="page18"/>
    <w:bookmarkEnd w:id="17"/>
    <w:p>
      <w:pPr>
        <w:ind w:left="1040" w:right="260" w:hanging="519"/>
        <w:spacing w:after="0" w:line="258"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40" w:right="160" w:hanging="519"/>
        <w:spacing w:after="0" w:line="255" w:lineRule="auto"/>
        <w:tabs>
          <w:tab w:leader="none" w:pos="10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82" w:lineRule="exact"/>
        <w:rPr>
          <w:rFonts w:ascii="Arial" w:cs="Arial" w:eastAsia="Arial" w:hAnsi="Arial"/>
          <w:sz w:val="18"/>
          <w:szCs w:val="18"/>
          <w:color w:val="auto"/>
        </w:rPr>
      </w:pPr>
    </w:p>
    <w:p>
      <w:pPr>
        <w:ind w:left="520" w:right="60" w:hanging="512"/>
        <w:spacing w:after="0" w:line="279"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2018 in which the Company was an Affiliated Person of and was deemed to Control a portfolio company are as follows: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Controlled, Affiliated Investments during the year ended December 31, 2018</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8"/>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Net Change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8"/>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3"/>
              </w:rPr>
              <w:t>Value at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8"/>
              </w:rPr>
              <w:t>Realized</w:t>
            </w:r>
          </w:p>
        </w:tc>
        <w:tc>
          <w:tcPr>
            <w:tcW w:w="140" w:type="dxa"/>
            <w:vAlign w:val="bottom"/>
          </w:tcPr>
          <w:p>
            <w:pPr>
              <w:spacing w:after="0"/>
              <w:rPr>
                <w:sz w:val="12"/>
                <w:szCs w:val="12"/>
                <w:color w:val="auto"/>
              </w:rPr>
            </w:pPr>
          </w:p>
        </w:tc>
        <w:tc>
          <w:tcPr>
            <w:tcW w:w="7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3"/>
              </w:rPr>
              <w:t>Value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64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Company</w:t>
            </w:r>
          </w:p>
        </w:tc>
        <w:tc>
          <w:tcPr>
            <w:tcW w:w="10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 Unrealized</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8"/>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Additions (a)</w:t>
            </w:r>
          </w:p>
        </w:tc>
        <w:tc>
          <w:tcPr>
            <w:tcW w:w="22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Gain/(Loss)</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Gain/(Losses)</w:t>
            </w:r>
          </w:p>
        </w:tc>
        <w:tc>
          <w:tcPr>
            <w:tcW w:w="140" w:type="dxa"/>
            <w:vAlign w:val="bottom"/>
          </w:tcPr>
          <w:p>
            <w:pPr>
              <w:spacing w:after="0"/>
              <w:rPr>
                <w:sz w:val="14"/>
                <w:szCs w:val="14"/>
                <w:color w:val="auto"/>
              </w:rPr>
            </w:pPr>
          </w:p>
        </w:tc>
        <w:tc>
          <w:tcPr>
            <w:tcW w:w="76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2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AFS Technologies, Inc.</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75,780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(75,438)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(3,658)</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IRGSE Holding Corp.</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34,748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8,653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(8,378)</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34,527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Mississippi Resources, LLC</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(9,589)</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21,978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135,920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13,745</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(75,581</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(2,028)</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(15,551</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56,505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40" w:right="260" w:hanging="519"/>
        <w:spacing w:after="0" w:line="258"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8"/>
          <w:szCs w:val="18"/>
          <w:color w:val="auto"/>
        </w:rPr>
      </w:pPr>
    </w:p>
    <w:p>
      <w:pPr>
        <w:ind w:left="1040" w:right="160" w:hanging="519"/>
        <w:spacing w:after="0" w:line="255"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w:t>
      </w:r>
    </w:p>
    <w:p>
      <w:pPr>
        <w:spacing w:after="0" w:line="95"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2018, the tax cost of the Company’s investments approximates the amortized cost.</w:t>
      </w:r>
    </w:p>
    <w:p>
      <w:pPr>
        <w:spacing w:after="0" w:line="23" w:lineRule="exact"/>
        <w:rPr>
          <w:rFonts w:ascii="Arial" w:cs="Arial" w:eastAsia="Arial" w:hAnsi="Arial"/>
          <w:sz w:val="18"/>
          <w:szCs w:val="18"/>
          <w:color w:val="auto"/>
        </w:rPr>
      </w:pPr>
    </w:p>
    <w:p>
      <w:pPr>
        <w:ind w:left="520" w:right="100" w:hanging="512"/>
        <w:spacing w:after="0" w:line="250"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investments contain a fixed rate structure. The Company entered into an interest rate swap agreement to swap to a floating rate. Refer to Note 5 for further information related to the Company’s interest rate swaps on investments.</w:t>
      </w:r>
    </w:p>
    <w:p>
      <w:pPr>
        <w:ind w:left="520" w:right="140" w:hanging="512"/>
        <w:spacing w:after="0" w:line="250"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In accordance with Financial Accounting Standards Board Accounting Standards Codification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820”), unless otherwise indicated, the fair values of all investments were determined using significant unobservable inputs and are considered Level 3 investments. See Note 6 for further information related to investments at fair value.</w:t>
      </w:r>
    </w:p>
    <w:p>
      <w:pPr>
        <w:spacing w:after="0" w:line="1" w:lineRule="exact"/>
        <w:rPr>
          <w:rFonts w:ascii="Arial" w:cs="Arial" w:eastAsia="Arial" w:hAnsi="Arial"/>
          <w:sz w:val="18"/>
          <w:szCs w:val="18"/>
          <w:color w:val="auto"/>
        </w:rPr>
      </w:pPr>
    </w:p>
    <w:p>
      <w:pPr>
        <w:ind w:left="520" w:right="100" w:hanging="512"/>
        <w:spacing w:after="0" w:line="250"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2 investment. See Note 6 for further information related to investments at fair value.</w:t>
      </w:r>
    </w:p>
    <w:p>
      <w:pPr>
        <w:ind w:left="520" w:right="100" w:hanging="512"/>
        <w:spacing w:after="0" w:line="250"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investment is valued using observable inputs and is considered a Level 1 investment. See Note 6 for further information related to investments at fair value.</w:t>
      </w: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equity investment is non-income producing.</w:t>
      </w:r>
    </w:p>
    <w:p>
      <w:pPr>
        <w:spacing w:after="0" w:line="9" w:lineRule="exact"/>
        <w:rPr>
          <w:rFonts w:ascii="Arial" w:cs="Arial" w:eastAsia="Arial" w:hAnsi="Arial"/>
          <w:sz w:val="18"/>
          <w:szCs w:val="18"/>
          <w:color w:val="auto"/>
        </w:rPr>
      </w:pPr>
    </w:p>
    <w:p>
      <w:pPr>
        <w:ind w:left="520" w:right="160" w:hanging="512"/>
        <w:spacing w:after="0" w:line="281" w:lineRule="auto"/>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Security acquired in transaction exempt from registration under the Securities Act of 1933, and may be deemed to be “restricted securities” under the Securities Act. As of December 31, 2018, the aggregate fair value of these securities is $23,128, or 2.2% of the Company’s net assets.</w:t>
      </w:r>
    </w:p>
    <w:p>
      <w:pPr>
        <w:spacing w:after="0" w:line="1" w:lineRule="exact"/>
        <w:rPr>
          <w:rFonts w:ascii="Arial" w:cs="Arial" w:eastAsia="Arial" w:hAnsi="Arial"/>
          <w:sz w:val="16"/>
          <w:szCs w:val="16"/>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Ownership of equity investments may occur through a holding company or partnership.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44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120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Par</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right"/>
              <w:ind w:right="300"/>
              <w:spacing w:after="0" w:line="143" w:lineRule="exact"/>
              <w:rPr>
                <w:sz w:val="20"/>
                <w:szCs w:val="20"/>
                <w:color w:val="auto"/>
              </w:rPr>
            </w:pPr>
            <w:r>
              <w:rPr>
                <w:rFonts w:ascii="Arial" w:cs="Arial" w:eastAsia="Arial" w:hAnsi="Arial"/>
                <w:sz w:val="14"/>
                <w:szCs w:val="14"/>
                <w:b w:val="1"/>
                <w:bCs w:val="1"/>
                <w:color w:val="auto"/>
              </w:rPr>
              <w:t>Paid in Capital in</w:t>
            </w:r>
          </w:p>
        </w:tc>
        <w:tc>
          <w:tcPr>
            <w:tcW w:w="98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Distributable</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3" w:lineRule="exact"/>
              <w:rPr>
                <w:sz w:val="20"/>
                <w:szCs w:val="20"/>
                <w:color w:val="auto"/>
              </w:rPr>
            </w:pPr>
            <w:r>
              <w:rPr>
                <w:rFonts w:ascii="Arial" w:cs="Arial" w:eastAsia="Arial" w:hAnsi="Arial"/>
                <w:sz w:val="14"/>
                <w:szCs w:val="14"/>
                <w:b w:val="1"/>
                <w:bCs w:val="1"/>
                <w:color w:val="auto"/>
                <w:w w:val="83"/>
              </w:rPr>
              <w:t>Total Net</w:t>
            </w:r>
          </w:p>
        </w:tc>
        <w:tc>
          <w:tcPr>
            <w:tcW w:w="0" w:type="dxa"/>
            <w:vAlign w:val="bottom"/>
          </w:tcPr>
          <w:p>
            <w:pPr>
              <w:spacing w:after="0"/>
              <w:rPr>
                <w:sz w:val="1"/>
                <w:szCs w:val="1"/>
                <w:color w:val="auto"/>
              </w:rPr>
            </w:pPr>
          </w:p>
        </w:tc>
      </w:tr>
      <w:tr>
        <w:trPr>
          <w:trHeight w:val="161"/>
        </w:trPr>
        <w:tc>
          <w:tcPr>
            <w:tcW w:w="526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CFF0FC"/>
            </w:tcBorders>
          </w:tcPr>
          <w:p>
            <w:pPr>
              <w:spacing w:after="0"/>
              <w:rPr>
                <w:sz w:val="14"/>
                <w:szCs w:val="14"/>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Borders>
              <w:bottom w:val="single" w:sz="8" w:color="CFF0FC"/>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87"/>
              </w:rPr>
              <w:t>Excess of Par</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0"/>
              </w:rPr>
              <w:t>Earnings</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1"/>
              </w:rPr>
              <w:t>Assets</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2018</w:t>
            </w:r>
          </w:p>
        </w:tc>
        <w:tc>
          <w:tcPr>
            <w:tcW w:w="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65,412,817</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655</w:t>
            </w:r>
          </w:p>
        </w:tc>
        <w:tc>
          <w:tcPr>
            <w:tcW w:w="2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89,080</w:t>
            </w:r>
          </w:p>
        </w:tc>
        <w:tc>
          <w:tcPr>
            <w:tcW w:w="220" w:type="dxa"/>
            <w:vAlign w:val="bottom"/>
            <w:shd w:val="clear" w:color="auto" w:fill="CFF0FC"/>
          </w:tcPr>
          <w:p>
            <w:pPr>
              <w:spacing w:after="0"/>
              <w:rPr>
                <w:sz w:val="13"/>
                <w:szCs w:val="13"/>
                <w:color w:val="auto"/>
              </w:rPr>
            </w:pPr>
          </w:p>
        </w:tc>
        <w:tc>
          <w:tcPr>
            <w:tcW w:w="58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w w:val="89"/>
              </w:rPr>
              <w:t>$ (1,359)</w:t>
            </w:r>
          </w:p>
        </w:tc>
        <w:tc>
          <w:tcPr>
            <w:tcW w:w="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991,919</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71,987</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3"/>
              </w:rPr>
              <w:t>1,063,202</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140"/>
              <w:spacing w:after="0"/>
              <w:rPr>
                <w:sz w:val="20"/>
                <w:szCs w:val="20"/>
                <w:color w:val="auto"/>
              </w:rPr>
            </w:pPr>
            <w:r>
              <w:rPr>
                <w:rFonts w:ascii="Arial" w:cs="Arial" w:eastAsia="Arial" w:hAnsi="Arial"/>
                <w:sz w:val="14"/>
                <w:szCs w:val="14"/>
                <w:color w:val="auto"/>
              </w:rPr>
              <w:t>Net increase in net assets resulting from operations:</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investment income</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26,638</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26,638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260"/>
              <w:spacing w:after="0"/>
              <w:rPr>
                <w:sz w:val="20"/>
                <w:szCs w:val="20"/>
                <w:color w:val="auto"/>
              </w:rPr>
            </w:pPr>
            <w:r>
              <w:rPr>
                <w:rFonts w:ascii="Arial" w:cs="Arial" w:eastAsia="Arial" w:hAnsi="Arial"/>
                <w:sz w:val="14"/>
                <w:szCs w:val="14"/>
                <w:color w:val="auto"/>
              </w:rPr>
              <w:t>Net change in unrealized gains on investments and foreign currency translation</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11,461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11,461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realized gain on investments and foreign currency transactions</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140"/>
              <w:spacing w:after="0"/>
              <w:rPr>
                <w:sz w:val="20"/>
                <w:szCs w:val="20"/>
                <w:color w:val="auto"/>
              </w:rPr>
            </w:pPr>
            <w:r>
              <w:rPr>
                <w:rFonts w:ascii="Arial" w:cs="Arial" w:eastAsia="Arial" w:hAnsi="Arial"/>
                <w:sz w:val="14"/>
                <w:szCs w:val="14"/>
                <w:color w:val="auto"/>
              </w:rPr>
              <w:t>Dividends to stockholders:</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 issued in connection with dividend reinvestment plan</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300,145</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5,582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5,585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260"/>
              <w:spacing w:after="0"/>
              <w:rPr>
                <w:sz w:val="20"/>
                <w:szCs w:val="20"/>
                <w:color w:val="auto"/>
              </w:rPr>
            </w:pPr>
            <w:r>
              <w:rPr>
                <w:rFonts w:ascii="Arial" w:cs="Arial" w:eastAsia="Arial" w:hAnsi="Arial"/>
                <w:sz w:val="14"/>
                <w:szCs w:val="14"/>
                <w:color w:val="auto"/>
              </w:rPr>
              <w:t>Dividends declared from net investment income</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(33,469)</w:t>
            </w:r>
          </w:p>
        </w:tc>
        <w:tc>
          <w:tcPr>
            <w:tcW w:w="8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(33,469)</w:t>
            </w: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 xml:space="preserve">Tax reclassification of stockholders' equity in accordance with GAAP </w:t>
            </w:r>
            <w:r>
              <w:rPr>
                <w:rFonts w:ascii="Arial" w:cs="Arial" w:eastAsia="Arial" w:hAnsi="Arial"/>
                <w:sz w:val="11"/>
                <w:szCs w:val="11"/>
                <w:color w:val="auto"/>
              </w:rPr>
              <w:t>(1)</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(303)</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4"/>
                <w:szCs w:val="14"/>
                <w:b w:val="1"/>
                <w:bCs w:val="1"/>
                <w:color w:val="auto"/>
              </w:rPr>
              <w:t>Balance at March 31, 2019</w:t>
            </w: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vMerge w:val="continue"/>
          </w:tcPr>
          <w:p>
            <w:pPr>
              <w:spacing w:after="0"/>
              <w:rPr>
                <w:sz w:val="17"/>
                <w:szCs w:val="17"/>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9"/>
              </w:rPr>
              <w:t>65,712,962</w:t>
            </w:r>
          </w:p>
        </w:tc>
        <w:tc>
          <w:tcPr>
            <w:tcW w:w="200" w:type="dxa"/>
            <w:vAlign w:val="bottom"/>
          </w:tcPr>
          <w:p>
            <w:pPr>
              <w:spacing w:after="0"/>
              <w:rPr>
                <w:sz w:val="17"/>
                <w:szCs w:val="17"/>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658</w:t>
            </w:r>
          </w:p>
        </w:tc>
        <w:tc>
          <w:tcPr>
            <w:tcW w:w="200" w:type="dxa"/>
            <w:vAlign w:val="bottom"/>
          </w:tcPr>
          <w:p>
            <w:pPr>
              <w:spacing w:after="0"/>
              <w:rPr>
                <w:sz w:val="17"/>
                <w:szCs w:val="17"/>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89,080</w:t>
            </w:r>
          </w:p>
        </w:tc>
        <w:tc>
          <w:tcPr>
            <w:tcW w:w="220" w:type="dxa"/>
            <w:vAlign w:val="bottom"/>
          </w:tcPr>
          <w:p>
            <w:pPr>
              <w:spacing w:after="0"/>
              <w:rPr>
                <w:sz w:val="17"/>
                <w:szCs w:val="17"/>
                <w:color w:val="auto"/>
              </w:rPr>
            </w:pPr>
          </w:p>
        </w:tc>
        <w:tc>
          <w:tcPr>
            <w:tcW w:w="5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89"/>
              </w:rPr>
              <w:t>$ (1,359)</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997,198</w:t>
            </w:r>
          </w:p>
        </w:tc>
        <w:tc>
          <w:tcPr>
            <w:tcW w:w="220" w:type="dxa"/>
            <w:vAlign w:val="bottom"/>
          </w:tcPr>
          <w:p>
            <w:pPr>
              <w:spacing w:after="0"/>
              <w:rPr>
                <w:sz w:val="17"/>
                <w:szCs w:val="17"/>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77,567</w:t>
            </w:r>
          </w:p>
        </w:tc>
        <w:tc>
          <w:tcPr>
            <w:tcW w:w="220" w:type="dxa"/>
            <w:vAlign w:val="bottom"/>
          </w:tcPr>
          <w:p>
            <w:pPr>
              <w:spacing w:after="0"/>
              <w:rPr>
                <w:sz w:val="17"/>
                <w:szCs w:val="17"/>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3"/>
              </w:rPr>
              <w:t>1,074,064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260" w:type="dxa"/>
            <w:vAlign w:val="bottom"/>
            <w:tcBorders>
              <w:top w:val="single" w:sz="8" w:color="CFF0FC"/>
            </w:tcBorders>
            <w:shd w:val="clear" w:color="auto" w:fill="CFF0FC"/>
          </w:tcPr>
          <w:p>
            <w:pPr>
              <w:ind w:left="140"/>
              <w:spacing w:after="0" w:line="143" w:lineRule="exact"/>
              <w:rPr>
                <w:sz w:val="20"/>
                <w:szCs w:val="20"/>
                <w:color w:val="auto"/>
              </w:rPr>
            </w:pPr>
            <w:r>
              <w:rPr>
                <w:rFonts w:ascii="Arial" w:cs="Arial" w:eastAsia="Arial" w:hAnsi="Arial"/>
                <w:sz w:val="14"/>
                <w:szCs w:val="14"/>
                <w:color w:val="auto"/>
              </w:rPr>
              <w:t>Net increase in net assets resulting from operations:</w:t>
            </w:r>
          </w:p>
        </w:tc>
        <w:tc>
          <w:tcPr>
            <w:tcW w:w="7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31,142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31,142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change in unrealized gains on investments and foreign currency translation</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16,423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16,423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260"/>
              <w:spacing w:after="0"/>
              <w:rPr>
                <w:sz w:val="20"/>
                <w:szCs w:val="20"/>
                <w:color w:val="auto"/>
              </w:rPr>
            </w:pPr>
            <w:r>
              <w:rPr>
                <w:rFonts w:ascii="Arial" w:cs="Arial" w:eastAsia="Arial" w:hAnsi="Arial"/>
                <w:sz w:val="14"/>
                <w:szCs w:val="14"/>
                <w:color w:val="auto"/>
              </w:rPr>
              <w:t>Net realized gain on investments and foreign currency transactions</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Dividends to stockholders:</w:t>
            </w: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260"/>
              <w:spacing w:after="0"/>
              <w:rPr>
                <w:sz w:val="20"/>
                <w:szCs w:val="20"/>
                <w:color w:val="auto"/>
              </w:rPr>
            </w:pPr>
            <w:r>
              <w:rPr>
                <w:rFonts w:ascii="Arial" w:cs="Arial" w:eastAsia="Arial" w:hAnsi="Arial"/>
                <w:sz w:val="14"/>
                <w:szCs w:val="14"/>
                <w:color w:val="auto"/>
              </w:rPr>
              <w:t>Stock issued in connection with dividend reinvestment plan</w:t>
            </w:r>
          </w:p>
        </w:tc>
        <w:tc>
          <w:tcPr>
            <w:tcW w:w="740" w:type="dxa"/>
            <w:vAlign w:val="bottom"/>
          </w:tcPr>
          <w:p>
            <w:pPr>
              <w:jc w:val="right"/>
              <w:spacing w:after="0"/>
              <w:rPr>
                <w:sz w:val="20"/>
                <w:szCs w:val="20"/>
                <w:color w:val="auto"/>
              </w:rPr>
            </w:pPr>
            <w:r>
              <w:rPr>
                <w:rFonts w:ascii="Arial" w:cs="Arial" w:eastAsia="Arial" w:hAnsi="Arial"/>
                <w:sz w:val="14"/>
                <w:szCs w:val="14"/>
                <w:color w:val="auto"/>
              </w:rPr>
              <w:t>325,328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6,193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Dividends declared from net investment income</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(26,412)</w:t>
            </w:r>
          </w:p>
        </w:tc>
        <w:tc>
          <w:tcPr>
            <w:tcW w:w="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(26,412)</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4"/>
                <w:szCs w:val="14"/>
                <w:b w:val="1"/>
                <w:bCs w:val="1"/>
                <w:color w:val="auto"/>
              </w:rPr>
              <w:t>Balance at June 30, 2019</w:t>
            </w: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60" w:type="dxa"/>
            <w:vAlign w:val="bottom"/>
            <w:vMerge w:val="continue"/>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9"/>
              </w:rPr>
              <w:t>66,038,290</w:t>
            </w:r>
          </w:p>
        </w:tc>
        <w:tc>
          <w:tcPr>
            <w:tcW w:w="20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661</w:t>
            </w:r>
          </w:p>
        </w:tc>
        <w:tc>
          <w:tcPr>
            <w:tcW w:w="20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89,080</w:t>
            </w:r>
          </w:p>
        </w:tc>
        <w:tc>
          <w:tcPr>
            <w:tcW w:w="220" w:type="dxa"/>
            <w:vAlign w:val="bottom"/>
          </w:tcPr>
          <w:p>
            <w:pPr>
              <w:spacing w:after="0"/>
              <w:rPr>
                <w:sz w:val="13"/>
                <w:szCs w:val="13"/>
                <w:color w:val="auto"/>
              </w:rPr>
            </w:pPr>
          </w:p>
        </w:tc>
        <w:tc>
          <w:tcPr>
            <w:tcW w:w="5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89"/>
              </w:rPr>
              <w:t>$ (1,359)</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1,003,391</w:t>
            </w:r>
          </w:p>
        </w:tc>
        <w:tc>
          <w:tcPr>
            <w:tcW w:w="22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98,950</w:t>
            </w:r>
          </w:p>
        </w:tc>
        <w:tc>
          <w:tcPr>
            <w:tcW w:w="22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3"/>
              </w:rPr>
              <w:t>1,101,643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44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120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Treasury Stock</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Par</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3"/>
          </w:tcPr>
          <w:p>
            <w:pPr>
              <w:jc w:val="right"/>
              <w:ind w:right="300"/>
              <w:spacing w:after="0" w:line="143" w:lineRule="exact"/>
              <w:rPr>
                <w:sz w:val="20"/>
                <w:szCs w:val="20"/>
                <w:color w:val="auto"/>
              </w:rPr>
            </w:pPr>
            <w:r>
              <w:rPr>
                <w:rFonts w:ascii="Arial" w:cs="Arial" w:eastAsia="Arial" w:hAnsi="Arial"/>
                <w:sz w:val="14"/>
                <w:szCs w:val="14"/>
                <w:b w:val="1"/>
                <w:bCs w:val="1"/>
                <w:color w:val="auto"/>
                <w:w w:val="92"/>
              </w:rPr>
              <w:t>Paid in Capital in</w:t>
            </w:r>
          </w:p>
        </w:tc>
        <w:tc>
          <w:tcPr>
            <w:tcW w:w="90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Distributable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3" w:lineRule="exact"/>
              <w:rPr>
                <w:sz w:val="20"/>
                <w:szCs w:val="20"/>
                <w:color w:val="auto"/>
              </w:rPr>
            </w:pPr>
            <w:r>
              <w:rPr>
                <w:rFonts w:ascii="Arial" w:cs="Arial" w:eastAsia="Arial" w:hAnsi="Arial"/>
                <w:sz w:val="14"/>
                <w:szCs w:val="14"/>
                <w:b w:val="1"/>
                <w:bCs w:val="1"/>
                <w:color w:val="auto"/>
                <w:w w:val="83"/>
              </w:rPr>
              <w:t>Total Net</w:t>
            </w:r>
          </w:p>
        </w:tc>
        <w:tc>
          <w:tcPr>
            <w:tcW w:w="0" w:type="dxa"/>
            <w:vAlign w:val="bottom"/>
          </w:tcPr>
          <w:p>
            <w:pPr>
              <w:spacing w:after="0"/>
              <w:rPr>
                <w:sz w:val="1"/>
                <w:szCs w:val="1"/>
                <w:color w:val="auto"/>
              </w:rPr>
            </w:pPr>
          </w:p>
        </w:tc>
      </w:tr>
      <w:tr>
        <w:trPr>
          <w:trHeight w:val="161"/>
        </w:trPr>
        <w:tc>
          <w:tcPr>
            <w:tcW w:w="526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CFF0FC"/>
            </w:tcBorders>
          </w:tcPr>
          <w:p>
            <w:pPr>
              <w:spacing w:after="0"/>
              <w:rPr>
                <w:sz w:val="14"/>
                <w:szCs w:val="14"/>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Borders>
              <w:bottom w:val="single" w:sz="8" w:color="CFF0FC"/>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87"/>
              </w:rPr>
              <w:t>Excess of Par</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0"/>
              </w:rPr>
              <w:t>Earnings</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1"/>
              </w:rPr>
              <w:t>Assets</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at December 31, 2017</w:t>
            </w:r>
          </w:p>
        </w:tc>
        <w:tc>
          <w:tcPr>
            <w:tcW w:w="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60,247,201</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603</w:t>
            </w:r>
          </w:p>
        </w:tc>
        <w:tc>
          <w:tcPr>
            <w:tcW w:w="2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89,080</w:t>
            </w:r>
          </w:p>
        </w:tc>
        <w:tc>
          <w:tcPr>
            <w:tcW w:w="2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w w:val="89"/>
              </w:rPr>
              <w:t>$ (1,359)</w:t>
            </w:r>
          </w:p>
        </w:tc>
        <w:tc>
          <w:tcPr>
            <w:tcW w:w="120" w:type="dxa"/>
            <w:vAlign w:val="bottom"/>
            <w:shd w:val="clear" w:color="auto" w:fill="CFF0FC"/>
          </w:tcPr>
          <w:p>
            <w:pPr>
              <w:jc w:val="right"/>
              <w:ind w:right="5"/>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906,521</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63,519</w:t>
            </w:r>
          </w:p>
        </w:tc>
        <w:tc>
          <w:tcPr>
            <w:tcW w:w="14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969,284</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140"/>
              <w:spacing w:after="0"/>
              <w:rPr>
                <w:sz w:val="20"/>
                <w:szCs w:val="20"/>
                <w:color w:val="auto"/>
              </w:rPr>
            </w:pPr>
            <w:r>
              <w:rPr>
                <w:rFonts w:ascii="Arial" w:cs="Arial" w:eastAsia="Arial" w:hAnsi="Arial"/>
                <w:sz w:val="14"/>
                <w:szCs w:val="14"/>
                <w:color w:val="auto"/>
              </w:rPr>
              <w:t>Net increase in net assets resulting from operations:</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investment income</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31,186</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31,186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260"/>
              <w:spacing w:after="0"/>
              <w:rPr>
                <w:sz w:val="20"/>
                <w:szCs w:val="20"/>
                <w:color w:val="auto"/>
              </w:rPr>
            </w:pPr>
            <w:r>
              <w:rPr>
                <w:rFonts w:ascii="Arial" w:cs="Arial" w:eastAsia="Arial" w:hAnsi="Arial"/>
                <w:sz w:val="14"/>
                <w:szCs w:val="14"/>
                <w:color w:val="auto"/>
              </w:rPr>
              <w:t>Net change in unrealized losses on investments and foreign currency translation</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(207)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realized gain on investments and foreign currency transactions</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2,857</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140"/>
              <w:spacing w:after="0"/>
              <w:rPr>
                <w:sz w:val="20"/>
                <w:szCs w:val="20"/>
                <w:color w:val="auto"/>
              </w:rPr>
            </w:pPr>
            <w:r>
              <w:rPr>
                <w:rFonts w:ascii="Arial" w:cs="Arial" w:eastAsia="Arial" w:hAnsi="Arial"/>
                <w:sz w:val="14"/>
                <w:szCs w:val="14"/>
                <w:color w:val="auto"/>
              </w:rPr>
              <w:t>Increase in Net Assets Resulting from Capital Share Transactions:</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 common shares, net of offering and underwriting costs</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3,750,000</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62,977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63,015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140"/>
              <w:spacing w:after="0"/>
              <w:rPr>
                <w:sz w:val="20"/>
                <w:szCs w:val="20"/>
                <w:color w:val="auto"/>
              </w:rPr>
            </w:pPr>
            <w:r>
              <w:rPr>
                <w:rFonts w:ascii="Arial" w:cs="Arial" w:eastAsia="Arial" w:hAnsi="Arial"/>
                <w:sz w:val="14"/>
                <w:szCs w:val="14"/>
                <w:color w:val="auto"/>
              </w:rPr>
              <w:t>Dividends to stockholders:</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 issued in connection with dividend reinvestment plan</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169,750</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3,198</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3,200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260"/>
              <w:spacing w:after="0"/>
              <w:rPr>
                <w:sz w:val="20"/>
                <w:szCs w:val="20"/>
                <w:color w:val="auto"/>
              </w:rPr>
            </w:pPr>
            <w:r>
              <w:rPr>
                <w:rFonts w:ascii="Arial" w:cs="Arial" w:eastAsia="Arial" w:hAnsi="Arial"/>
                <w:sz w:val="14"/>
                <w:szCs w:val="14"/>
                <w:color w:val="auto"/>
              </w:rPr>
              <w:t>Dividends declared from net investment income</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(25,368)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(25,368)</w:t>
            </w: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 xml:space="preserve">Tax reclassification of stockholders' equity in accordance with GAAP </w:t>
            </w:r>
            <w:r>
              <w:rPr>
                <w:rFonts w:ascii="Arial" w:cs="Arial" w:eastAsia="Arial" w:hAnsi="Arial"/>
                <w:sz w:val="11"/>
                <w:szCs w:val="11"/>
                <w:color w:val="auto"/>
              </w:rPr>
              <w:t>(1)</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(853)</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4"/>
                <w:szCs w:val="14"/>
                <w:b w:val="1"/>
                <w:bCs w:val="1"/>
                <w:color w:val="auto"/>
              </w:rPr>
              <w:t>Balance at March 31, 2018</w:t>
            </w: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vMerge w:val="continue"/>
          </w:tcPr>
          <w:p>
            <w:pPr>
              <w:spacing w:after="0"/>
              <w:rPr>
                <w:sz w:val="17"/>
                <w:szCs w:val="17"/>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9"/>
              </w:rPr>
              <w:t>64,166,951</w:t>
            </w:r>
          </w:p>
        </w:tc>
        <w:tc>
          <w:tcPr>
            <w:tcW w:w="200" w:type="dxa"/>
            <w:vAlign w:val="bottom"/>
          </w:tcPr>
          <w:p>
            <w:pPr>
              <w:spacing w:after="0"/>
              <w:rPr>
                <w:sz w:val="17"/>
                <w:szCs w:val="17"/>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643</w:t>
            </w:r>
          </w:p>
        </w:tc>
        <w:tc>
          <w:tcPr>
            <w:tcW w:w="200" w:type="dxa"/>
            <w:vAlign w:val="bottom"/>
          </w:tcPr>
          <w:p>
            <w:pPr>
              <w:spacing w:after="0"/>
              <w:rPr>
                <w:sz w:val="17"/>
                <w:szCs w:val="17"/>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89,080</w:t>
            </w:r>
          </w:p>
        </w:tc>
        <w:tc>
          <w:tcPr>
            <w:tcW w:w="220" w:type="dxa"/>
            <w:vAlign w:val="bottom"/>
          </w:tcPr>
          <w:p>
            <w:pPr>
              <w:spacing w:after="0"/>
              <w:rPr>
                <w:sz w:val="17"/>
                <w:szCs w:val="17"/>
                <w:color w:val="auto"/>
              </w:rPr>
            </w:pPr>
          </w:p>
        </w:tc>
        <w:tc>
          <w:tcPr>
            <w:tcW w:w="7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w w:val="89"/>
              </w:rPr>
              <w:t>$ (1,359)</w:t>
            </w:r>
          </w:p>
        </w:tc>
        <w:tc>
          <w:tcPr>
            <w:tcW w:w="120" w:type="dxa"/>
            <w:vAlign w:val="bottom"/>
          </w:tcPr>
          <w:p>
            <w:pPr>
              <w:jc w:val="right"/>
              <w:ind w:right="5"/>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971,843</w:t>
            </w:r>
          </w:p>
        </w:tc>
        <w:tc>
          <w:tcPr>
            <w:tcW w:w="220" w:type="dxa"/>
            <w:vAlign w:val="bottom"/>
          </w:tcPr>
          <w:p>
            <w:pPr>
              <w:spacing w:after="0"/>
              <w:rPr>
                <w:sz w:val="17"/>
                <w:szCs w:val="17"/>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72,840</w:t>
            </w:r>
          </w:p>
        </w:tc>
        <w:tc>
          <w:tcPr>
            <w:tcW w:w="140" w:type="dxa"/>
            <w:vAlign w:val="bottom"/>
          </w:tcPr>
          <w:p>
            <w:pPr>
              <w:spacing w:after="0"/>
              <w:rPr>
                <w:sz w:val="17"/>
                <w:szCs w:val="17"/>
                <w:color w:val="auto"/>
              </w:rPr>
            </w:pPr>
          </w:p>
        </w:tc>
        <w:tc>
          <w:tcPr>
            <w:tcW w:w="1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3"/>
              </w:rPr>
              <w:t>1,043,967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260" w:type="dxa"/>
            <w:vAlign w:val="bottom"/>
            <w:tcBorders>
              <w:top w:val="single" w:sz="8" w:color="CFF0FC"/>
            </w:tcBorders>
            <w:shd w:val="clear" w:color="auto" w:fill="CFF0FC"/>
          </w:tcPr>
          <w:p>
            <w:pPr>
              <w:ind w:left="140"/>
              <w:spacing w:after="0" w:line="143" w:lineRule="exact"/>
              <w:rPr>
                <w:sz w:val="20"/>
                <w:szCs w:val="20"/>
                <w:color w:val="auto"/>
              </w:rPr>
            </w:pPr>
            <w:r>
              <w:rPr>
                <w:rFonts w:ascii="Arial" w:cs="Arial" w:eastAsia="Arial" w:hAnsi="Arial"/>
                <w:sz w:val="14"/>
                <w:szCs w:val="14"/>
                <w:color w:val="auto"/>
              </w:rPr>
              <w:t>Net increase in net assets resulting from operations:</w:t>
            </w:r>
          </w:p>
        </w:tc>
        <w:tc>
          <w:tcPr>
            <w:tcW w:w="74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40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CFF0FC"/>
            </w:tcBorders>
            <w:shd w:val="clear" w:color="auto" w:fill="CFF0FC"/>
          </w:tcPr>
          <w:p>
            <w:pPr>
              <w:spacing w:after="0"/>
              <w:rPr>
                <w:sz w:val="12"/>
                <w:szCs w:val="12"/>
                <w:color w:val="auto"/>
              </w:rPr>
            </w:pPr>
          </w:p>
        </w:tc>
        <w:tc>
          <w:tcPr>
            <w:tcW w:w="50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36,302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36,302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change in unrealized gains on investments and foreign currency translation</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6,434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6,434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260"/>
              <w:spacing w:after="0"/>
              <w:rPr>
                <w:sz w:val="20"/>
                <w:szCs w:val="20"/>
                <w:color w:val="auto"/>
              </w:rPr>
            </w:pPr>
            <w:r>
              <w:rPr>
                <w:rFonts w:ascii="Arial" w:cs="Arial" w:eastAsia="Arial" w:hAnsi="Arial"/>
                <w:sz w:val="14"/>
                <w:szCs w:val="14"/>
                <w:color w:val="auto"/>
              </w:rPr>
              <w:t>Net realized losses on investments and foreign currency transactions</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(9,167)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(9,167)</w:t>
            </w: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Increase in Net Assets Resulting from Capital Share Transactions:</w:t>
            </w: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260"/>
              <w:spacing w:after="0"/>
              <w:rPr>
                <w:sz w:val="20"/>
                <w:szCs w:val="20"/>
                <w:color w:val="auto"/>
              </w:rPr>
            </w:pPr>
            <w:r>
              <w:rPr>
                <w:rFonts w:ascii="Arial" w:cs="Arial" w:eastAsia="Arial" w:hAnsi="Arial"/>
                <w:sz w:val="14"/>
                <w:szCs w:val="14"/>
                <w:color w:val="auto"/>
              </w:rPr>
              <w:t>Issuance of common shares, net of offering and underwriting costs</w:t>
            </w:r>
          </w:p>
        </w:tc>
        <w:tc>
          <w:tcPr>
            <w:tcW w:w="740" w:type="dxa"/>
            <w:vAlign w:val="bottom"/>
          </w:tcPr>
          <w:p>
            <w:pPr>
              <w:jc w:val="right"/>
              <w:spacing w:after="0"/>
              <w:rPr>
                <w:sz w:val="20"/>
                <w:szCs w:val="20"/>
                <w:color w:val="auto"/>
              </w:rPr>
            </w:pPr>
            <w:r>
              <w:rPr>
                <w:rFonts w:ascii="Arial" w:cs="Arial" w:eastAsia="Arial" w:hAnsi="Arial"/>
                <w:sz w:val="14"/>
                <w:szCs w:val="14"/>
                <w:color w:val="auto"/>
              </w:rPr>
              <w:t>522,224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8,793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8,798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 convertible notes</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140"/>
              <w:spacing w:after="0"/>
              <w:rPr>
                <w:sz w:val="20"/>
                <w:szCs w:val="20"/>
                <w:color w:val="auto"/>
              </w:rPr>
            </w:pPr>
            <w:r>
              <w:rPr>
                <w:rFonts w:ascii="Arial" w:cs="Arial" w:eastAsia="Arial" w:hAnsi="Arial"/>
                <w:sz w:val="14"/>
                <w:szCs w:val="14"/>
                <w:color w:val="auto"/>
              </w:rPr>
              <w:t>Dividends to stockholders:</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 issued in connection with dividend reinvestment plan</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231,351</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3,895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3,897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60" w:type="dxa"/>
            <w:vAlign w:val="bottom"/>
          </w:tcPr>
          <w:p>
            <w:pPr>
              <w:ind w:left="260"/>
              <w:spacing w:after="0"/>
              <w:rPr>
                <w:sz w:val="20"/>
                <w:szCs w:val="20"/>
                <w:color w:val="auto"/>
              </w:rPr>
            </w:pPr>
            <w:r>
              <w:rPr>
                <w:rFonts w:ascii="Arial" w:cs="Arial" w:eastAsia="Arial" w:hAnsi="Arial"/>
                <w:sz w:val="14"/>
                <w:szCs w:val="14"/>
                <w:color w:val="auto"/>
              </w:rPr>
              <w:t>Dividends declared from net investment income</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(29,199)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(29,199)</w:t>
            </w:r>
          </w:p>
        </w:tc>
        <w:tc>
          <w:tcPr>
            <w:tcW w:w="0" w:type="dxa"/>
            <w:vAlign w:val="bottom"/>
          </w:tcPr>
          <w:p>
            <w:pPr>
              <w:spacing w:after="0"/>
              <w:rPr>
                <w:sz w:val="1"/>
                <w:szCs w:val="1"/>
                <w:color w:val="auto"/>
              </w:rPr>
            </w:pPr>
          </w:p>
        </w:tc>
      </w:tr>
      <w:tr>
        <w:trPr>
          <w:trHeight w:val="20"/>
        </w:trPr>
        <w:tc>
          <w:tcPr>
            <w:tcW w:w="5260" w:type="dxa"/>
            <w:vAlign w:val="bottom"/>
            <w:vMerge w:val="restart"/>
            <w:shd w:val="clear" w:color="auto" w:fill="CFF0FC"/>
          </w:tcPr>
          <w:p>
            <w:pPr>
              <w:spacing w:after="0"/>
              <w:rPr>
                <w:sz w:val="20"/>
                <w:szCs w:val="20"/>
                <w:color w:val="auto"/>
              </w:rPr>
            </w:pPr>
            <w:r>
              <w:rPr>
                <w:rFonts w:ascii="Arial" w:cs="Arial" w:eastAsia="Arial" w:hAnsi="Arial"/>
                <w:sz w:val="14"/>
                <w:szCs w:val="14"/>
                <w:b w:val="1"/>
                <w:bCs w:val="1"/>
                <w:color w:val="auto"/>
              </w:rPr>
              <w:t>Balance at June 30, 2018</w:t>
            </w: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60" w:type="dxa"/>
            <w:vAlign w:val="bottom"/>
            <w:vMerge w:val="continue"/>
            <w:shd w:val="clear" w:color="auto" w:fill="CFF0FC"/>
          </w:tcPr>
          <w:p>
            <w:pPr>
              <w:spacing w:after="0"/>
              <w:rPr>
                <w:sz w:val="13"/>
                <w:szCs w:val="13"/>
                <w:color w:val="auto"/>
              </w:rPr>
            </w:pPr>
          </w:p>
        </w:tc>
        <w:tc>
          <w:tcPr>
            <w:tcW w:w="7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64,920,526</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650</w:t>
            </w:r>
          </w:p>
        </w:tc>
        <w:tc>
          <w:tcPr>
            <w:tcW w:w="20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89,080</w:t>
            </w:r>
          </w:p>
        </w:tc>
        <w:tc>
          <w:tcPr>
            <w:tcW w:w="2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w w:val="89"/>
              </w:rPr>
              <w:t>$ (1,359)</w:t>
            </w:r>
          </w:p>
        </w:tc>
        <w:tc>
          <w:tcPr>
            <w:tcW w:w="120" w:type="dxa"/>
            <w:vAlign w:val="bottom"/>
            <w:shd w:val="clear" w:color="auto" w:fill="CFF0FC"/>
          </w:tcPr>
          <w:p>
            <w:pPr>
              <w:jc w:val="right"/>
              <w:ind w:right="5"/>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985,541</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77,210</w:t>
            </w:r>
          </w:p>
        </w:tc>
        <w:tc>
          <w:tcPr>
            <w:tcW w:w="14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93"/>
              </w:rPr>
              <w:t>1,062,042</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40" w:hanging="519"/>
        <w:spacing w:after="0"/>
        <w:tabs>
          <w:tab w:leader="none" w:pos="10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Company’s tax year end is March 31</w:t>
      </w:r>
      <w:r>
        <w:rPr>
          <w:rFonts w:ascii="Arial" w:cs="Arial" w:eastAsia="Arial" w:hAnsi="Arial"/>
          <w:sz w:val="10"/>
          <w:szCs w:val="10"/>
          <w:color w:val="auto"/>
        </w:rPr>
        <w:t>st</w:t>
      </w:r>
      <w:r>
        <w:rPr>
          <w:rFonts w:ascii="Arial" w:cs="Arial" w:eastAsia="Arial" w:hAnsi="Arial"/>
          <w:sz w:val="13"/>
          <w:szCs w:val="13"/>
          <w:color w:val="auto"/>
        </w:rPr>
        <w: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4"/>
                <w:szCs w:val="14"/>
                <w:color w:val="auto"/>
              </w:rPr>
            </w:pPr>
          </w:p>
        </w:tc>
        <w:tc>
          <w:tcPr>
            <w:tcW w:w="17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June 30, 2018</w:t>
            </w: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86,541</w:t>
            </w:r>
          </w:p>
        </w:tc>
        <w:tc>
          <w:tcPr>
            <w:tcW w:w="28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67,405</w:t>
            </w:r>
          </w:p>
        </w:tc>
        <w:tc>
          <w:tcPr>
            <w:tcW w:w="100" w:type="dxa"/>
            <w:vAlign w:val="bottom"/>
          </w:tcPr>
          <w:p>
            <w:pPr>
              <w:spacing w:after="0"/>
              <w:rPr>
                <w:sz w:val="19"/>
                <w:szCs w:val="19"/>
                <w:color w:val="auto"/>
              </w:rPr>
            </w:pPr>
          </w:p>
        </w:tc>
      </w:tr>
      <w:tr>
        <w:trPr>
          <w:trHeight w:val="215"/>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increase in net assets resulting from operations</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 net cash used in operating activities:</w:t>
            </w: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Net change in unrealized gains on investments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(20,637)</w:t>
            </w:r>
          </w:p>
        </w:tc>
        <w:tc>
          <w:tcPr>
            <w:tcW w:w="20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(8,300)</w:t>
            </w: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change in unrealized (gains) losses on foreign currency transactions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(3,905)</w:t>
            </w: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Net change in unrealized (gains) losses on interest rate swaps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(9,443)</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5,979</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realized (gains) losses on investments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(1,025)</w:t>
            </w: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6,496</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Net realized (gains) losses on foreign currency transactions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amortization of discount on investments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(7,302)</w:t>
            </w: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(10,956)</w:t>
            </w: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Amortization of deferred financing costs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2,270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discount on debt</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Purchases and originations of investments, net</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(504,367)</w:t>
            </w:r>
          </w:p>
        </w:tc>
        <w:tc>
          <w:tcPr>
            <w:tcW w:w="20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(552,960)</w:t>
            </w: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investments, net</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17,340</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Repayments on investments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176,691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289,618</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Paid-in-kind interest</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(3,226)</w:t>
            </w: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(2,578)</w:t>
            </w: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receivable</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(1,709)</w:t>
            </w: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(1,602)</w:t>
            </w: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Interest receivable paid-in-kind</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(474)</w:t>
            </w:r>
          </w:p>
        </w:tc>
        <w:tc>
          <w:tcPr>
            <w:tcW w:w="20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(232)</w:t>
            </w: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assets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8,595</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Management fees payable to affiliate</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Incentive fees payable to affiliate</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(2,750)</w:t>
            </w: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2,072</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Payable to affiliate</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837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liabilities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(582)</w:t>
            </w:r>
          </w:p>
        </w:tc>
      </w:tr>
      <w:tr>
        <w:trPr>
          <w:trHeight w:val="223"/>
        </w:trPr>
        <w:tc>
          <w:tcPr>
            <w:tcW w:w="6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Net Cash Used in Operating Activities</w:t>
            </w:r>
          </w:p>
        </w:tc>
        <w:tc>
          <w:tcPr>
            <w:tcW w:w="7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(269,760)</w:t>
            </w:r>
          </w:p>
        </w:tc>
        <w:tc>
          <w:tcPr>
            <w:tcW w:w="2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(179,655)</w:t>
            </w:r>
          </w:p>
        </w:tc>
        <w:tc>
          <w:tcPr>
            <w:tcW w:w="100" w:type="dxa"/>
            <w:vAlign w:val="bottom"/>
            <w:tcBorders>
              <w:bottom w:val="single" w:sz="8" w:color="CFF0FC"/>
            </w:tcBorders>
          </w:tcPr>
          <w:p>
            <w:pPr>
              <w:spacing w:after="0"/>
              <w:rPr>
                <w:sz w:val="19"/>
                <w:szCs w:val="19"/>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Borrowings on debt</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638,253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860,240</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Repayments on debt</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(317,706)</w:t>
            </w:r>
          </w:p>
        </w:tc>
        <w:tc>
          <w:tcPr>
            <w:tcW w:w="20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(696,275)</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(3,553)</w:t>
            </w:r>
          </w:p>
        </w:tc>
        <w:tc>
          <w:tcPr>
            <w:tcW w:w="20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(6,829)</w:t>
            </w: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net of offering and underwriting costs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71,813</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Dividends paid to stockholders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(47,847)</w:t>
            </w:r>
          </w:p>
        </w:tc>
        <w:tc>
          <w:tcPr>
            <w:tcW w:w="20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(45,651)</w:t>
            </w:r>
          </w:p>
        </w:tc>
      </w:tr>
      <w:tr>
        <w:trPr>
          <w:trHeight w:val="223"/>
        </w:trPr>
        <w:tc>
          <w:tcPr>
            <w:tcW w:w="67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Cash Provided by Financing Activities</w:t>
            </w:r>
          </w:p>
        </w:tc>
        <w:tc>
          <w:tcPr>
            <w:tcW w:w="7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269,147</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183,298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740" w:type="dxa"/>
            <w:vAlign w:val="bottom"/>
          </w:tcPr>
          <w:p>
            <w:pPr>
              <w:ind w:left="50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(613)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3,643</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7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10,575</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6,665</w:t>
            </w:r>
          </w:p>
        </w:tc>
        <w:tc>
          <w:tcPr>
            <w:tcW w:w="100" w:type="dxa"/>
            <w:vAlign w:val="bottom"/>
            <w:shd w:val="clear" w:color="auto" w:fill="CFF0FC"/>
          </w:tcPr>
          <w:p>
            <w:pPr>
              <w:spacing w:after="0"/>
              <w:rPr>
                <w:sz w:val="19"/>
                <w:szCs w:val="19"/>
                <w:color w:val="auto"/>
              </w:rPr>
            </w:pPr>
          </w:p>
        </w:tc>
      </w:tr>
      <w:tr>
        <w:trPr>
          <w:trHeight w:val="263"/>
        </w:trPr>
        <w:tc>
          <w:tcPr>
            <w:tcW w:w="6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70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9,962</w:t>
            </w:r>
          </w:p>
        </w:tc>
        <w:tc>
          <w:tcPr>
            <w:tcW w:w="2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10,308</w:t>
            </w:r>
          </w:p>
        </w:tc>
        <w:tc>
          <w:tcPr>
            <w:tcW w:w="100" w:type="dxa"/>
            <w:vAlign w:val="bottom"/>
            <w:tcBorders>
              <w:bottom w:val="single" w:sz="8" w:color="CFF0FC"/>
            </w:tcBorders>
          </w:tcPr>
          <w:p>
            <w:pPr>
              <w:spacing w:after="0"/>
              <w:rPr>
                <w:sz w:val="22"/>
                <w:szCs w:val="22"/>
                <w:color w:val="auto"/>
              </w:rPr>
            </w:pPr>
          </w:p>
        </w:tc>
      </w:tr>
      <w:tr>
        <w:trPr>
          <w:trHeight w:val="21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Supplemental Information:</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Interest paid during the period</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19,741</w:t>
            </w:r>
          </w:p>
        </w:tc>
        <w:tc>
          <w:tcPr>
            <w:tcW w:w="28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14,154</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Excise taxes paid during the period</w:t>
            </w:r>
          </w:p>
        </w:tc>
        <w:tc>
          <w:tcPr>
            <w:tcW w:w="9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3,100</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Dividends declared during the period</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59,881</w:t>
            </w:r>
          </w:p>
        </w:tc>
        <w:tc>
          <w:tcPr>
            <w:tcW w:w="28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54,568</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Reinvestment of dividends during the period</w:t>
            </w:r>
          </w:p>
        </w:tc>
        <w:tc>
          <w:tcPr>
            <w:tcW w:w="9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7,098</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TPG Specialty Lending, Inc. (“TSLX” or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TSLX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78"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On March 21, 2014, the Company completed its initial public offering (“IPO”) and the Company’s shares began trading on the New York Stock Exchange (“NYSE”) under the symbol “TSLX.”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20" w:firstLine="259"/>
        <w:spacing w:after="0" w:line="302" w:lineRule="auto"/>
        <w:rPr>
          <w:sz w:val="20"/>
          <w:szCs w:val="20"/>
          <w:color w:val="auto"/>
        </w:rPr>
      </w:pPr>
      <w:r>
        <w:rPr>
          <w:rFonts w:ascii="Arial" w:cs="Arial" w:eastAsia="Arial" w:hAnsi="Arial"/>
          <w:sz w:val="16"/>
          <w:szCs w:val="16"/>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54" w:lineRule="exact"/>
        <w:rPr>
          <w:sz w:val="20"/>
          <w:szCs w:val="20"/>
          <w:color w:val="auto"/>
        </w:rPr>
      </w:pPr>
    </w:p>
    <w:p>
      <w:pPr>
        <w:ind w:firstLine="259"/>
        <w:spacing w:after="0" w:line="302" w:lineRule="auto"/>
        <w:rPr>
          <w:sz w:val="20"/>
          <w:szCs w:val="20"/>
          <w:color w:val="auto"/>
        </w:rPr>
      </w:pPr>
      <w:r>
        <w:rPr>
          <w:rFonts w:ascii="Arial" w:cs="Arial" w:eastAsia="Arial" w:hAnsi="Arial"/>
          <w:sz w:val="16"/>
          <w:szCs w:val="16"/>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2018, which was filed with the Securities and Exchange Commission (“SEC”), on February 20, 2019.</w:t>
      </w:r>
    </w:p>
    <w:p>
      <w:pPr>
        <w:spacing w:after="0" w:line="154" w:lineRule="exact"/>
        <w:rPr>
          <w:sz w:val="20"/>
          <w:szCs w:val="20"/>
          <w:color w:val="auto"/>
        </w:rPr>
      </w:pPr>
    </w:p>
    <w:p>
      <w:pPr>
        <w:ind w:right="740" w:firstLine="259"/>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70"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 xml:space="preserve">The Company is an investment company and, therefore, applies the specialized accounting and reporting guidance in Accounting Standards Codification (“ASC”) Topic 946, </w:t>
      </w:r>
      <w:r>
        <w:rPr>
          <w:rFonts w:ascii="Arial" w:cs="Arial" w:eastAsia="Arial" w:hAnsi="Arial"/>
          <w:sz w:val="18"/>
          <w:szCs w:val="18"/>
          <w:i w:val="1"/>
          <w:iCs w:val="1"/>
          <w:color w:val="auto"/>
        </w:rPr>
        <w:t>Financial Services – Investment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fiscal year ends on December 31.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right="200" w:firstLine="259"/>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100" w:firstLine="259"/>
        <w:spacing w:after="0" w:line="259" w:lineRule="auto"/>
        <w:rPr>
          <w:sz w:val="20"/>
          <w:szCs w:val="20"/>
          <w:color w:val="auto"/>
        </w:rPr>
      </w:pPr>
      <w:r>
        <w:rPr>
          <w:rFonts w:ascii="Arial" w:cs="Arial" w:eastAsia="Arial" w:hAnsi="Arial"/>
          <w:sz w:val="18"/>
          <w:szCs w:val="18"/>
          <w:color w:val="auto"/>
        </w:rPr>
        <w:t>Cash and cash equivalents may consist of demand deposits, highly liquid investments (e.g., money market funds, U.S. Treasury notes, and similar type instruments) with original maturities of three months or less, and restricted cash pledged as collateral.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The net change in unrealized gains or losses primarily reflects the change in investment values and also includes the reversal of previously recorded unrealized gains or losses with respect to investments realized during the period.</w:t>
      </w:r>
    </w:p>
    <w:p>
      <w:pPr>
        <w:spacing w:after="0" w:line="188"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As part of the valuation process, the Board takes into account relevant factors in determining the fair value of its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260" w:hanging="255"/>
        <w:spacing w:after="0" w:line="27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62" w:lineRule="exact"/>
        <w:rPr>
          <w:rFonts w:ascii="Arial" w:cs="Arial" w:eastAsia="Arial" w:hAnsi="Arial"/>
          <w:sz w:val="18"/>
          <w:szCs w:val="18"/>
          <w:color w:val="auto"/>
        </w:rPr>
      </w:pPr>
    </w:p>
    <w:p>
      <w:pPr>
        <w:ind w:left="520" w:right="580" w:hanging="255"/>
        <w:spacing w:after="0" w:line="27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17" w:lineRule="exact"/>
        <w:rPr>
          <w:rFonts w:ascii="Arial" w:cs="Arial" w:eastAsia="Arial" w:hAnsi="Arial"/>
          <w:sz w:val="18"/>
          <w:szCs w:val="18"/>
          <w:color w:val="auto"/>
        </w:rPr>
      </w:pPr>
    </w:p>
    <w:p>
      <w:pPr>
        <w:ind w:left="520" w:right="80" w:hanging="255"/>
        <w:spacing w:after="0" w:line="264"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conducts this valuation process on a quarterly basis.</w:t>
      </w:r>
    </w:p>
    <w:p>
      <w:pPr>
        <w:spacing w:after="0" w:line="225" w:lineRule="exact"/>
        <w:rPr>
          <w:sz w:val="20"/>
          <w:szCs w:val="20"/>
          <w:color w:val="auto"/>
        </w:rPr>
      </w:pPr>
    </w:p>
    <w:p>
      <w:pPr>
        <w:ind w:right="40" w:firstLine="259"/>
        <w:spacing w:after="0" w:line="279" w:lineRule="auto"/>
        <w:rPr>
          <w:sz w:val="20"/>
          <w:szCs w:val="20"/>
          <w:color w:val="auto"/>
        </w:rPr>
      </w:pPr>
      <w:r>
        <w:rPr>
          <w:rFonts w:ascii="Arial" w:cs="Arial" w:eastAsia="Arial" w:hAnsi="Arial"/>
          <w:sz w:val="17"/>
          <w:szCs w:val="17"/>
          <w:color w:val="auto"/>
        </w:rPr>
        <w:t>The Board has engaged independent third-party valuation firms to perform certain limited procedures that the Board has identified and requested them to perform in connection with the valuation process. At June 30, 2019,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appeared reasonable.</w:t>
      </w:r>
    </w:p>
    <w:p>
      <w:pPr>
        <w:spacing w:after="0" w:line="171" w:lineRule="exact"/>
        <w:rPr>
          <w:sz w:val="20"/>
          <w:szCs w:val="20"/>
          <w:color w:val="auto"/>
        </w:rPr>
      </w:pPr>
    </w:p>
    <w:p>
      <w:pPr>
        <w:ind w:right="20" w:firstLine="259"/>
        <w:spacing w:after="0" w:line="272" w:lineRule="auto"/>
        <w:rPr>
          <w:sz w:val="20"/>
          <w:szCs w:val="20"/>
          <w:color w:val="auto"/>
        </w:rPr>
      </w:pPr>
      <w:r>
        <w:rPr>
          <w:rFonts w:ascii="Arial" w:cs="Arial" w:eastAsia="Arial" w:hAnsi="Arial"/>
          <w:sz w:val="17"/>
          <w:szCs w:val="17"/>
          <w:color w:val="auto"/>
        </w:rPr>
        <w:t xml:space="preserve">The Company applies Financial Accounting Standards Board Accounting Standards Codification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0" w:lineRule="exact"/>
        <w:rPr>
          <w:sz w:val="20"/>
          <w:szCs w:val="20"/>
          <w:color w:val="auto"/>
        </w:rPr>
      </w:pPr>
    </w:p>
    <w:p>
      <w:pPr>
        <w:ind w:left="520" w:hanging="255"/>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has the ability to access.</w:t>
      </w:r>
    </w:p>
    <w:p>
      <w:pPr>
        <w:spacing w:after="0" w:line="117" w:lineRule="exact"/>
        <w:rPr>
          <w:rFonts w:ascii="Arial" w:cs="Arial" w:eastAsia="Arial" w:hAnsi="Arial"/>
          <w:sz w:val="18"/>
          <w:szCs w:val="18"/>
          <w:color w:val="auto"/>
        </w:rPr>
      </w:pPr>
    </w:p>
    <w:p>
      <w:pPr>
        <w:ind w:left="520" w:right="760" w:hanging="255"/>
        <w:spacing w:after="0" w:line="277"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2" w:name="page23"/>
    <w:bookmarkEnd w:id="22"/>
    <w:p>
      <w:pPr>
        <w:ind w:firstLine="259"/>
        <w:spacing w:after="0" w:line="290"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66" w:lineRule="exact"/>
        <w:rPr>
          <w:sz w:val="20"/>
          <w:szCs w:val="20"/>
          <w:color w:val="auto"/>
        </w:rPr>
      </w:pPr>
    </w:p>
    <w:p>
      <w:pPr>
        <w:ind w:right="260" w:firstLine="259"/>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3"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ind w:firstLine="259"/>
        <w:spacing w:after="0" w:line="342" w:lineRule="auto"/>
        <w:rPr>
          <w:sz w:val="20"/>
          <w:szCs w:val="20"/>
          <w:color w:val="auto"/>
        </w:rPr>
      </w:pPr>
      <w:r>
        <w:rPr>
          <w:rFonts w:ascii="Arial" w:cs="Arial" w:eastAsia="Arial" w:hAnsi="Arial"/>
          <w:sz w:val="16"/>
          <w:szCs w:val="16"/>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24" w:lineRule="exact"/>
        <w:rPr>
          <w:sz w:val="20"/>
          <w:szCs w:val="20"/>
          <w:color w:val="auto"/>
        </w:rPr>
      </w:pPr>
    </w:p>
    <w:p>
      <w:pPr>
        <w:ind w:right="60" w:firstLine="259"/>
        <w:spacing w:after="0" w:line="297" w:lineRule="auto"/>
        <w:rPr>
          <w:sz w:val="20"/>
          <w:szCs w:val="20"/>
          <w:color w:val="auto"/>
        </w:rPr>
      </w:pPr>
      <w:r>
        <w:rPr>
          <w:rFonts w:ascii="Arial" w:cs="Arial" w:eastAsia="Arial" w:hAnsi="Arial"/>
          <w:sz w:val="16"/>
          <w:szCs w:val="16"/>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Derivatives, including the Company’s interest rate swaps, for which broker quotes are available are typically valued at those broker quotes.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17" w:lineRule="exact"/>
        <w:rPr>
          <w:sz w:val="20"/>
          <w:szCs w:val="20"/>
          <w:color w:val="auto"/>
        </w:rPr>
      </w:pPr>
    </w:p>
    <w:p>
      <w:pPr>
        <w:ind w:left="520" w:right="40" w:hanging="255"/>
        <w:spacing w:after="0" w:line="277"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62" w:lineRule="exact"/>
        <w:rPr>
          <w:rFonts w:ascii="Arial" w:cs="Arial" w:eastAsia="Arial" w:hAnsi="Arial"/>
          <w:sz w:val="18"/>
          <w:szCs w:val="18"/>
          <w:color w:val="auto"/>
        </w:rPr>
      </w:pPr>
    </w:p>
    <w:p>
      <w:pPr>
        <w:ind w:left="520" w:right="160" w:hanging="255"/>
        <w:spacing w:after="0" w:line="277"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40" w:firstLine="259"/>
        <w:spacing w:after="0" w:line="293" w:lineRule="auto"/>
        <w:rPr>
          <w:sz w:val="20"/>
          <w:szCs w:val="20"/>
          <w:color w:val="auto"/>
        </w:rPr>
      </w:pPr>
      <w:r>
        <w:rPr>
          <w:rFonts w:ascii="Arial" w:cs="Arial" w:eastAsia="Arial" w:hAnsi="Arial"/>
          <w:sz w:val="16"/>
          <w:szCs w:val="16"/>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3" w:name="page24"/>
    <w:bookmarkEnd w:id="23"/>
    <w:p>
      <w:pPr>
        <w:ind w:right="260" w:firstLine="259"/>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360" w:firstLine="259"/>
        <w:spacing w:after="0" w:line="277" w:lineRule="auto"/>
        <w:rPr>
          <w:sz w:val="20"/>
          <w:szCs w:val="20"/>
          <w:color w:val="auto"/>
        </w:rPr>
      </w:pPr>
      <w:r>
        <w:rPr>
          <w:rFonts w:ascii="Arial" w:cs="Arial" w:eastAsia="Arial" w:hAnsi="Arial"/>
          <w:sz w:val="18"/>
          <w:szCs w:val="18"/>
          <w:color w:val="auto"/>
        </w:rPr>
        <w:t>The Company records expenses related to equity offerings as a reduction of capital upon completion of an offering of registered securities. The costs associated with renewals of the Company’s shelf registration statement are expensed as incurred.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obligation.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right="220" w:firstLine="259"/>
        <w:spacing w:after="0" w:line="286" w:lineRule="auto"/>
        <w:rPr>
          <w:sz w:val="20"/>
          <w:szCs w:val="20"/>
          <w:color w:val="auto"/>
        </w:rPr>
      </w:pPr>
      <w:r>
        <w:rPr>
          <w:rFonts w:ascii="Arial" w:cs="Arial" w:eastAsia="Arial" w:hAnsi="Arial"/>
          <w:sz w:val="17"/>
          <w:szCs w:val="17"/>
          <w:color w:val="auto"/>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66"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70" w:lineRule="exact"/>
        <w:rPr>
          <w:sz w:val="20"/>
          <w:szCs w:val="20"/>
          <w:color w:val="auto"/>
        </w:rPr>
      </w:pPr>
    </w:p>
    <w:p>
      <w:pPr>
        <w:ind w:right="140" w:firstLine="259"/>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87"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120" w:firstLine="259"/>
        <w:spacing w:after="0" w:line="257" w:lineRule="auto"/>
        <w:rPr>
          <w:sz w:val="20"/>
          <w:szCs w:val="20"/>
          <w:color w:val="auto"/>
        </w:rPr>
      </w:pPr>
      <w:r>
        <w:rPr>
          <w:rFonts w:ascii="Arial" w:cs="Arial" w:eastAsia="Arial" w:hAnsi="Arial"/>
          <w:sz w:val="18"/>
          <w:szCs w:val="18"/>
          <w:color w:val="auto"/>
        </w:rPr>
        <w:t>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w:t>
      </w:r>
    </w:p>
    <w:p>
      <w:pPr>
        <w:spacing w:after="0" w:line="188"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For the three and six months ended June 30, 2019, we recorded a net expense of $1.0 million and $1.3 million, respectively, for U.S. federal excise tax.</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six months ended June 30, 2018, we recorded a net expense of $0.9 million and $1.8 million, respectively, for U.S. federal excise tax.</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40" w:firstLine="259"/>
        <w:spacing w:after="0" w:line="308" w:lineRule="auto"/>
        <w:rPr>
          <w:sz w:val="20"/>
          <w:szCs w:val="20"/>
          <w:color w:val="auto"/>
        </w:rPr>
      </w:pPr>
      <w:r>
        <w:rPr>
          <w:rFonts w:ascii="Arial" w:cs="Arial" w:eastAsia="Arial" w:hAnsi="Arial"/>
          <w:sz w:val="17"/>
          <w:szCs w:val="17"/>
          <w:color w:val="auto"/>
        </w:rPr>
        <w:t>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47"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color w:val="auto"/>
        </w:rPr>
        <w:t>In August 2018, the Financial Accounting Standards Board issued Accounting Standards Update 2018-13 (“ASU 2018-13”) “Fair Value Measurement (Topic 820): Disclosure Framework – Changes to the Disclosure Requirements for Fair Value Measurement.” This guidance modifies the disclosure requirements on fair value measurements in ASC Topic 820, by eliminating, amending, and adding certain disclosure requirements. ASU 2018-13 is effective for financial statements issued for fiscal years beginning after December 15, 2019, including interim periods within those fiscal years. Early adoption is permitted for any period for which financial statements have not yet been issued or have not yet been made available for issuance. The Company is currently evaluating the impact, if any, of adopting this ASU on our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78" w:lineRule="exact"/>
        <w:rPr>
          <w:sz w:val="20"/>
          <w:szCs w:val="20"/>
          <w:color w:val="auto"/>
        </w:rPr>
      </w:pPr>
    </w:p>
    <w:p>
      <w:pPr>
        <w:ind w:right="340" w:firstLine="259"/>
        <w:spacing w:after="0" w:line="264" w:lineRule="auto"/>
        <w:rPr>
          <w:sz w:val="20"/>
          <w:szCs w:val="20"/>
          <w:color w:val="auto"/>
        </w:rPr>
      </w:pPr>
      <w:r>
        <w:rPr>
          <w:rFonts w:ascii="Arial" w:cs="Arial" w:eastAsia="Arial" w:hAnsi="Arial"/>
          <w:sz w:val="18"/>
          <w:szCs w:val="18"/>
          <w:color w:val="auto"/>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25" w:name="page26"/>
    <w:bookmarkEnd w:id="25"/>
    <w:p>
      <w:pPr>
        <w:jc w:val="both"/>
        <w:ind w:right="120" w:firstLine="259"/>
        <w:spacing w:after="0" w:line="264" w:lineRule="auto"/>
        <w:rPr>
          <w:sz w:val="20"/>
          <w:szCs w:val="20"/>
          <w:color w:val="auto"/>
        </w:rPr>
      </w:pPr>
      <w:r>
        <w:rPr>
          <w:rFonts w:ascii="Arial" w:cs="Arial" w:eastAsia="Arial" w:hAnsi="Arial"/>
          <w:sz w:val="18"/>
          <w:szCs w:val="18"/>
          <w:color w:val="auto"/>
        </w:rPr>
        <w:t>In November 2018, the Board renewed the Administration Agreement. Unless earlier terminated as described below, the Administration Agreement will remain in effect until November 2019,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ind w:right="20" w:firstLine="259"/>
        <w:spacing w:after="0" w:line="269" w:lineRule="auto"/>
        <w:rPr>
          <w:sz w:val="20"/>
          <w:szCs w:val="20"/>
          <w:color w:val="auto"/>
        </w:rPr>
      </w:pPr>
      <w:r>
        <w:rPr>
          <w:rFonts w:ascii="Arial" w:cs="Arial" w:eastAsia="Arial" w:hAnsi="Arial"/>
          <w:sz w:val="17"/>
          <w:szCs w:val="17"/>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the Company’s Chief Compliance Officer, Chief Financial Officer, and other professionals who provide operational and administrative services to us pursuant to the Administration Agreement, including individuals who provide “back office” or “middle office” financial, operational, legal and/or compliance services to us.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180" w:lineRule="exact"/>
        <w:rPr>
          <w:sz w:val="20"/>
          <w:szCs w:val="20"/>
          <w:color w:val="auto"/>
        </w:rPr>
      </w:pPr>
    </w:p>
    <w:p>
      <w:pPr>
        <w:ind w:right="140" w:firstLine="259"/>
        <w:spacing w:after="0" w:line="312" w:lineRule="auto"/>
        <w:rPr>
          <w:sz w:val="20"/>
          <w:szCs w:val="20"/>
          <w:color w:val="auto"/>
        </w:rPr>
      </w:pPr>
      <w:r>
        <w:rPr>
          <w:rFonts w:ascii="Arial" w:cs="Arial" w:eastAsia="Arial" w:hAnsi="Arial"/>
          <w:sz w:val="16"/>
          <w:szCs w:val="16"/>
          <w:color w:val="auto"/>
        </w:rPr>
        <w:t>For the three and six months ended June 30, 2019, the Company incurred expenses of $1.0 million and $2.1 million, respectively, for administrative services payable to the Adviser under the terms of the Administration Agreement. For the three and six months ended June 30, 2018, the Company incurred expenses of $1.0 million and $1.9 million, respectively, for administrative services payable to the Adviser under the terms of the Administration Agreement.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right="80" w:firstLine="259"/>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81" w:lineRule="exact"/>
        <w:rPr>
          <w:sz w:val="20"/>
          <w:szCs w:val="20"/>
          <w:color w:val="auto"/>
        </w:rPr>
      </w:pPr>
    </w:p>
    <w:p>
      <w:pPr>
        <w:ind w:right="220" w:firstLine="259"/>
        <w:spacing w:after="0" w:line="308" w:lineRule="auto"/>
        <w:rPr>
          <w:sz w:val="20"/>
          <w:szCs w:val="20"/>
          <w:color w:val="auto"/>
        </w:rPr>
      </w:pPr>
      <w:r>
        <w:rPr>
          <w:rFonts w:ascii="Arial" w:cs="Arial" w:eastAsia="Arial" w:hAnsi="Arial"/>
          <w:sz w:val="17"/>
          <w:szCs w:val="17"/>
          <w:color w:val="auto"/>
        </w:rPr>
        <w:t>For the three and six months ended June 30, 2019, Management Fees (gross of waivers) were $7.4 million and $14.0 million, respectively. For the three and six months ended June 30, 2018, Management Fees (gross of waivers) were $7.3 million and $14.0 million, respectively.</w:t>
      </w:r>
    </w:p>
    <w:p>
      <w:pPr>
        <w:spacing w:after="0" w:line="147" w:lineRule="exact"/>
        <w:rPr>
          <w:sz w:val="20"/>
          <w:szCs w:val="20"/>
          <w:color w:val="auto"/>
        </w:rPr>
      </w:pPr>
    </w:p>
    <w:p>
      <w:pPr>
        <w:ind w:right="180" w:firstLine="259"/>
        <w:spacing w:after="0" w:line="264" w:lineRule="auto"/>
        <w:rPr>
          <w:sz w:val="20"/>
          <w:szCs w:val="20"/>
          <w:color w:val="auto"/>
        </w:rPr>
      </w:pPr>
      <w:r>
        <w:rPr>
          <w:rFonts w:ascii="Arial" w:cs="Arial" w:eastAsia="Arial" w:hAnsi="Arial"/>
          <w:sz w:val="18"/>
          <w:szCs w:val="18"/>
          <w:color w:val="auto"/>
        </w:rPr>
        <w:t>The Adviser voluntarily waived the Management Fee on the Company’s ownership of shares of common stock in Triangle Capital Corp. (the “TCAP Shares”) for any period in which Triangle Capital Corp. remained a portfolio company. As of June 30, 2018 the Company had fully exited its position in the TCAP Shares.</w:t>
      </w:r>
    </w:p>
    <w:p>
      <w:pPr>
        <w:spacing w:after="0" w:line="181"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The Adviser did not waive any Management Fees for the three and six months ended June 30, 2019. For the six months ended June 30, 2018, Management Fees of less than $0.1 million were waived consisting solely of Management Fees attributable to the Company’s ownership of the TCAP Shares. The Adviser did not waive any Management Fees for the three months ended June 30, 2018.</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Any waived Management Fees are not subject to recoupment by the Adviser.</w:t>
      </w:r>
    </w:p>
    <w:p>
      <w:pPr>
        <w:spacing w:after="0" w:line="225"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As of June 30, 2019, no Management Fees have been waived pursuant to the Leverage Waiver.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6" w:name="page27"/>
    <w:bookmarkEnd w:id="26"/>
    <w:p>
      <w:pPr>
        <w:ind w:left="260"/>
        <w:spacing w:after="0"/>
        <w:rPr>
          <w:sz w:val="20"/>
          <w:szCs w:val="20"/>
          <w:color w:val="auto"/>
        </w:rPr>
      </w:pPr>
      <w:r>
        <w:rPr>
          <w:rFonts w:ascii="Arial" w:cs="Arial" w:eastAsia="Arial" w:hAnsi="Arial"/>
          <w:sz w:val="18"/>
          <w:szCs w:val="18"/>
          <w:color w:val="auto"/>
        </w:rPr>
        <w:t>The Incentive Fee consists of two parts, as follows:</w:t>
      </w:r>
    </w:p>
    <w:p>
      <w:pPr>
        <w:spacing w:after="0" w:line="117" w:lineRule="exact"/>
        <w:rPr>
          <w:sz w:val="20"/>
          <w:szCs w:val="20"/>
          <w:color w:val="auto"/>
        </w:rPr>
      </w:pPr>
    </w:p>
    <w:p>
      <w:pPr>
        <w:ind w:left="520" w:right="80" w:hanging="255"/>
        <w:spacing w:after="0" w:line="291" w:lineRule="auto"/>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59" w:lineRule="exact"/>
        <w:rPr>
          <w:rFonts w:ascii="Arial" w:cs="Arial" w:eastAsia="Arial" w:hAnsi="Arial"/>
          <w:sz w:val="16"/>
          <w:szCs w:val="16"/>
          <w:color w:val="auto"/>
        </w:rPr>
      </w:pPr>
    </w:p>
    <w:p>
      <w:pPr>
        <w:ind w:left="520" w:right="40"/>
        <w:spacing w:after="0" w:line="293" w:lineRule="auto"/>
        <w:rPr>
          <w:rFonts w:ascii="Arial" w:cs="Arial" w:eastAsia="Arial" w:hAnsi="Arial"/>
          <w:sz w:val="16"/>
          <w:szCs w:val="16"/>
          <w:color w:val="auto"/>
        </w:rPr>
      </w:pPr>
      <w:r>
        <w:rPr>
          <w:rFonts w:ascii="Arial" w:cs="Arial" w:eastAsia="Arial" w:hAnsi="Arial"/>
          <w:sz w:val="16"/>
          <w:szCs w:val="16"/>
          <w:color w:val="auto"/>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p>
    <w:p>
      <w:pPr>
        <w:spacing w:after="0" w:line="56" w:lineRule="exact"/>
        <w:rPr>
          <w:rFonts w:ascii="Arial" w:cs="Arial" w:eastAsia="Arial" w:hAnsi="Arial"/>
          <w:sz w:val="16"/>
          <w:szCs w:val="16"/>
          <w:color w:val="auto"/>
        </w:rPr>
      </w:pPr>
    </w:p>
    <w:p>
      <w:pPr>
        <w:ind w:left="520" w:right="20" w:hanging="255"/>
        <w:spacing w:after="0" w:line="289" w:lineRule="auto"/>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67" w:lineRule="exact"/>
        <w:rPr>
          <w:sz w:val="20"/>
          <w:szCs w:val="20"/>
          <w:color w:val="auto"/>
        </w:rPr>
      </w:pPr>
    </w:p>
    <w:p>
      <w:pPr>
        <w:ind w:right="560" w:firstLine="259"/>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47" w:lineRule="exact"/>
        <w:rPr>
          <w:sz w:val="20"/>
          <w:szCs w:val="20"/>
          <w:color w:val="auto"/>
        </w:rPr>
      </w:pPr>
    </w:p>
    <w:p>
      <w:pPr>
        <w:ind w:right="20" w:firstLine="259"/>
        <w:spacing w:after="0" w:line="277" w:lineRule="auto"/>
        <w:rPr>
          <w:sz w:val="20"/>
          <w:szCs w:val="20"/>
          <w:color w:val="auto"/>
        </w:rPr>
      </w:pPr>
      <w:r>
        <w:rPr>
          <w:rFonts w:ascii="Arial" w:cs="Arial" w:eastAsia="Arial" w:hAnsi="Arial"/>
          <w:sz w:val="18"/>
          <w:szCs w:val="18"/>
          <w:color w:val="auto"/>
        </w:rPr>
        <w:t>Section 205(b)(3) of the Investment Advisers Act of 1940, as amended, prohibits the Adviser from receiving the payment of fees on unrealized gains until those gains are realized, if ever. There can be no assurance that such unrealized gains will be realized in the future.</w:t>
      </w:r>
    </w:p>
    <w:p>
      <w:pPr>
        <w:spacing w:after="0" w:line="170"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For the three and six months ended June 30, 2019, Incentive Fees (gross of waivers) were $6.6 million and $12.3 million, respectively, all of which were realized and payable to the Adviser. For the three and six months ended June 30, 2018, Incentive Fees (gross of waivers) were $7.7 million and $14.3 million, respectively, all of which were realized and payable to the Adviser.</w:t>
      </w:r>
    </w:p>
    <w:p>
      <w:pPr>
        <w:spacing w:after="0" w:line="181" w:lineRule="exact"/>
        <w:rPr>
          <w:sz w:val="20"/>
          <w:szCs w:val="20"/>
          <w:color w:val="auto"/>
        </w:rPr>
      </w:pPr>
    </w:p>
    <w:p>
      <w:pPr>
        <w:ind w:right="160" w:firstLine="259"/>
        <w:spacing w:after="0" w:line="257" w:lineRule="auto"/>
        <w:rPr>
          <w:sz w:val="20"/>
          <w:szCs w:val="20"/>
          <w:color w:val="auto"/>
        </w:rPr>
      </w:pPr>
      <w:r>
        <w:rPr>
          <w:rFonts w:ascii="Arial" w:cs="Arial" w:eastAsia="Arial" w:hAnsi="Arial"/>
          <w:sz w:val="18"/>
          <w:szCs w:val="18"/>
          <w:color w:val="auto"/>
        </w:rPr>
        <w:t>The Adviser voluntarily waived the Incentive Fees attributable to pre-Incentive Fee net investment income accrued by the Company as a result of its ownership of the TCAP Shares for any period in which Triangle Capital Corp. remained the Company’s portfolio company. The Adviser did not waive any part of the Capital Gains Fee attributable to the Company’s ownership of the TCAP Shares and, accordingly, any realized capital gains or losses and unrealized capital losses with respect to the TCAP Shares were applied against the Company’s cumulative realized capital gains on which the Capital Gains Fee is calculated.</w:t>
      </w:r>
    </w:p>
    <w:p>
      <w:pPr>
        <w:spacing w:after="0" w:line="188" w:lineRule="exact"/>
        <w:rPr>
          <w:sz w:val="20"/>
          <w:szCs w:val="20"/>
          <w:color w:val="auto"/>
        </w:rPr>
      </w:pPr>
    </w:p>
    <w:p>
      <w:pPr>
        <w:jc w:val="both"/>
        <w:ind w:right="80" w:firstLine="259"/>
        <w:spacing w:after="0" w:line="312" w:lineRule="auto"/>
        <w:rPr>
          <w:sz w:val="20"/>
          <w:szCs w:val="20"/>
          <w:color w:val="auto"/>
        </w:rPr>
      </w:pPr>
      <w:r>
        <w:rPr>
          <w:rFonts w:ascii="Arial" w:cs="Arial" w:eastAsia="Arial" w:hAnsi="Arial"/>
          <w:sz w:val="16"/>
          <w:szCs w:val="16"/>
          <w:color w:val="auto"/>
        </w:rPr>
        <w:t>The Adviser did not waive any Incentive Fees for the three and six months ended June 30, 2019. For the six months ended June 30, 2018, Incentive Fees of less than $0.1 million were waived, consisting solely of Incentive Fees attributable to the Company’s ownership of the TCAP Shares. The Adviser did not waive any Incentive Fees for the three months ended June 30, 2018. Any waived Incentive Fees are not subject to recoupment by the Adviser.</w:t>
      </w:r>
    </w:p>
    <w:p>
      <w:pPr>
        <w:spacing w:after="0" w:line="147"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Since the Company’s IPO, with the exception of its waiver of Management Fees and certain Incentive Fees attributable to the Company’s ownership of certain investments, including the TCAP Shares and the Leverage Waiver, the Adviser has not waived its right to receive any Management Fees or Incentive Fees payable pursuant to the Investment Advisory Agreement.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27" w:name="page28"/>
    <w:bookmarkEnd w:id="27"/>
    <w:p>
      <w:pPr>
        <w:ind w:right="120" w:firstLine="259"/>
        <w:spacing w:after="0" w:line="312" w:lineRule="auto"/>
        <w:rPr>
          <w:sz w:val="20"/>
          <w:szCs w:val="20"/>
          <w:color w:val="auto"/>
        </w:rPr>
      </w:pPr>
      <w:r>
        <w:rPr>
          <w:rFonts w:ascii="Arial" w:cs="Arial" w:eastAsia="Arial" w:hAnsi="Arial"/>
          <w:sz w:val="16"/>
          <w:szCs w:val="16"/>
          <w:color w:val="auto"/>
        </w:rPr>
        <w:t>In November 2018, the Board renewed the Investment Advisory Agreement. Unless earlier terminated as described below, the Investment Advisory Agreement will remain in effect until November 2019,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47" w:lineRule="exact"/>
        <w:rPr>
          <w:sz w:val="20"/>
          <w:szCs w:val="20"/>
          <w:color w:val="auto"/>
        </w:rPr>
      </w:pPr>
    </w:p>
    <w:p>
      <w:pPr>
        <w:ind w:right="200" w:firstLine="259"/>
        <w:spacing w:after="0" w:line="264"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color w:val="auto"/>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Investments at fair value consisted of the following at June 30, 2019 and December 31, 2018:</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4"/>
                <w:szCs w:val="14"/>
                <w:b w:val="1"/>
                <w:bCs w:val="1"/>
                <w:color w:val="auto"/>
                <w:w w:val="94"/>
              </w:rPr>
              <w:t>June 30, 2019</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1,975,274</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2,005,102</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29,828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6,424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6,428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66,130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46,459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(19,671)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2,050,328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2,060,533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10,205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December 31, 2018</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5"/>
              </w:rPr>
              <w:t xml:space="preserve">Amortized Cost </w:t>
            </w:r>
            <w:r>
              <w:rPr>
                <w:rFonts w:ascii="Arial" w:cs="Arial" w:eastAsia="Arial" w:hAnsi="Arial"/>
                <w:sz w:val="12"/>
                <w:szCs w:val="12"/>
                <w:b w:val="1"/>
                <w:bCs w:val="1"/>
                <w:color w:val="auto"/>
                <w:w w:val="95"/>
              </w:rPr>
              <w:t>(1)</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10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Net Unrealized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Gain (Loss)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1,642,015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1,653,907</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4,137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67,757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45,444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(22,313)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Investments</w:t>
            </w:r>
          </w:p>
        </w:tc>
        <w:tc>
          <w:tcPr>
            <w:tcW w:w="28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1,716,400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1,705,969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220" w:hanging="512"/>
        <w:spacing w:after="0" w:line="27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28" w:name="page29"/>
    <w:bookmarkEnd w:id="28"/>
    <w:p>
      <w:pPr>
        <w:ind w:left="260"/>
        <w:spacing w:after="0"/>
        <w:rPr>
          <w:sz w:val="20"/>
          <w:szCs w:val="20"/>
          <w:color w:val="auto"/>
        </w:rPr>
      </w:pPr>
      <w:r>
        <w:rPr>
          <w:rFonts w:ascii="Arial" w:cs="Arial" w:eastAsia="Arial" w:hAnsi="Arial"/>
          <w:sz w:val="18"/>
          <w:szCs w:val="18"/>
          <w:color w:val="auto"/>
        </w:rPr>
        <w:t>The industry composition of investments at fair value at June 30, 2019 and December 31, 2018 is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1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June 30, 2019</w:t>
            </w:r>
          </w:p>
        </w:tc>
        <w:tc>
          <w:tcPr>
            <w:tcW w:w="300" w:type="dxa"/>
            <w:vAlign w:val="bottom"/>
            <w:vMerge w:val="restart"/>
          </w:tcPr>
          <w:p>
            <w:pPr>
              <w:spacing w:after="0"/>
              <w:rPr>
                <w:sz w:val="14"/>
                <w:szCs w:val="1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22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FF0FC"/>
            </w:tcBorders>
            <w:vMerge w:val="continue"/>
          </w:tcPr>
          <w:p>
            <w:pPr>
              <w:spacing w:after="0"/>
              <w:rPr>
                <w:sz w:val="14"/>
                <w:szCs w:val="14"/>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Beverage, food and tobacco</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Business services</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15.1%</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Chemicals</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0.3%</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Education</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Electronics</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0.2%</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Financial services</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19.8%</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Healthcare</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9.9%</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Hotel, gaming, and leisure</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Human resource support services</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5.5%</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Insurance</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Internet services</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4.4%</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Manufacturing</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Marketing services</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0.6%</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Office products</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Oil, gas and consumable fuels</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Pharmaceuticals</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Retail and consumer products</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12.0%</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Transportation</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522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20" w:type="dxa"/>
            <w:vAlign w:val="bottom"/>
            <w:vMerge w:val="continue"/>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geographic composition of investments at fair value at June 30, 2019 and December 31, 2018 is as follows:</w:t>
      </w:r>
    </w:p>
    <w:p>
      <w:pPr>
        <w:spacing w:after="0" w:line="21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4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June 30, 2019</w:t>
            </w: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140" w:type="dxa"/>
            <w:vAlign w:val="bottom"/>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1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Midwest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16.6%</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Northeast</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16.1%</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South</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20.1%</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West</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41.3%</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Australia</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Bermuda</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Canada</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220" w:type="dxa"/>
            <w:vAlign w:val="bottom"/>
            <w:vMerge w:val="restart"/>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20" w:type="dxa"/>
            <w:vAlign w:val="bottom"/>
            <w:vMerge w:val="continue"/>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jc w:val="both"/>
        <w:ind w:firstLine="259"/>
        <w:spacing w:after="0" w:line="312" w:lineRule="auto"/>
        <w:rPr>
          <w:sz w:val="20"/>
          <w:szCs w:val="20"/>
          <w:color w:val="auto"/>
        </w:rPr>
      </w:pPr>
      <w:r>
        <w:rPr>
          <w:rFonts w:ascii="Arial" w:cs="Arial" w:eastAsia="Arial" w:hAnsi="Arial"/>
          <w:sz w:val="16"/>
          <w:szCs w:val="16"/>
          <w:color w:val="auto"/>
        </w:rPr>
        <w:t>In January 2015, in connection with its 2019 Convertible Notes, the Company entered into two interest rate swap transactions, each with a $57.5 million notional amount. The Company receives fixed rate interest at 4.50% and pays variable rate interest based on the three-month London Interbank Offered Rate (“LIBOR”) plus 2.86%. The swap transactions mature on December 15, 2019, matching the maturity date of the 2019 Convertible Notes.</w:t>
      </w:r>
    </w:p>
    <w:p>
      <w:pPr>
        <w:spacing w:after="0" w:line="147"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In January 2017, in connection with a fixed rate investment, the Company entered into an interest rate swap transaction with a $33.3 million notional amount. On a net basis, the Company receives three-month LIBOR and pays fixed rate interest at 1.72%. The swap transaction matures on January 10, 2020, matching the expected repayment date of the investment.</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 February 2017, in connection with the issuance of the 2022 Convertible Notes, the Company entered into an interest rate swap transaction with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$115.0 million notional amount. The Company receives fixed rate interest at 4.50% and pays variable rate interest based on three-month LIBOR plus 2.37%.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swap transaction matures on August 1, 2022, matching the maturity date of the 2022 Convertible Notes.</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57" w:right="359" w:bottom="1440" w:gutter="0" w:footer="0" w:header="0"/>
        </w:sectPr>
      </w:pPr>
    </w:p>
    <w:bookmarkStart w:id="29" w:name="page30"/>
    <w:bookmarkEnd w:id="29"/>
    <w:p>
      <w:pPr>
        <w:jc w:val="both"/>
        <w:ind w:right="420" w:firstLine="259"/>
        <w:spacing w:after="0" w:line="264" w:lineRule="auto"/>
        <w:rPr>
          <w:sz w:val="20"/>
          <w:szCs w:val="20"/>
          <w:color w:val="auto"/>
        </w:rPr>
      </w:pPr>
      <w:r>
        <w:rPr>
          <w:rFonts w:ascii="Arial" w:cs="Arial" w:eastAsia="Arial" w:hAnsi="Arial"/>
          <w:sz w:val="18"/>
          <w:szCs w:val="18"/>
          <w:color w:val="auto"/>
        </w:rPr>
        <w:t>In January 2018, in connection with the issuance of the 2023 Notes, the Company entered into an interest rate swap transaction with a $150.0 million notional amount. The Company receives fixed rate interest at 4.50% and pays variable rate interest based on three-month LIBOR plus 1.99%. The swap transaction matures on January 22, 2023, matching the maturity date of the 2023 Notes.</w:t>
      </w:r>
    </w:p>
    <w:p>
      <w:pPr>
        <w:spacing w:after="0" w:line="181"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In June 2018, in connection with the reopening and issuance of additional 2022 Convertible Notes, the Company entered into two interest rate swap transactions with notional amounts of $50.0 million and $7.5 million, respectively. The Company receives fixed rate interest on each swap at 4.50%, and pays variable rate interest based on three-month LIBOR plus 1.59%, and 1.60%, respectively. The swap transactions mature on August 1, 2022, matching the maturity date of the 2022 Convertible Notes.</w:t>
      </w:r>
    </w:p>
    <w:p>
      <w:pPr>
        <w:spacing w:after="0" w:line="187" w:lineRule="exact"/>
        <w:rPr>
          <w:sz w:val="20"/>
          <w:szCs w:val="20"/>
          <w:color w:val="auto"/>
        </w:rPr>
      </w:pPr>
    </w:p>
    <w:p>
      <w:pPr>
        <w:ind w:right="340" w:firstLine="259"/>
        <w:spacing w:after="0" w:line="264" w:lineRule="auto"/>
        <w:rPr>
          <w:sz w:val="20"/>
          <w:szCs w:val="20"/>
          <w:color w:val="auto"/>
        </w:rPr>
      </w:pPr>
      <w:r>
        <w:rPr>
          <w:rFonts w:ascii="Arial" w:cs="Arial" w:eastAsia="Arial" w:hAnsi="Arial"/>
          <w:sz w:val="18"/>
          <w:szCs w:val="18"/>
          <w:color w:val="auto"/>
        </w:rPr>
        <w:t>In June 2019, upon maturity of the original swap transaction on an existing fixed rate investment, the Company entered into an interest rate swap transaction with a $91.5 million notional amount. The Company receives three-month LIBOR and pays fixed rate interest at 1.97%. The swap transaction matures on June 25, 2020, matching the expected repayment date of the investment.</w:t>
      </w:r>
    </w:p>
    <w:p>
      <w:pPr>
        <w:spacing w:after="0" w:line="181"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color w:val="auto"/>
        </w:rPr>
        <w:t>The following tables present the amounts paid and received on the Company’s interest rate swap transactions for the three and six months ended June 30, 2019 and 2018:</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Maturity Date</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Notional Amount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6"/>
          </w:tcPr>
          <w:p>
            <w:pPr>
              <w:jc w:val="right"/>
              <w:spacing w:after="0"/>
              <w:rPr>
                <w:sz w:val="20"/>
                <w:szCs w:val="20"/>
                <w:color w:val="auto"/>
              </w:rPr>
            </w:pPr>
            <w:r>
              <w:rPr>
                <w:rFonts w:ascii="Arial" w:cs="Arial" w:eastAsia="Arial" w:hAnsi="Arial"/>
                <w:sz w:val="14"/>
                <w:szCs w:val="14"/>
                <w:b w:val="1"/>
                <w:bCs w:val="1"/>
                <w:color w:val="auto"/>
                <w:w w:val="98"/>
              </w:rPr>
              <w:t>For the Three Months Ended June 30, 2019</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8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2"/>
              </w:rPr>
              <w:t>For the Six Months Ended June 30, 2019</w:t>
            </w: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Paid</w:t>
            </w: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w w:val="97"/>
              </w:rPr>
              <w:t>Received</w:t>
            </w:r>
          </w:p>
        </w:tc>
        <w:tc>
          <w:tcPr>
            <w:tcW w:w="2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Net</w:t>
            </w:r>
          </w:p>
        </w:tc>
        <w:tc>
          <w:tcPr>
            <w:tcW w:w="3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Paid</w:t>
            </w: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91"/>
              </w:rPr>
              <w:t>Received</w:t>
            </w: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 xml:space="preserve">Interest rate swap </w:t>
            </w:r>
            <w:r>
              <w:rPr>
                <w:rFonts w:ascii="Arial" w:cs="Arial" w:eastAsia="Arial" w:hAnsi="Arial"/>
                <w:sz w:val="15"/>
                <w:szCs w:val="15"/>
                <w:color w:val="auto"/>
                <w:w w:val="98"/>
              </w:rPr>
              <w:t>(1)</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6/27/2019</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91,500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24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50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Interest rate swap</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12/15/2019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(1,643)</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1,294</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(349)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(3,231)</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30"/>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w w:val="98"/>
              </w:rPr>
              <w:t xml:space="preserve">Interest rate swap </w:t>
            </w:r>
            <w:r>
              <w:rPr>
                <w:rFonts w:ascii="Arial" w:cs="Arial" w:eastAsia="Arial" w:hAnsi="Arial"/>
                <w:sz w:val="15"/>
                <w:szCs w:val="15"/>
                <w:color w:val="auto"/>
                <w:w w:val="98"/>
              </w:rPr>
              <w:t>(1)</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1/10/2020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(698)</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(1,396)</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Interest rate swap</w:t>
            </w:r>
          </w:p>
        </w:tc>
        <w:tc>
          <w:tcPr>
            <w:tcW w:w="94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(1,446)</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1,294</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(152)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(2,900)</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0"/>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(530)</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562</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(1,067)</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Interest rate swap</w:t>
            </w:r>
          </w:p>
        </w:tc>
        <w:tc>
          <w:tcPr>
            <w:tcW w:w="94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1/22/2023</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(1,742)</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(3,501)</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166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562,333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(6,762</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6,337</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50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(425)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(13,488)</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12,675</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660" w:type="dxa"/>
            <w:vAlign w:val="bottom"/>
          </w:tcPr>
          <w:p>
            <w:pPr>
              <w:spacing w:after="0"/>
              <w:rPr>
                <w:sz w:val="24"/>
                <w:szCs w:val="24"/>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Maturity Date</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Notional Amount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gridSpan w:val="6"/>
          </w:tcPr>
          <w:p>
            <w:pPr>
              <w:jc w:val="right"/>
              <w:spacing w:after="0"/>
              <w:rPr>
                <w:sz w:val="20"/>
                <w:szCs w:val="20"/>
                <w:color w:val="auto"/>
              </w:rPr>
            </w:pPr>
            <w:r>
              <w:rPr>
                <w:rFonts w:ascii="Arial" w:cs="Arial" w:eastAsia="Arial" w:hAnsi="Arial"/>
                <w:sz w:val="14"/>
                <w:szCs w:val="14"/>
                <w:b w:val="1"/>
                <w:bCs w:val="1"/>
                <w:color w:val="auto"/>
                <w:w w:val="98"/>
              </w:rPr>
              <w:t>For the Three Months Ended June 30, 2018</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8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2"/>
              </w:rPr>
              <w:t>For the Six Months Ended June 30, 2018</w:t>
            </w: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Paid</w:t>
            </w: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w w:val="97"/>
              </w:rPr>
              <w:t>Received</w:t>
            </w:r>
          </w:p>
        </w:tc>
        <w:tc>
          <w:tcPr>
            <w:tcW w:w="2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Net</w:t>
            </w:r>
          </w:p>
        </w:tc>
        <w:tc>
          <w:tcPr>
            <w:tcW w:w="3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Paid</w:t>
            </w: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400"/>
              <w:spacing w:after="0" w:line="155" w:lineRule="exact"/>
              <w:rPr>
                <w:sz w:val="20"/>
                <w:szCs w:val="20"/>
                <w:color w:val="auto"/>
              </w:rPr>
            </w:pPr>
            <w:r>
              <w:rPr>
                <w:rFonts w:ascii="Arial" w:cs="Arial" w:eastAsia="Arial" w:hAnsi="Arial"/>
                <w:sz w:val="14"/>
                <w:szCs w:val="14"/>
                <w:b w:val="1"/>
                <w:bCs w:val="1"/>
                <w:color w:val="auto"/>
                <w:w w:val="91"/>
              </w:rPr>
              <w:t>Received</w:t>
            </w: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8"/>
              </w:rPr>
              <w:t xml:space="preserve">Interest rate swap </w:t>
            </w:r>
            <w:r>
              <w:rPr>
                <w:rFonts w:ascii="Arial" w:cs="Arial" w:eastAsia="Arial" w:hAnsi="Arial"/>
                <w:sz w:val="15"/>
                <w:szCs w:val="15"/>
                <w:color w:val="auto"/>
                <w:w w:val="98"/>
              </w:rPr>
              <w:t>(1)</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10/5/2018</w:t>
            </w:r>
          </w:p>
        </w:tc>
        <w:tc>
          <w:tcPr>
            <w:tcW w:w="1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92,500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24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50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Interest rate swap</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12/15/2019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(1,465)</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1,294</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(171)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(2,744)</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1/10/2020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(698)</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(1,396)</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Interest rate swap</w:t>
            </w:r>
          </w:p>
        </w:tc>
        <w:tc>
          <w:tcPr>
            <w:tcW w:w="94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(1,374)</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1,294</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(2,542)</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Interest rate swap</w:t>
            </w:r>
          </w:p>
        </w:tc>
        <w:tc>
          <w:tcPr>
            <w:tcW w:w="940" w:type="dxa"/>
            <w:vAlign w:val="bottom"/>
          </w:tcPr>
          <w:p>
            <w:pPr>
              <w:jc w:val="right"/>
              <w:spacing w:after="0"/>
              <w:rPr>
                <w:sz w:val="20"/>
                <w:szCs w:val="20"/>
                <w:color w:val="auto"/>
              </w:rPr>
            </w:pPr>
            <w:r>
              <w:rPr>
                <w:rFonts w:ascii="Arial" w:cs="Arial" w:eastAsia="Arial" w:hAnsi="Arial"/>
                <w:sz w:val="18"/>
                <w:szCs w:val="18"/>
                <w:color w:val="auto"/>
              </w:rPr>
              <w:t>8/1/2022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Interest rate swap</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1/22/2023</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(1,647)</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w:t>
            </w: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(2,651)</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6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563,333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(5,503</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5,485</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50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(9,927)</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10,336</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280" w:hanging="512"/>
        <w:spacing w:after="0" w:line="277"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the Company’s investment in individual portfolio companies as a result of arrangements with other lenders in the syndicate, or amortization.</w:t>
      </w:r>
    </w:p>
    <w:p>
      <w:pPr>
        <w:spacing w:after="0" w:line="170" w:lineRule="exact"/>
        <w:rPr>
          <w:sz w:val="20"/>
          <w:szCs w:val="20"/>
          <w:color w:val="auto"/>
        </w:rPr>
      </w:pPr>
    </w:p>
    <w:p>
      <w:pPr>
        <w:ind w:right="120" w:firstLine="259"/>
        <w:spacing w:after="0" w:line="259" w:lineRule="auto"/>
        <w:rPr>
          <w:sz w:val="20"/>
          <w:szCs w:val="20"/>
          <w:color w:val="auto"/>
        </w:rPr>
      </w:pPr>
      <w:r>
        <w:rPr>
          <w:rFonts w:ascii="Arial" w:cs="Arial" w:eastAsia="Arial" w:hAnsi="Arial"/>
          <w:sz w:val="18"/>
          <w:szCs w:val="18"/>
          <w:color w:val="auto"/>
        </w:rPr>
        <w:t>For the three and six months ended June 30, 2019, the Company recognized $6.1 million and $9.4 million, respectively, in net change in unrealized gains on interest rate swaps in the consolidated statement of operations related to the swap transactions. For the three and six months ended June 30, 2018, the Company recognized $1.8 million and $6.0 million, respectively, in net change in unrealized losses on interest rate swaps in the consolidated statement of operations related to the swap transactions.</w:t>
      </w:r>
    </w:p>
    <w:p>
      <w:pPr>
        <w:spacing w:after="0" w:line="18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As of June 30, 2019, the swap transactions had a fair value of $6.8 million which is netted against restricted cash collateral on the Company’s consolidated balance sheet. As of December 31, 2018, the swap transactions had a fair value of ($2.7) million which is netted against restricted cash collateral on the Company’s consolidated balance sheet. The Company’s interest rate swaps are with one counterparty and are centrally cleared through a registered commodities exchange.</w:t>
      </w:r>
    </w:p>
    <w:p>
      <w:pPr>
        <w:spacing w:after="0" w:line="187" w:lineRule="exact"/>
        <w:rPr>
          <w:sz w:val="20"/>
          <w:szCs w:val="20"/>
          <w:color w:val="auto"/>
        </w:rPr>
      </w:pPr>
    </w:p>
    <w:p>
      <w:pPr>
        <w:ind w:right="160" w:firstLine="259"/>
        <w:spacing w:after="0" w:line="302" w:lineRule="auto"/>
        <w:rPr>
          <w:sz w:val="20"/>
          <w:szCs w:val="20"/>
          <w:color w:val="auto"/>
        </w:rPr>
      </w:pPr>
      <w:r>
        <w:rPr>
          <w:rFonts w:ascii="Arial" w:cs="Arial" w:eastAsia="Arial" w:hAnsi="Arial"/>
          <w:sz w:val="16"/>
          <w:szCs w:val="16"/>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0" w:name="page31"/>
    <w:bookmarkEnd w:id="30"/>
    <w:p>
      <w:pPr>
        <w:ind w:right="380" w:firstLine="259"/>
        <w:spacing w:after="0" w:line="259" w:lineRule="auto"/>
        <w:rPr>
          <w:sz w:val="20"/>
          <w:szCs w:val="20"/>
          <w:color w:val="auto"/>
        </w:rPr>
      </w:pPr>
      <w:r>
        <w:rPr>
          <w:rFonts w:ascii="Arial" w:cs="Arial" w:eastAsia="Arial" w:hAnsi="Arial"/>
          <w:sz w:val="18"/>
          <w:szCs w:val="18"/>
          <w:color w:val="auto"/>
        </w:rPr>
        <w:t>As of June 30, 2019, $5.0 million of cash is pledged as collateral under the Company’s derivative instruments and is included in restricted cash as a component of cash and cash equivalents on the Company’s consolidated balance sheet. The Company had $10.0 million of cash collateral posted as of December 31, 2018, of which $7.3 million is included in restricted cash as a component of cash and cash equivalents on the Company’s consolidated balance sheet.</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may enter into other derivative instruments and incur other exposures with the same or other counterparties in the future.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present fair value measurements of investments as of June 30, 2019 and December 31, 2018:</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00" w:type="dxa"/>
            <w:vAlign w:val="bottom"/>
            <w:gridSpan w:val="11"/>
          </w:tcPr>
          <w:p>
            <w:pPr>
              <w:jc w:val="center"/>
              <w:spacing w:after="0"/>
              <w:rPr>
                <w:sz w:val="20"/>
                <w:szCs w:val="20"/>
                <w:color w:val="auto"/>
              </w:rPr>
            </w:pPr>
            <w:r>
              <w:rPr>
                <w:rFonts w:ascii="Arial" w:cs="Arial" w:eastAsia="Arial" w:hAnsi="Arial"/>
                <w:sz w:val="14"/>
                <w:szCs w:val="14"/>
                <w:b w:val="1"/>
                <w:bCs w:val="1"/>
                <w:color w:val="auto"/>
                <w:w w:val="94"/>
              </w:rPr>
              <w:t>Fair Value Hierarchy at June 30, 2019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5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r>
      <w:tr>
        <w:trPr>
          <w:trHeight w:val="156"/>
        </w:trPr>
        <w:tc>
          <w:tcPr>
            <w:tcW w:w="53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Level 1</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3"/>
          </w:tcPr>
          <w:p>
            <w:pPr>
              <w:jc w:val="right"/>
              <w:ind w:right="46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ind w:left="140"/>
              <w:spacing w:after="0" w:line="155"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3,921</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2,001,181</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2,005,102</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3,095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3,333</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46,096</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46,459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3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1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7,016</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2,053,154</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2,060,533</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Interest rate swaps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6,780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3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13,796</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2,053,154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2,067,313</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1"/>
        </w:trPr>
        <w:tc>
          <w:tcPr>
            <w:tcW w:w="5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11"/>
          </w:tcPr>
          <w:p>
            <w:pPr>
              <w:jc w:val="center"/>
              <w:spacing w:after="0"/>
              <w:rPr>
                <w:sz w:val="20"/>
                <w:szCs w:val="20"/>
                <w:color w:val="auto"/>
              </w:rPr>
            </w:pPr>
            <w:r>
              <w:rPr>
                <w:rFonts w:ascii="Arial" w:cs="Arial" w:eastAsia="Arial" w:hAnsi="Arial"/>
                <w:sz w:val="14"/>
                <w:szCs w:val="14"/>
                <w:b w:val="1"/>
                <w:bCs w:val="1"/>
                <w:color w:val="auto"/>
                <w:w w:val="93"/>
              </w:rPr>
              <w:t>Fair Value Hierarchy at December 31, 2018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
        </w:trPr>
        <w:tc>
          <w:tcPr>
            <w:tcW w:w="5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gridSpan w:val="3"/>
          </w:tcPr>
          <w:p>
            <w:pPr>
              <w:spacing w:after="0"/>
              <w:rPr>
                <w:sz w:val="2"/>
                <w:szCs w:val="2"/>
                <w:color w:val="auto"/>
              </w:rPr>
            </w:pPr>
          </w:p>
        </w:tc>
      </w:tr>
      <w:tr>
        <w:trPr>
          <w:trHeight w:val="156"/>
        </w:trPr>
        <w:tc>
          <w:tcPr>
            <w:tcW w:w="5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Level 1</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3"/>
          </w:tcPr>
          <w:p>
            <w:pPr>
              <w:jc w:val="right"/>
              <w:ind w:right="44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3</w:t>
            </w: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25,870</w:t>
            </w: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1,628,037</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1,653,907</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4,137</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43,234</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45,444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3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2,210</w:t>
            </w: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25,870</w:t>
            </w: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1,677,889</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1,705,969</w:t>
            </w: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Interest rate swaps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(2,663)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(2,663)</w:t>
            </w:r>
          </w:p>
        </w:tc>
      </w:tr>
      <w:tr>
        <w:trPr>
          <w:trHeight w:val="223"/>
        </w:trPr>
        <w:tc>
          <w:tcPr>
            <w:tcW w:w="53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2,210</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23,207</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1,677,889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1,703,306</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Transfers between levels, if any, are recognized at the beginning of the quarter in which the transfers occur.</w:t>
      </w:r>
    </w:p>
    <w:p>
      <w:pPr>
        <w:spacing w:after="0" w:line="225"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and six months ended June 30, 2019: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0" w:type="dxa"/>
            <w:vAlign w:val="bottom"/>
            <w:gridSpan w:val="8"/>
          </w:tcPr>
          <w:p>
            <w:pPr>
              <w:jc w:val="center"/>
              <w:ind w:right="14"/>
              <w:spacing w:after="0"/>
              <w:rPr>
                <w:sz w:val="20"/>
                <w:szCs w:val="20"/>
                <w:color w:val="auto"/>
              </w:rPr>
            </w:pPr>
            <w:r>
              <w:rPr>
                <w:rFonts w:ascii="Arial" w:cs="Arial" w:eastAsia="Arial" w:hAnsi="Arial"/>
                <w:sz w:val="14"/>
                <w:szCs w:val="14"/>
                <w:b w:val="1"/>
                <w:bCs w:val="1"/>
                <w:color w:val="auto"/>
                <w:w w:val="93"/>
              </w:rPr>
              <w:t>As of and for the Three Months Ended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2019</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4"/>
              </w:rPr>
              <w:t>First-lien</w:t>
            </w:r>
          </w:p>
        </w:tc>
        <w:tc>
          <w:tcPr>
            <w:tcW w:w="120" w:type="dxa"/>
            <w:vAlign w:val="bottom"/>
          </w:tcPr>
          <w:p>
            <w:pPr>
              <w:spacing w:after="0"/>
              <w:rPr>
                <w:sz w:val="11"/>
                <w:szCs w:val="11"/>
                <w:color w:val="auto"/>
              </w:rPr>
            </w:pPr>
          </w:p>
        </w:tc>
        <w:tc>
          <w:tcPr>
            <w:tcW w:w="10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0"/>
              </w:rPr>
              <w:t>Second-lien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15"/>
              <w:spacing w:after="0" w:line="133" w:lineRule="exact"/>
              <w:rPr>
                <w:sz w:val="20"/>
                <w:szCs w:val="20"/>
                <w:color w:val="auto"/>
              </w:rPr>
            </w:pPr>
            <w:r>
              <w:rPr>
                <w:rFonts w:ascii="Arial" w:cs="Arial" w:eastAsia="Arial" w:hAnsi="Arial"/>
                <w:sz w:val="14"/>
                <w:szCs w:val="14"/>
                <w:b w:val="1"/>
                <w:bCs w:val="1"/>
                <w:color w:val="auto"/>
                <w:w w:val="94"/>
              </w:rPr>
              <w:t>Mezzanine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34"/>
              <w:spacing w:after="0" w:line="133" w:lineRule="exact"/>
              <w:rPr>
                <w:sz w:val="20"/>
                <w:szCs w:val="20"/>
                <w:color w:val="auto"/>
              </w:rPr>
            </w:pPr>
            <w:r>
              <w:rPr>
                <w:rFonts w:ascii="Arial" w:cs="Arial" w:eastAsia="Arial" w:hAnsi="Arial"/>
                <w:sz w:val="14"/>
                <w:szCs w:val="14"/>
                <w:b w:val="1"/>
                <w:bCs w:val="1"/>
                <w:color w:val="auto"/>
                <w:w w:val="98"/>
              </w:rPr>
              <w:t>Equity</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debt</w:t>
            </w: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debt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7"/>
              </w:rPr>
              <w:t>debt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3"/>
              </w:rPr>
              <w:t>and other</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investments</w:t>
            </w: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5"/>
              <w:spacing w:after="0"/>
              <w:rPr>
                <w:sz w:val="20"/>
                <w:szCs w:val="20"/>
                <w:color w:val="auto"/>
              </w:rPr>
            </w:pPr>
            <w:r>
              <w:rPr>
                <w:rFonts w:ascii="Arial" w:cs="Arial" w:eastAsia="Arial" w:hAnsi="Arial"/>
                <w:sz w:val="14"/>
                <w:szCs w:val="14"/>
                <w:b w:val="1"/>
                <w:bCs w:val="1"/>
                <w:color w:val="auto"/>
                <w:w w:val="90"/>
              </w:rPr>
              <w:t>investments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4"/>
              <w:spacing w:after="0"/>
              <w:rPr>
                <w:sz w:val="20"/>
                <w:szCs w:val="20"/>
                <w:color w:val="auto"/>
              </w:rPr>
            </w:pPr>
            <w:r>
              <w:rPr>
                <w:rFonts w:ascii="Arial" w:cs="Arial" w:eastAsia="Arial" w:hAnsi="Arial"/>
                <w:sz w:val="14"/>
                <w:szCs w:val="14"/>
                <w:b w:val="1"/>
                <w:bCs w:val="1"/>
                <w:color w:val="auto"/>
                <w:w w:val="88"/>
              </w:rPr>
              <w:t>investments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1,775,769</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40,097</w:t>
            </w:r>
          </w:p>
        </w:tc>
        <w:tc>
          <w:tcPr>
            <w:tcW w:w="440" w:type="dxa"/>
            <w:vAlign w:val="bottom"/>
            <w:tcBorders>
              <w:top w:val="single" w:sz="8" w:color="CFF0FC"/>
            </w:tcBorders>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1,822,534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348,929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349,209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(135,475)</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(795)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(136,270)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2,001,181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2,544</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46,096</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2,053,154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394"/>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40" w:type="dxa"/>
            <w:vAlign w:val="bottom"/>
            <w:gridSpan w:val="9"/>
          </w:tcPr>
          <w:p>
            <w:pPr>
              <w:jc w:val="center"/>
              <w:ind w:right="360"/>
              <w:spacing w:after="0"/>
              <w:rPr>
                <w:sz w:val="20"/>
                <w:szCs w:val="20"/>
                <w:color w:val="auto"/>
              </w:rPr>
            </w:pPr>
            <w:r>
              <w:rPr>
                <w:rFonts w:ascii="Arial" w:cs="Arial" w:eastAsia="Arial" w:hAnsi="Arial"/>
                <w:sz w:val="14"/>
                <w:szCs w:val="14"/>
                <w:b w:val="1"/>
                <w:bCs w:val="1"/>
                <w:color w:val="auto"/>
                <w:w w:val="93"/>
              </w:rPr>
              <w:t>As of and for the Six Months Ended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2019</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4"/>
              </w:rPr>
              <w:t>First-lien</w:t>
            </w:r>
          </w:p>
        </w:tc>
        <w:tc>
          <w:tcPr>
            <w:tcW w:w="120" w:type="dxa"/>
            <w:vAlign w:val="bottom"/>
          </w:tcPr>
          <w:p>
            <w:pPr>
              <w:spacing w:after="0"/>
              <w:rPr>
                <w:sz w:val="11"/>
                <w:szCs w:val="11"/>
                <w:color w:val="auto"/>
              </w:rPr>
            </w:pPr>
          </w:p>
        </w:tc>
        <w:tc>
          <w:tcPr>
            <w:tcW w:w="10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0"/>
              </w:rPr>
              <w:t>Second-lien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15"/>
              <w:spacing w:after="0" w:line="133" w:lineRule="exact"/>
              <w:rPr>
                <w:sz w:val="20"/>
                <w:szCs w:val="20"/>
                <w:color w:val="auto"/>
              </w:rPr>
            </w:pPr>
            <w:r>
              <w:rPr>
                <w:rFonts w:ascii="Arial" w:cs="Arial" w:eastAsia="Arial" w:hAnsi="Arial"/>
                <w:sz w:val="14"/>
                <w:szCs w:val="14"/>
                <w:b w:val="1"/>
                <w:bCs w:val="1"/>
                <w:color w:val="auto"/>
                <w:w w:val="94"/>
              </w:rPr>
              <w:t>Mezzanine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debt</w:t>
            </w: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debt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7"/>
              </w:rPr>
              <w:t>debt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and other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investments</w:t>
            </w:r>
          </w:p>
        </w:tc>
        <w:tc>
          <w:tcPr>
            <w:tcW w:w="1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5"/>
              <w:spacing w:after="0"/>
              <w:rPr>
                <w:sz w:val="20"/>
                <w:szCs w:val="20"/>
                <w:color w:val="auto"/>
              </w:rPr>
            </w:pPr>
            <w:r>
              <w:rPr>
                <w:rFonts w:ascii="Arial" w:cs="Arial" w:eastAsia="Arial" w:hAnsi="Arial"/>
                <w:sz w:val="14"/>
                <w:szCs w:val="14"/>
                <w:b w:val="1"/>
                <w:bCs w:val="1"/>
                <w:color w:val="auto"/>
                <w:w w:val="90"/>
              </w:rPr>
              <w:t>investments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investments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1,628,037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43,234</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1,677,889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494,905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496,463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(150,496)</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(795)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(1,635)</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(152,926)</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Paid-in-kind interest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3,226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18,526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realized losses</w:t>
            </w: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(366)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Pr>
          <w:p>
            <w:pPr>
              <w:ind w:left="260"/>
              <w:spacing w:after="0"/>
              <w:rPr>
                <w:sz w:val="20"/>
                <w:szCs w:val="20"/>
                <w:color w:val="auto"/>
              </w:rPr>
            </w:pPr>
            <w:r>
              <w:rPr>
                <w:rFonts w:ascii="Arial" w:cs="Arial" w:eastAsia="Arial" w:hAnsi="Arial"/>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2,001,181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2,544</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46,096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2,053,154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three and six months ended June 30, 2018:</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20" w:type="dxa"/>
            <w:vAlign w:val="bottom"/>
            <w:gridSpan w:val="13"/>
          </w:tcPr>
          <w:p>
            <w:pPr>
              <w:jc w:val="right"/>
              <w:ind w:right="660"/>
              <w:spacing w:after="0"/>
              <w:rPr>
                <w:sz w:val="20"/>
                <w:szCs w:val="20"/>
                <w:color w:val="auto"/>
              </w:rPr>
            </w:pPr>
            <w:r>
              <w:rPr>
                <w:rFonts w:ascii="Arial" w:cs="Arial" w:eastAsia="Arial" w:hAnsi="Arial"/>
                <w:sz w:val="14"/>
                <w:szCs w:val="14"/>
                <w:b w:val="1"/>
                <w:bCs w:val="1"/>
                <w:color w:val="auto"/>
              </w:rPr>
              <w:t>As of and for the Three Months Ended</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2"/>
              </w:rPr>
              <w:t>June 30, 2018</w:t>
            </w: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4"/>
              </w:rPr>
              <w:t>First-lien</w:t>
            </w:r>
          </w:p>
        </w:tc>
        <w:tc>
          <w:tcPr>
            <w:tcW w:w="100" w:type="dxa"/>
            <w:vAlign w:val="bottom"/>
          </w:tcPr>
          <w:p>
            <w:pPr>
              <w:spacing w:after="0"/>
              <w:rPr>
                <w:sz w:val="11"/>
                <w:szCs w:val="11"/>
                <w:color w:val="auto"/>
              </w:rPr>
            </w:pPr>
          </w:p>
        </w:tc>
        <w:tc>
          <w:tcPr>
            <w:tcW w:w="1120" w:type="dxa"/>
            <w:vAlign w:val="bottom"/>
            <w:gridSpan w:val="3"/>
          </w:tcPr>
          <w:p>
            <w:pPr>
              <w:jc w:val="center"/>
              <w:ind w:right="320"/>
              <w:spacing w:after="0" w:line="133" w:lineRule="exact"/>
              <w:rPr>
                <w:sz w:val="20"/>
                <w:szCs w:val="20"/>
                <w:color w:val="auto"/>
              </w:rPr>
            </w:pPr>
            <w:r>
              <w:rPr>
                <w:rFonts w:ascii="Arial" w:cs="Arial" w:eastAsia="Arial" w:hAnsi="Arial"/>
                <w:sz w:val="14"/>
                <w:szCs w:val="14"/>
                <w:b w:val="1"/>
                <w:bCs w:val="1"/>
                <w:color w:val="auto"/>
                <w:w w:val="90"/>
              </w:rPr>
              <w:t>Second-lien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4"/>
              </w:rPr>
              <w:t>Mezzanine</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00"/>
              <w:spacing w:after="0" w:line="133"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debt</w:t>
            </w:r>
          </w:p>
        </w:tc>
        <w:tc>
          <w:tcPr>
            <w:tcW w:w="100" w:type="dxa"/>
            <w:vAlign w:val="bottom"/>
          </w:tcPr>
          <w:p>
            <w:pPr>
              <w:spacing w:after="0"/>
              <w:rPr>
                <w:sz w:val="12"/>
                <w:szCs w:val="12"/>
                <w:color w:val="auto"/>
              </w:rPr>
            </w:pPr>
          </w:p>
        </w:tc>
        <w:tc>
          <w:tcPr>
            <w:tcW w:w="11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debt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debt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and other</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100" w:type="dxa"/>
            <w:vAlign w:val="bottom"/>
          </w:tcPr>
          <w:p>
            <w:pPr>
              <w:spacing w:after="0"/>
              <w:rPr>
                <w:sz w:val="14"/>
                <w:szCs w:val="14"/>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investments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investments</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8"/>
              </w:rPr>
              <w:t>investments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1,785,527</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61,364</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42,555</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1,889,446</w:t>
            </w:r>
          </w:p>
        </w:tc>
        <w:tc>
          <w:tcPr>
            <w:tcW w:w="8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Purchases or originations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227,627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ind w:left="7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4,140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231,767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(188,528)</w:t>
            </w:r>
          </w:p>
        </w:tc>
        <w:tc>
          <w:tcPr>
            <w:tcW w:w="1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(188,528)</w:t>
            </w:r>
          </w:p>
        </w:tc>
        <w:tc>
          <w:tcPr>
            <w:tcW w:w="8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Paid-in-kind interest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ind w:left="7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(5,630)</w:t>
            </w:r>
          </w:p>
        </w:tc>
        <w:tc>
          <w:tcPr>
            <w:tcW w:w="1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(33)</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7,110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1,447</w:t>
            </w:r>
          </w:p>
        </w:tc>
        <w:tc>
          <w:tcPr>
            <w:tcW w:w="8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Net realized losses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(9,572)</w:t>
            </w:r>
          </w:p>
        </w:tc>
        <w:tc>
          <w:tcPr>
            <w:tcW w:w="100" w:type="dxa"/>
            <w:vAlign w:val="bottom"/>
          </w:tcPr>
          <w:p>
            <w:pPr>
              <w:spacing w:after="0"/>
              <w:rPr>
                <w:sz w:val="19"/>
                <w:szCs w:val="19"/>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ind w:left="7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(9,572)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7,387</w:t>
            </w:r>
          </w:p>
        </w:tc>
        <w:tc>
          <w:tcPr>
            <w:tcW w:w="8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Transfers within Level 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(2,211)</w:t>
            </w:r>
          </w:p>
        </w:tc>
        <w:tc>
          <w:tcPr>
            <w:tcW w:w="100" w:type="dxa"/>
            <w:vAlign w:val="bottom"/>
          </w:tcPr>
          <w:p>
            <w:pPr>
              <w:spacing w:after="0"/>
              <w:rPr>
                <w:sz w:val="19"/>
                <w:szCs w:val="19"/>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ind w:left="7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220" w:type="dxa"/>
            <w:vAlign w:val="bottom"/>
          </w:tcPr>
          <w:p>
            <w:pPr>
              <w:ind w:left="200"/>
              <w:spacing w:after="0"/>
              <w:rPr>
                <w:sz w:val="20"/>
                <w:szCs w:val="20"/>
                <w:color w:val="auto"/>
              </w:rPr>
            </w:pPr>
            <w:r>
              <w:rPr>
                <w:rFonts w:ascii="Arial" w:cs="Arial" w:eastAsia="Arial" w:hAnsi="Arial"/>
                <w:sz w:val="18"/>
                <w:szCs w:val="18"/>
                <w:b w:val="1"/>
                <w:bCs w:val="1"/>
                <w:color w:val="auto"/>
              </w:rPr>
              <w:t>Balance, End of Period</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1,816,185</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61,331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tcPr>
          <w:p>
            <w:pPr>
              <w:ind w:left="76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56,016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1,933,532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13"/>
          </w:tcPr>
          <w:p>
            <w:pPr>
              <w:jc w:val="center"/>
              <w:ind w:right="240"/>
              <w:spacing w:after="0"/>
              <w:rPr>
                <w:sz w:val="20"/>
                <w:szCs w:val="20"/>
                <w:color w:val="auto"/>
              </w:rPr>
            </w:pPr>
            <w:r>
              <w:rPr>
                <w:rFonts w:ascii="Arial" w:cs="Arial" w:eastAsia="Arial" w:hAnsi="Arial"/>
                <w:sz w:val="14"/>
                <w:szCs w:val="14"/>
                <w:b w:val="1"/>
                <w:bCs w:val="1"/>
                <w:color w:val="auto"/>
                <w:w w:val="93"/>
              </w:rPr>
              <w:t>As of and for the Six Months Ended</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June 30, 2018</w:t>
            </w: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4"/>
              </w:rPr>
              <w:t>First-lien</w:t>
            </w:r>
          </w:p>
        </w:tc>
        <w:tc>
          <w:tcPr>
            <w:tcW w:w="100" w:type="dxa"/>
            <w:vAlign w:val="bottom"/>
          </w:tcPr>
          <w:p>
            <w:pPr>
              <w:spacing w:after="0"/>
              <w:rPr>
                <w:sz w:val="11"/>
                <w:szCs w:val="11"/>
                <w:color w:val="auto"/>
              </w:rPr>
            </w:pPr>
          </w:p>
        </w:tc>
        <w:tc>
          <w:tcPr>
            <w:tcW w:w="1120" w:type="dxa"/>
            <w:vAlign w:val="bottom"/>
            <w:gridSpan w:val="3"/>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Second-lien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Mezzanine</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3"/>
          </w:tcPr>
          <w:p>
            <w:pPr>
              <w:jc w:val="center"/>
              <w:ind w:right="280"/>
              <w:spacing w:after="0" w:line="133"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debt</w:t>
            </w:r>
          </w:p>
        </w:tc>
        <w:tc>
          <w:tcPr>
            <w:tcW w:w="100" w:type="dxa"/>
            <w:vAlign w:val="bottom"/>
          </w:tcPr>
          <w:p>
            <w:pPr>
              <w:spacing w:after="0"/>
              <w:rPr>
                <w:sz w:val="12"/>
                <w:szCs w:val="12"/>
                <w:color w:val="auto"/>
              </w:rPr>
            </w:pPr>
          </w:p>
        </w:tc>
        <w:tc>
          <w:tcPr>
            <w:tcW w:w="11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debt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debt</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and other</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100" w:type="dxa"/>
            <w:vAlign w:val="bottom"/>
          </w:tcPr>
          <w:p>
            <w:pPr>
              <w:spacing w:after="0"/>
              <w:rPr>
                <w:sz w:val="14"/>
                <w:szCs w:val="14"/>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investments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investments</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1,563,972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60,900</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38,322</w:t>
            </w: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1,663,194</w:t>
            </w:r>
          </w:p>
        </w:tc>
        <w:tc>
          <w:tcPr>
            <w:tcW w:w="100" w:type="dxa"/>
            <w:vAlign w:val="bottom"/>
            <w:tcBorders>
              <w:top w:val="single" w:sz="8" w:color="CFF0FC"/>
              <w:right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Purchases or originations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544,397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6,614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551,011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Repayments / redemptions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(289,617)</w:t>
            </w:r>
          </w:p>
        </w:tc>
        <w:tc>
          <w:tcPr>
            <w:tcW w:w="1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(1,379)</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(290,996)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Paid-in-kind interest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change in unrealized gains (losses)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(4,318)</w:t>
            </w: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9,746</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5,859</w:t>
            </w: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(9,513)</w:t>
            </w:r>
          </w:p>
        </w:tc>
        <w:tc>
          <w:tcPr>
            <w:tcW w:w="10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(9,011)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Net amortization of discount on securities</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10,897</w:t>
            </w:r>
          </w:p>
        </w:tc>
        <w:tc>
          <w:tcPr>
            <w:tcW w:w="100" w:type="dxa"/>
            <w:vAlign w:val="bottom"/>
            <w:tcBorders>
              <w:right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Transfers within Level 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(2,211)</w:t>
            </w:r>
          </w:p>
        </w:tc>
        <w:tc>
          <w:tcPr>
            <w:tcW w:w="10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2,211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Transfers into (out of) Level 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220" w:type="dxa"/>
            <w:vAlign w:val="bottom"/>
          </w:tcPr>
          <w:p>
            <w:pPr>
              <w:ind w:left="240"/>
              <w:spacing w:after="0"/>
              <w:rPr>
                <w:sz w:val="20"/>
                <w:szCs w:val="20"/>
                <w:color w:val="auto"/>
              </w:rPr>
            </w:pPr>
            <w:r>
              <w:rPr>
                <w:rFonts w:ascii="Arial" w:cs="Arial" w:eastAsia="Arial" w:hAnsi="Arial"/>
                <w:sz w:val="18"/>
                <w:szCs w:val="18"/>
                <w:b w:val="1"/>
                <w:bCs w:val="1"/>
                <w:color w:val="auto"/>
              </w:rPr>
              <w:t>Balance, End of Period</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1,816,185</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61,331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56,016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1,933,532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right"/>
              <w:ind w:right="394"/>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30" w:right="219" w:bottom="1440" w:gutter="0" w:footer="0" w:header="0"/>
        </w:sectPr>
      </w:pPr>
    </w:p>
    <w:bookmarkStart w:id="32" w:name="page33"/>
    <w:bookmarkEnd w:id="32"/>
    <w:p>
      <w:pPr>
        <w:ind w:right="40" w:firstLine="259"/>
        <w:spacing w:after="0" w:line="277" w:lineRule="auto"/>
        <w:rPr>
          <w:sz w:val="20"/>
          <w:szCs w:val="20"/>
          <w:color w:val="auto"/>
        </w:rPr>
      </w:pPr>
      <w:r>
        <w:rPr>
          <w:rFonts w:ascii="Arial" w:cs="Arial" w:eastAsia="Arial" w:hAnsi="Arial"/>
          <w:sz w:val="18"/>
          <w:szCs w:val="18"/>
          <w:color w:val="auto"/>
        </w:rPr>
        <w:t>The following tables present information with respect to the net change in unrealized gains or losses on investments for which Level 3 inputs were used in determining fair value that are still held by the Company at June 30, 2019 and 2018:</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Net Change in Unrealized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Net Change in Unrealized</w:t>
            </w:r>
          </w:p>
        </w:tc>
      </w:tr>
      <w:tr>
        <w:trPr>
          <w:trHeight w:val="162"/>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Gains or (Losses)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Gains or (Losses)</w:t>
            </w:r>
          </w:p>
        </w:tc>
      </w:tr>
      <w:tr>
        <w:trPr>
          <w:trHeight w:val="162"/>
        </w:trPr>
        <w:tc>
          <w:tcPr>
            <w:tcW w:w="4160" w:type="dxa"/>
            <w:vAlign w:val="bottom"/>
          </w:tcPr>
          <w:p>
            <w:pPr>
              <w:spacing w:after="0"/>
              <w:rPr>
                <w:sz w:val="14"/>
                <w:szCs w:val="14"/>
                <w:color w:val="auto"/>
              </w:rPr>
            </w:pPr>
          </w:p>
        </w:tc>
        <w:tc>
          <w:tcPr>
            <w:tcW w:w="1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for the Three Months Ended</w:t>
            </w:r>
          </w:p>
        </w:tc>
        <w:tc>
          <w:tcPr>
            <w:tcW w:w="60" w:type="dxa"/>
            <w:vAlign w:val="bottom"/>
          </w:tcPr>
          <w:p>
            <w:pPr>
              <w:spacing w:after="0"/>
              <w:rPr>
                <w:sz w:val="14"/>
                <w:szCs w:val="14"/>
                <w:color w:val="auto"/>
              </w:rPr>
            </w:pPr>
          </w:p>
        </w:tc>
        <w:tc>
          <w:tcPr>
            <w:tcW w:w="1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for the Three Months Ended</w:t>
            </w:r>
          </w:p>
        </w:tc>
      </w:tr>
      <w:tr>
        <w:trPr>
          <w:trHeight w:val="162"/>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June 30, 2019 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June 30, 2018 on</w:t>
            </w:r>
          </w:p>
        </w:tc>
      </w:tr>
      <w:tr>
        <w:trPr>
          <w:trHeight w:val="162"/>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Investments Held at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Investments Held at</w:t>
            </w:r>
          </w:p>
        </w:tc>
      </w:tr>
      <w:tr>
        <w:trPr>
          <w:trHeight w:val="171"/>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June 30, 2019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June 30, 2018</w:t>
            </w: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6,708</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0" w:type="dxa"/>
            <w:vAlign w:val="bottom"/>
          </w:tcPr>
          <w:p>
            <w:pPr>
              <w:spacing w:after="0"/>
              <w:rPr>
                <w:sz w:val="19"/>
                <w:szCs w:val="19"/>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5,718</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7,109</w:t>
            </w:r>
          </w:p>
        </w:tc>
        <w:tc>
          <w:tcPr>
            <w:tcW w:w="80" w:type="dxa"/>
            <w:vAlign w:val="bottom"/>
            <w:tcBorders>
              <w:bottom w:val="single" w:sz="8" w:color="CFF0FC"/>
            </w:tcBorders>
          </w:tcPr>
          <w:p>
            <w:pPr>
              <w:spacing w:after="0"/>
              <w:rPr>
                <w:sz w:val="19"/>
                <w:szCs w:val="19"/>
                <w:color w:val="auto"/>
              </w:rPr>
            </w:pPr>
          </w:p>
        </w:tc>
      </w:tr>
      <w:tr>
        <w:trPr>
          <w:trHeight w:val="223"/>
        </w:trPr>
        <w:tc>
          <w:tcPr>
            <w:tcW w:w="41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12,431</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98" w:right="239" w:bottom="1440" w:gutter="0" w:footer="0" w:header="0"/>
        </w:sectPr>
      </w:pPr>
    </w:p>
    <w:p>
      <w:pPr>
        <w:spacing w:after="0" w:line="74" w:lineRule="exact"/>
        <w:rPr>
          <w:sz w:val="20"/>
          <w:szCs w:val="20"/>
          <w:color w:val="auto"/>
        </w:rPr>
      </w:pPr>
    </w:p>
    <w:p>
      <w:pPr>
        <w:jc w:val="center"/>
        <w:ind w:left="6040"/>
        <w:spacing w:after="0"/>
        <w:rPr>
          <w:sz w:val="20"/>
          <w:szCs w:val="20"/>
          <w:color w:val="auto"/>
        </w:rPr>
      </w:pPr>
      <w:r>
        <w:rPr>
          <w:rFonts w:ascii="Arial" w:cs="Arial" w:eastAsia="Arial" w:hAnsi="Arial"/>
          <w:sz w:val="13"/>
          <w:szCs w:val="13"/>
          <w:b w:val="1"/>
          <w:bCs w:val="1"/>
          <w:color w:val="auto"/>
        </w:rPr>
        <w:t>Net Change in Unrealized</w:t>
      </w:r>
    </w:p>
    <w:p>
      <w:pPr>
        <w:spacing w:after="0" w:line="29"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Gains or (Losses)</w:t>
      </w:r>
    </w:p>
    <w:p>
      <w:pPr>
        <w:spacing w:after="0" w:line="1" w:lineRule="exact"/>
        <w:rPr>
          <w:sz w:val="20"/>
          <w:szCs w:val="20"/>
          <w:color w:val="auto"/>
        </w:rPr>
      </w:pPr>
    </w:p>
    <w:p>
      <w:pPr>
        <w:jc w:val="center"/>
        <w:ind w:left="6040"/>
        <w:spacing w:after="0"/>
        <w:rPr>
          <w:sz w:val="20"/>
          <w:szCs w:val="20"/>
          <w:color w:val="auto"/>
        </w:rPr>
      </w:pPr>
      <w:r>
        <w:rPr>
          <w:rFonts w:ascii="Arial" w:cs="Arial" w:eastAsia="Arial" w:hAnsi="Arial"/>
          <w:sz w:val="13"/>
          <w:szCs w:val="13"/>
          <w:b w:val="1"/>
          <w:bCs w:val="1"/>
          <w:color w:val="auto"/>
        </w:rPr>
        <w:t>for the Six Months Ended</w:t>
      </w:r>
    </w:p>
    <w:p>
      <w:pPr>
        <w:spacing w:after="0" w:line="13"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June 30, 2019 on</w:t>
      </w:r>
    </w:p>
    <w:p>
      <w:pPr>
        <w:spacing w:after="0" w:line="1"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Investments Held at</w:t>
      </w:r>
    </w:p>
    <w:p>
      <w:pPr>
        <w:jc w:val="center"/>
        <w:ind w:left="6040"/>
        <w:spacing w:after="0" w:line="233" w:lineRule="auto"/>
        <w:rPr>
          <w:sz w:val="20"/>
          <w:szCs w:val="20"/>
          <w:color w:val="auto"/>
        </w:rPr>
      </w:pPr>
      <w:r>
        <w:rPr>
          <w:rFonts w:ascii="Arial" w:cs="Arial" w:eastAsia="Arial" w:hAnsi="Arial"/>
          <w:sz w:val="14"/>
          <w:szCs w:val="14"/>
          <w:b w:val="1"/>
          <w:bCs w:val="1"/>
          <w:color w:val="auto"/>
        </w:rPr>
        <w:t>June 30, 2019</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center"/>
        <w:ind w:right="1880"/>
        <w:spacing w:after="0"/>
        <w:rPr>
          <w:sz w:val="20"/>
          <w:szCs w:val="20"/>
          <w:color w:val="auto"/>
        </w:rPr>
      </w:pPr>
      <w:r>
        <w:rPr>
          <w:rFonts w:ascii="Arial" w:cs="Arial" w:eastAsia="Arial" w:hAnsi="Arial"/>
          <w:sz w:val="13"/>
          <w:szCs w:val="13"/>
          <w:b w:val="1"/>
          <w:bCs w:val="1"/>
          <w:color w:val="auto"/>
        </w:rPr>
        <w:t>Net Change in Unrealized</w:t>
      </w:r>
    </w:p>
    <w:p>
      <w:pPr>
        <w:spacing w:after="0" w:line="29" w:lineRule="exact"/>
        <w:rPr>
          <w:sz w:val="20"/>
          <w:szCs w:val="20"/>
          <w:color w:val="auto"/>
        </w:rPr>
      </w:pPr>
    </w:p>
    <w:p>
      <w:pPr>
        <w:jc w:val="center"/>
        <w:ind w:right="1880"/>
        <w:spacing w:after="0"/>
        <w:rPr>
          <w:sz w:val="20"/>
          <w:szCs w:val="20"/>
          <w:color w:val="auto"/>
        </w:rPr>
      </w:pPr>
      <w:r>
        <w:rPr>
          <w:rFonts w:ascii="Arial" w:cs="Arial" w:eastAsia="Arial" w:hAnsi="Arial"/>
          <w:sz w:val="14"/>
          <w:szCs w:val="14"/>
          <w:b w:val="1"/>
          <w:bCs w:val="1"/>
          <w:color w:val="auto"/>
        </w:rPr>
        <w:t>Gains or (Losses)</w:t>
      </w:r>
    </w:p>
    <w:p>
      <w:pPr>
        <w:spacing w:after="0" w:line="1" w:lineRule="exact"/>
        <w:rPr>
          <w:sz w:val="20"/>
          <w:szCs w:val="20"/>
          <w:color w:val="auto"/>
        </w:rPr>
      </w:pPr>
    </w:p>
    <w:p>
      <w:pPr>
        <w:jc w:val="center"/>
        <w:ind w:right="1880"/>
        <w:spacing w:after="0"/>
        <w:rPr>
          <w:sz w:val="20"/>
          <w:szCs w:val="20"/>
          <w:color w:val="auto"/>
        </w:rPr>
      </w:pPr>
      <w:r>
        <w:rPr>
          <w:rFonts w:ascii="Arial" w:cs="Arial" w:eastAsia="Arial" w:hAnsi="Arial"/>
          <w:sz w:val="13"/>
          <w:szCs w:val="13"/>
          <w:b w:val="1"/>
          <w:bCs w:val="1"/>
          <w:color w:val="auto"/>
        </w:rPr>
        <w:t>for the Six Months Ended</w:t>
      </w:r>
    </w:p>
    <w:p>
      <w:pPr>
        <w:spacing w:after="0" w:line="13" w:lineRule="exact"/>
        <w:rPr>
          <w:sz w:val="20"/>
          <w:szCs w:val="20"/>
          <w:color w:val="auto"/>
        </w:rPr>
      </w:pPr>
    </w:p>
    <w:p>
      <w:pPr>
        <w:jc w:val="center"/>
        <w:ind w:right="1880"/>
        <w:spacing w:after="0"/>
        <w:rPr>
          <w:sz w:val="20"/>
          <w:szCs w:val="20"/>
          <w:color w:val="auto"/>
        </w:rPr>
      </w:pPr>
      <w:r>
        <w:rPr>
          <w:rFonts w:ascii="Arial" w:cs="Arial" w:eastAsia="Arial" w:hAnsi="Arial"/>
          <w:sz w:val="14"/>
          <w:szCs w:val="14"/>
          <w:b w:val="1"/>
          <w:bCs w:val="1"/>
          <w:color w:val="auto"/>
        </w:rPr>
        <w:t>June 30, 2018 on</w:t>
      </w:r>
    </w:p>
    <w:p>
      <w:pPr>
        <w:spacing w:after="0" w:line="1" w:lineRule="exact"/>
        <w:rPr>
          <w:sz w:val="20"/>
          <w:szCs w:val="20"/>
          <w:color w:val="auto"/>
        </w:rPr>
      </w:pPr>
    </w:p>
    <w:p>
      <w:pPr>
        <w:jc w:val="center"/>
        <w:ind w:right="1880"/>
        <w:spacing w:after="0"/>
        <w:rPr>
          <w:sz w:val="20"/>
          <w:szCs w:val="20"/>
          <w:color w:val="auto"/>
        </w:rPr>
      </w:pPr>
      <w:r>
        <w:rPr>
          <w:rFonts w:ascii="Arial" w:cs="Arial" w:eastAsia="Arial" w:hAnsi="Arial"/>
          <w:sz w:val="14"/>
          <w:szCs w:val="14"/>
          <w:b w:val="1"/>
          <w:bCs w:val="1"/>
          <w:color w:val="auto"/>
        </w:rPr>
        <w:t>Investments Held at</w:t>
      </w:r>
    </w:p>
    <w:p>
      <w:pPr>
        <w:jc w:val="center"/>
        <w:ind w:right="1880"/>
        <w:spacing w:after="0" w:line="233" w:lineRule="auto"/>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sectPr>
          <w:pgSz w:w="11900" w:h="16838" w:orient="portrait"/>
          <w:cols w:equalWidth="0" w:num="2">
            <w:col w:w="7620" w:space="340"/>
            <w:col w:w="3460"/>
          </w:cols>
          <w:pgMar w:left="240" w:top="598" w:right="239" w:bottom="1440" w:gutter="0" w:footer="0" w:header="0"/>
          <w:type w:val="continuous"/>
        </w:sectPr>
      </w:pPr>
    </w:p>
    <w:tbl>
      <w:tblPr>
        <w:tblLayout w:type="fixed"/>
        <w:tblInd w:w="1720" w:type="dxa"/>
        <w:tblCellMar>
          <w:top w:w="0" w:type="dxa"/>
          <w:left w:w="0" w:type="dxa"/>
          <w:bottom w:w="0" w:type="dxa"/>
          <w:right w:w="0" w:type="dxa"/>
        </w:tblCellMar>
      </w:tblPr>
      <w:tr>
        <w:trPr>
          <w:trHeight w:val="223"/>
        </w:trPr>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06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18,816</w:t>
            </w:r>
          </w:p>
        </w:tc>
        <w:tc>
          <w:tcPr>
            <w:tcW w:w="18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430</w:t>
            </w:r>
          </w:p>
        </w:tc>
        <w:tc>
          <w:tcPr>
            <w:tcW w:w="80" w:type="dxa"/>
            <w:vAlign w:val="bottom"/>
          </w:tcPr>
          <w:p>
            <w:pPr>
              <w:spacing w:after="0"/>
              <w:rPr>
                <w:sz w:val="19"/>
                <w:szCs w:val="19"/>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0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3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06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w:t>
            </w:r>
          </w:p>
        </w:tc>
        <w:tc>
          <w:tcPr>
            <w:tcW w:w="18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10,206</w:t>
            </w:r>
          </w:p>
        </w:tc>
        <w:tc>
          <w:tcPr>
            <w:tcW w:w="80" w:type="dxa"/>
            <w:vAlign w:val="bottom"/>
            <w:tcBorders>
              <w:bottom w:val="single" w:sz="8" w:color="CFF0FC"/>
            </w:tcBorders>
          </w:tcPr>
          <w:p>
            <w:pPr>
              <w:spacing w:after="0"/>
              <w:rPr>
                <w:sz w:val="19"/>
                <w:szCs w:val="19"/>
                <w:color w:val="auto"/>
              </w:rPr>
            </w:pPr>
          </w:p>
        </w:tc>
      </w:tr>
      <w:tr>
        <w:trPr>
          <w:trHeight w:val="223"/>
        </w:trPr>
        <w:tc>
          <w:tcPr>
            <w:tcW w:w="31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21,243</w:t>
            </w:r>
          </w:p>
        </w:tc>
        <w:tc>
          <w:tcPr>
            <w:tcW w:w="1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13,368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tables present the fair value of Level 3 Investments at fair value and the significant unobservable inputs used in the valuations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2019 and December 31, 2018. The tables are not intended to be all-inclusive, but instead capture the significant unobservable inputs relevant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Company’s determination of fair values.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rPr>
              <w:t>June 30, 2019</w:t>
            </w:r>
          </w:p>
        </w:tc>
        <w:tc>
          <w:tcPr>
            <w:tcW w:w="1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Valuation</w:t>
            </w:r>
          </w:p>
        </w:tc>
        <w:tc>
          <w:tcPr>
            <w:tcW w:w="18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Unobservable</w:t>
            </w: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Range (Weighted</w:t>
            </w:r>
          </w:p>
        </w:tc>
        <w:tc>
          <w:tcPr>
            <w:tcW w:w="140" w:type="dxa"/>
            <w:vAlign w:val="bottom"/>
          </w:tcPr>
          <w:p>
            <w:pPr>
              <w:spacing w:after="0"/>
              <w:rPr>
                <w:sz w:val="11"/>
                <w:szCs w:val="11"/>
                <w:color w:val="auto"/>
              </w:rPr>
            </w:pPr>
          </w:p>
        </w:tc>
        <w:tc>
          <w:tcPr>
            <w:tcW w:w="1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7"/>
              </w:rPr>
              <w:t>from an</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b w:val="1"/>
                <w:bCs w:val="1"/>
                <w:color w:val="auto"/>
                <w:w w:val="98"/>
              </w:rPr>
              <w:t>Fair Value</w:t>
            </w:r>
          </w:p>
        </w:tc>
        <w:tc>
          <w:tcPr>
            <w:tcW w:w="240" w:type="dxa"/>
            <w:vAlign w:val="bottom"/>
          </w:tcPr>
          <w:p>
            <w:pPr>
              <w:spacing w:after="0"/>
              <w:rPr>
                <w:sz w:val="14"/>
                <w:szCs w:val="14"/>
                <w:color w:val="auto"/>
              </w:rPr>
            </w:pPr>
          </w:p>
        </w:tc>
        <w:tc>
          <w:tcPr>
            <w:tcW w:w="1840" w:type="dxa"/>
            <w:vAlign w:val="bottom"/>
            <w:gridSpan w:val="2"/>
          </w:tcPr>
          <w:p>
            <w:pPr>
              <w:ind w:left="540"/>
              <w:spacing w:after="0"/>
              <w:rPr>
                <w:sz w:val="20"/>
                <w:szCs w:val="20"/>
                <w:color w:val="auto"/>
              </w:rPr>
            </w:pPr>
            <w:r>
              <w:rPr>
                <w:rFonts w:ascii="Arial" w:cs="Arial" w:eastAsia="Arial" w:hAnsi="Arial"/>
                <w:sz w:val="14"/>
                <w:szCs w:val="14"/>
                <w:b w:val="1"/>
                <w:bCs w:val="1"/>
                <w:color w:val="auto"/>
              </w:rPr>
              <w:t>Technique</w:t>
            </w:r>
          </w:p>
        </w:tc>
        <w:tc>
          <w:tcPr>
            <w:tcW w:w="1860" w:type="dxa"/>
            <w:vAlign w:val="bottom"/>
            <w:gridSpan w:val="2"/>
          </w:tcPr>
          <w:p>
            <w:pPr>
              <w:ind w:left="700"/>
              <w:spacing w:after="0"/>
              <w:rPr>
                <w:sz w:val="20"/>
                <w:szCs w:val="20"/>
                <w:color w:val="auto"/>
              </w:rPr>
            </w:pPr>
            <w:r>
              <w:rPr>
                <w:rFonts w:ascii="Arial" w:cs="Arial" w:eastAsia="Arial" w:hAnsi="Arial"/>
                <w:sz w:val="14"/>
                <w:szCs w:val="14"/>
                <w:b w:val="1"/>
                <w:bCs w:val="1"/>
                <w:color w:val="auto"/>
              </w:rPr>
              <w:t>Input</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Average)</w:t>
            </w:r>
          </w:p>
        </w:tc>
        <w:tc>
          <w:tcPr>
            <w:tcW w:w="1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Increase to Input</w:t>
            </w:r>
          </w:p>
        </w:tc>
        <w:tc>
          <w:tcPr>
            <w:tcW w:w="0" w:type="dxa"/>
            <w:vAlign w:val="bottom"/>
          </w:tcPr>
          <w:p>
            <w:pPr>
              <w:spacing w:after="0"/>
              <w:rPr>
                <w:sz w:val="1"/>
                <w:szCs w:val="1"/>
                <w:color w:val="auto"/>
              </w:rPr>
            </w:pPr>
          </w:p>
        </w:tc>
      </w:tr>
      <w:tr>
        <w:trPr>
          <w:trHeight w:val="223"/>
        </w:trPr>
        <w:tc>
          <w:tcPr>
            <w:tcW w:w="2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2,001,181</w:t>
            </w:r>
          </w:p>
        </w:tc>
        <w:tc>
          <w:tcPr>
            <w:tcW w:w="24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5.5% — 15.2% (10.4%)</w:t>
            </w:r>
          </w:p>
        </w:tc>
        <w:tc>
          <w:tcPr>
            <w:tcW w:w="14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3,333</w:t>
            </w:r>
          </w:p>
        </w:tc>
        <w:tc>
          <w:tcPr>
            <w:tcW w:w="2080" w:type="dxa"/>
            <w:vAlign w:val="bottom"/>
            <w:gridSpan w:val="3"/>
          </w:tcPr>
          <w:p>
            <w:pPr>
              <w:ind w:left="240"/>
              <w:spacing w:after="0"/>
              <w:rPr>
                <w:sz w:val="20"/>
                <w:szCs w:val="20"/>
                <w:color w:val="auto"/>
              </w:rPr>
            </w:pPr>
            <w:r>
              <w:rPr>
                <w:rFonts w:ascii="Arial" w:cs="Arial" w:eastAsia="Arial" w:hAnsi="Arial"/>
                <w:sz w:val="18"/>
                <w:szCs w:val="18"/>
                <w:color w:val="auto"/>
              </w:rPr>
              <w:t>Income approach</w:t>
            </w:r>
          </w:p>
        </w:tc>
        <w:tc>
          <w:tcPr>
            <w:tcW w:w="186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15.5% — 15.5% (15.5%)</w:t>
            </w:r>
          </w:p>
        </w:tc>
        <w:tc>
          <w:tcPr>
            <w:tcW w:w="1860" w:type="dxa"/>
            <w:vAlign w:val="bottom"/>
            <w:gridSpan w:val="2"/>
          </w:tcPr>
          <w:p>
            <w:pPr>
              <w:ind w:left="14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w:t>
            </w:r>
          </w:p>
        </w:tc>
        <w:tc>
          <w:tcPr>
            <w:tcW w:w="20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Income approach</w:t>
            </w:r>
          </w:p>
        </w:tc>
        <w:tc>
          <w:tcPr>
            <w:tcW w:w="1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15.6% — 15.6% (15.6%)</w:t>
            </w:r>
          </w:p>
        </w:tc>
        <w:tc>
          <w:tcPr>
            <w:tcW w:w="18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46,096</w:t>
            </w:r>
          </w:p>
        </w:tc>
        <w:tc>
          <w:tcPr>
            <w:tcW w:w="2080" w:type="dxa"/>
            <w:vAlign w:val="bottom"/>
            <w:gridSpan w:val="3"/>
          </w:tcPr>
          <w:p>
            <w:pPr>
              <w:ind w:left="240"/>
              <w:spacing w:after="0"/>
              <w:rPr>
                <w:sz w:val="20"/>
                <w:szCs w:val="20"/>
                <w:color w:val="auto"/>
              </w:rPr>
            </w:pPr>
            <w:r>
              <w:rPr>
                <w:rFonts w:ascii="Arial" w:cs="Arial" w:eastAsia="Arial" w:hAnsi="Arial"/>
                <w:sz w:val="18"/>
                <w:szCs w:val="18"/>
                <w:color w:val="auto"/>
              </w:rPr>
              <w:t xml:space="preserve">Market Multiple </w:t>
            </w:r>
            <w:r>
              <w:rPr>
                <w:rFonts w:ascii="Arial" w:cs="Arial" w:eastAsia="Arial" w:hAnsi="Arial"/>
                <w:sz w:val="15"/>
                <w:szCs w:val="15"/>
                <w:color w:val="auto"/>
              </w:rPr>
              <w:t>(2)</w:t>
            </w:r>
          </w:p>
        </w:tc>
        <w:tc>
          <w:tcPr>
            <w:tcW w:w="1860" w:type="dxa"/>
            <w:vAlign w:val="bottom"/>
            <w:gridSpan w:val="2"/>
          </w:tcPr>
          <w:p>
            <w:pPr>
              <w:spacing w:after="0"/>
              <w:rPr>
                <w:sz w:val="20"/>
                <w:szCs w:val="20"/>
                <w:color w:val="auto"/>
              </w:rPr>
            </w:pPr>
            <w:r>
              <w:rPr>
                <w:rFonts w:ascii="Arial" w:cs="Arial" w:eastAsia="Arial" w:hAnsi="Arial"/>
                <w:sz w:val="18"/>
                <w:szCs w:val="18"/>
                <w:color w:val="auto"/>
              </w:rPr>
              <w:t>Comparable multiple</w:t>
            </w: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3.0x — 14.0x (11.4x)</w:t>
            </w:r>
          </w:p>
        </w:tc>
        <w:tc>
          <w:tcPr>
            <w:tcW w:w="1860" w:type="dxa"/>
            <w:vAlign w:val="bottom"/>
            <w:gridSpan w:val="2"/>
          </w:tcPr>
          <w:p>
            <w:pPr>
              <w:ind w:left="140"/>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223"/>
        </w:trPr>
        <w:tc>
          <w:tcPr>
            <w:tcW w:w="28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2,053,154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72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40" w:type="dxa"/>
            <w:vAlign w:val="bottom"/>
            <w:tcBorders>
              <w:top w:val="single" w:sz="8" w:color="auto"/>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720" w:type="dxa"/>
            <w:vAlign w:val="bottom"/>
            <w:tcBorders>
              <w:top w:val="single" w:sz="8" w:color="auto"/>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900" w:right="160" w:hanging="514"/>
        <w:spacing w:after="0" w:line="291"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$16.4 million of debt investments which were valued using an asset valuation waterfall and $76.1 million of first-lien debt investments which, due to the proximity of the transactions relative to the measurement date, were valued using the cost of the investments.</w:t>
      </w:r>
    </w:p>
    <w:p>
      <w:pPr>
        <w:ind w:left="900" w:right="480" w:hanging="514"/>
        <w:spacing w:after="0" w:line="323"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$2.6 million of equity investments which were valued using a weighted valuation approach and $1.3 million of equity investments which, due to the proximity of the transactions relative to the measurement date, were valued using the cost of the investments.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w w:val="91"/>
              </w:rPr>
              <w:t>December 31, 2018</w:t>
            </w:r>
          </w:p>
        </w:tc>
        <w:tc>
          <w:tcPr>
            <w:tcW w:w="1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Valuation</w:t>
            </w:r>
          </w:p>
        </w:tc>
        <w:tc>
          <w:tcPr>
            <w:tcW w:w="18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Unobservable</w:t>
            </w: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Range (Weighted</w:t>
            </w:r>
          </w:p>
        </w:tc>
        <w:tc>
          <w:tcPr>
            <w:tcW w:w="140" w:type="dxa"/>
            <w:vAlign w:val="bottom"/>
          </w:tcPr>
          <w:p>
            <w:pPr>
              <w:spacing w:after="0"/>
              <w:rPr>
                <w:sz w:val="11"/>
                <w:szCs w:val="11"/>
                <w:color w:val="auto"/>
              </w:rPr>
            </w:pPr>
          </w:p>
        </w:tc>
        <w:tc>
          <w:tcPr>
            <w:tcW w:w="1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Impact to Valuation</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7"/>
              </w:rPr>
              <w:t>from an</w:t>
            </w:r>
          </w:p>
        </w:tc>
        <w:tc>
          <w:tcPr>
            <w:tcW w:w="0" w:type="dxa"/>
            <w:vAlign w:val="bottom"/>
          </w:tcPr>
          <w:p>
            <w:pPr>
              <w:spacing w:after="0"/>
              <w:rPr>
                <w:sz w:val="1"/>
                <w:szCs w:val="1"/>
                <w:color w:val="auto"/>
              </w:rPr>
            </w:pPr>
          </w:p>
        </w:tc>
      </w:tr>
      <w:tr>
        <w:trPr>
          <w:trHeight w:val="171"/>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53"/>
              <w:spacing w:after="0"/>
              <w:rPr>
                <w:sz w:val="20"/>
                <w:szCs w:val="20"/>
                <w:color w:val="auto"/>
              </w:rPr>
            </w:pPr>
            <w:r>
              <w:rPr>
                <w:rFonts w:ascii="Arial" w:cs="Arial" w:eastAsia="Arial" w:hAnsi="Arial"/>
                <w:sz w:val="14"/>
                <w:szCs w:val="14"/>
                <w:b w:val="1"/>
                <w:bCs w:val="1"/>
                <w:color w:val="auto"/>
                <w:w w:val="98"/>
              </w:rPr>
              <w:t>Fair Value</w:t>
            </w:r>
          </w:p>
        </w:tc>
        <w:tc>
          <w:tcPr>
            <w:tcW w:w="240" w:type="dxa"/>
            <w:vAlign w:val="bottom"/>
          </w:tcPr>
          <w:p>
            <w:pPr>
              <w:spacing w:after="0"/>
              <w:rPr>
                <w:sz w:val="14"/>
                <w:szCs w:val="14"/>
                <w:color w:val="auto"/>
              </w:rPr>
            </w:pPr>
          </w:p>
        </w:tc>
        <w:tc>
          <w:tcPr>
            <w:tcW w:w="1840" w:type="dxa"/>
            <w:vAlign w:val="bottom"/>
            <w:gridSpan w:val="2"/>
          </w:tcPr>
          <w:p>
            <w:pPr>
              <w:ind w:left="540"/>
              <w:spacing w:after="0"/>
              <w:rPr>
                <w:sz w:val="20"/>
                <w:szCs w:val="20"/>
                <w:color w:val="auto"/>
              </w:rPr>
            </w:pPr>
            <w:r>
              <w:rPr>
                <w:rFonts w:ascii="Arial" w:cs="Arial" w:eastAsia="Arial" w:hAnsi="Arial"/>
                <w:sz w:val="14"/>
                <w:szCs w:val="14"/>
                <w:b w:val="1"/>
                <w:bCs w:val="1"/>
                <w:color w:val="auto"/>
              </w:rPr>
              <w:t>Technique</w:t>
            </w:r>
          </w:p>
        </w:tc>
        <w:tc>
          <w:tcPr>
            <w:tcW w:w="1860" w:type="dxa"/>
            <w:vAlign w:val="bottom"/>
            <w:gridSpan w:val="2"/>
          </w:tcPr>
          <w:p>
            <w:pPr>
              <w:ind w:left="700"/>
              <w:spacing w:after="0"/>
              <w:rPr>
                <w:sz w:val="20"/>
                <w:szCs w:val="20"/>
                <w:color w:val="auto"/>
              </w:rPr>
            </w:pPr>
            <w:r>
              <w:rPr>
                <w:rFonts w:ascii="Arial" w:cs="Arial" w:eastAsia="Arial" w:hAnsi="Arial"/>
                <w:sz w:val="14"/>
                <w:szCs w:val="14"/>
                <w:b w:val="1"/>
                <w:bCs w:val="1"/>
                <w:color w:val="auto"/>
              </w:rPr>
              <w:t>Input</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Average)</w:t>
            </w:r>
          </w:p>
        </w:tc>
        <w:tc>
          <w:tcPr>
            <w:tcW w:w="1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Increase to Input</w:t>
            </w:r>
          </w:p>
        </w:tc>
        <w:tc>
          <w:tcPr>
            <w:tcW w:w="0" w:type="dxa"/>
            <w:vAlign w:val="bottom"/>
          </w:tcPr>
          <w:p>
            <w:pPr>
              <w:spacing w:after="0"/>
              <w:rPr>
                <w:sz w:val="1"/>
                <w:szCs w:val="1"/>
                <w:color w:val="auto"/>
              </w:rPr>
            </w:pPr>
          </w:p>
        </w:tc>
      </w:tr>
      <w:tr>
        <w:trPr>
          <w:trHeight w:val="223"/>
        </w:trPr>
        <w:tc>
          <w:tcPr>
            <w:tcW w:w="2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1,628,037</w:t>
            </w:r>
          </w:p>
        </w:tc>
        <w:tc>
          <w:tcPr>
            <w:tcW w:w="24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FF0FC"/>
            </w:tcBorders>
            <w:shd w:val="clear" w:color="auto" w:fill="CFF0FC"/>
          </w:tcPr>
          <w:p>
            <w:pPr>
              <w:spacing w:after="0"/>
              <w:rPr>
                <w:sz w:val="19"/>
                <w:szCs w:val="19"/>
                <w:color w:val="auto"/>
              </w:rPr>
            </w:pPr>
          </w:p>
        </w:tc>
        <w:tc>
          <w:tcPr>
            <w:tcW w:w="18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6.8% — 15.8% (11.8%)</w:t>
            </w:r>
          </w:p>
        </w:tc>
        <w:tc>
          <w:tcPr>
            <w:tcW w:w="140" w:type="dxa"/>
            <w:vAlign w:val="bottom"/>
            <w:tcBorders>
              <w:top w:val="single" w:sz="8" w:color="CFF0FC"/>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4,137</w:t>
            </w:r>
          </w:p>
        </w:tc>
        <w:tc>
          <w:tcPr>
            <w:tcW w:w="2080" w:type="dxa"/>
            <w:vAlign w:val="bottom"/>
            <w:gridSpan w:val="3"/>
          </w:tcPr>
          <w:p>
            <w:pPr>
              <w:ind w:left="240"/>
              <w:spacing w:after="0"/>
              <w:rPr>
                <w:sz w:val="20"/>
                <w:szCs w:val="20"/>
                <w:color w:val="auto"/>
              </w:rPr>
            </w:pPr>
            <w:r>
              <w:rPr>
                <w:rFonts w:ascii="Arial" w:cs="Arial" w:eastAsia="Arial" w:hAnsi="Arial"/>
                <w:sz w:val="18"/>
                <w:szCs w:val="18"/>
                <w:color w:val="auto"/>
              </w:rPr>
              <w:t xml:space="preserve">Income approach </w:t>
            </w:r>
            <w:r>
              <w:rPr>
                <w:rFonts w:ascii="Arial" w:cs="Arial" w:eastAsia="Arial" w:hAnsi="Arial"/>
                <w:sz w:val="15"/>
                <w:szCs w:val="15"/>
                <w:color w:val="auto"/>
              </w:rPr>
              <w:t>(2)</w:t>
            </w:r>
          </w:p>
        </w:tc>
        <w:tc>
          <w:tcPr>
            <w:tcW w:w="186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15.8% — 15.8% (15.8%)</w:t>
            </w:r>
          </w:p>
        </w:tc>
        <w:tc>
          <w:tcPr>
            <w:tcW w:w="1860" w:type="dxa"/>
            <w:vAlign w:val="bottom"/>
            <w:gridSpan w:val="2"/>
          </w:tcPr>
          <w:p>
            <w:pPr>
              <w:ind w:left="14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20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Income approach</w:t>
            </w:r>
          </w:p>
        </w:tc>
        <w:tc>
          <w:tcPr>
            <w:tcW w:w="18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rate</w:t>
            </w:r>
          </w:p>
        </w:tc>
        <w:tc>
          <w:tcPr>
            <w:tcW w:w="1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16.4% — 16.4% (16.4%)</w:t>
            </w:r>
          </w:p>
        </w:tc>
        <w:tc>
          <w:tcPr>
            <w:tcW w:w="18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43,234</w:t>
            </w:r>
          </w:p>
        </w:tc>
        <w:tc>
          <w:tcPr>
            <w:tcW w:w="2080" w:type="dxa"/>
            <w:vAlign w:val="bottom"/>
            <w:gridSpan w:val="3"/>
          </w:tcPr>
          <w:p>
            <w:pPr>
              <w:ind w:left="240"/>
              <w:spacing w:after="0"/>
              <w:rPr>
                <w:sz w:val="20"/>
                <w:szCs w:val="20"/>
                <w:color w:val="auto"/>
              </w:rPr>
            </w:pPr>
            <w:r>
              <w:rPr>
                <w:rFonts w:ascii="Arial" w:cs="Arial" w:eastAsia="Arial" w:hAnsi="Arial"/>
                <w:sz w:val="18"/>
                <w:szCs w:val="18"/>
                <w:color w:val="auto"/>
              </w:rPr>
              <w:t xml:space="preserve">Market Multiple </w:t>
            </w:r>
            <w:r>
              <w:rPr>
                <w:rFonts w:ascii="Arial" w:cs="Arial" w:eastAsia="Arial" w:hAnsi="Arial"/>
                <w:sz w:val="15"/>
                <w:szCs w:val="15"/>
                <w:color w:val="auto"/>
              </w:rPr>
              <w:t>(3)</w:t>
            </w:r>
          </w:p>
        </w:tc>
        <w:tc>
          <w:tcPr>
            <w:tcW w:w="1860" w:type="dxa"/>
            <w:vAlign w:val="bottom"/>
            <w:gridSpan w:val="2"/>
          </w:tcPr>
          <w:p>
            <w:pPr>
              <w:spacing w:after="0"/>
              <w:rPr>
                <w:sz w:val="20"/>
                <w:szCs w:val="20"/>
                <w:color w:val="auto"/>
              </w:rPr>
            </w:pPr>
            <w:r>
              <w:rPr>
                <w:rFonts w:ascii="Arial" w:cs="Arial" w:eastAsia="Arial" w:hAnsi="Arial"/>
                <w:sz w:val="18"/>
                <w:szCs w:val="18"/>
                <w:color w:val="auto"/>
              </w:rPr>
              <w:t>Comparable multiple</w:t>
            </w:r>
          </w:p>
        </w:tc>
        <w:tc>
          <w:tcPr>
            <w:tcW w:w="1840" w:type="dxa"/>
            <w:vAlign w:val="bottom"/>
          </w:tcPr>
          <w:p>
            <w:pPr>
              <w:jc w:val="center"/>
              <w:spacing w:after="0"/>
              <w:rPr>
                <w:sz w:val="20"/>
                <w:szCs w:val="20"/>
                <w:color w:val="auto"/>
              </w:rPr>
            </w:pPr>
            <w:r>
              <w:rPr>
                <w:rFonts w:ascii="Arial" w:cs="Arial" w:eastAsia="Arial" w:hAnsi="Arial"/>
                <w:sz w:val="18"/>
                <w:szCs w:val="18"/>
                <w:color w:val="auto"/>
                <w:w w:val="93"/>
              </w:rPr>
              <w:t>3.0x — 13.2x (10.6x)</w:t>
            </w:r>
          </w:p>
        </w:tc>
        <w:tc>
          <w:tcPr>
            <w:tcW w:w="1860" w:type="dxa"/>
            <w:vAlign w:val="bottom"/>
            <w:gridSpan w:val="2"/>
          </w:tcPr>
          <w:p>
            <w:pPr>
              <w:ind w:left="140"/>
              <w:spacing w:after="0"/>
              <w:rPr>
                <w:sz w:val="20"/>
                <w:szCs w:val="20"/>
                <w:color w:val="auto"/>
              </w:rPr>
            </w:pPr>
            <w:r>
              <w:rPr>
                <w:rFonts w:ascii="Arial" w:cs="Arial" w:eastAsia="Arial" w:hAnsi="Arial"/>
                <w:sz w:val="18"/>
                <w:szCs w:val="18"/>
                <w:color w:val="auto"/>
              </w:rPr>
              <w:t>Increase</w:t>
            </w:r>
          </w:p>
        </w:tc>
        <w:tc>
          <w:tcPr>
            <w:tcW w:w="0" w:type="dxa"/>
            <w:vAlign w:val="bottom"/>
          </w:tcPr>
          <w:p>
            <w:pPr>
              <w:spacing w:after="0"/>
              <w:rPr>
                <w:sz w:val="1"/>
                <w:szCs w:val="1"/>
                <w:color w:val="auto"/>
              </w:rPr>
            </w:pPr>
          </w:p>
        </w:tc>
      </w:tr>
      <w:tr>
        <w:trPr>
          <w:trHeight w:val="223"/>
        </w:trPr>
        <w:tc>
          <w:tcPr>
            <w:tcW w:w="28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1,677,889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72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Borders>
              <w:top w:val="single" w:sz="8" w:color="auto"/>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40" w:type="dxa"/>
            <w:vAlign w:val="bottom"/>
            <w:tcBorders>
              <w:top w:val="single" w:sz="8" w:color="auto"/>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720" w:type="dxa"/>
            <w:vAlign w:val="bottom"/>
            <w:tcBorders>
              <w:top w:val="single" w:sz="8" w:color="auto"/>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400" w:hanging="512"/>
        <w:spacing w:after="0" w:line="258"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$19.7 million of first-lien debt investments which, due to the proximity of the transactions relative to the measurement date, were valued using the cost of the investments.</w:t>
      </w:r>
    </w:p>
    <w:p>
      <w:pPr>
        <w:spacing w:after="0" w:line="1" w:lineRule="exact"/>
        <w:rPr>
          <w:rFonts w:ascii="Arial" w:cs="Arial" w:eastAsia="Arial" w:hAnsi="Arial"/>
          <w:sz w:val="18"/>
          <w:szCs w:val="18"/>
          <w:color w:val="auto"/>
        </w:rPr>
      </w:pPr>
    </w:p>
    <w:p>
      <w:pPr>
        <w:ind w:left="520" w:right="280" w:hanging="512"/>
        <w:spacing w:after="0" w:line="250"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$0.8 million of second-lien debt investments which, due to the proximity of the transactions relative to the measurement date, were valued using the cost of the investments.</w:t>
      </w:r>
    </w:p>
    <w:p>
      <w:pPr>
        <w:ind w:left="520" w:right="20" w:hanging="512"/>
        <w:spacing w:after="0" w:line="290"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Includes $9.5 million of equity investments which were valued using a weighted valuation approach and $4.2 million of equity investments which, due to the proximity of the transactions relative to the measurement date, were valued using the cost of the investments.</w:t>
      </w:r>
    </w:p>
    <w:p>
      <w:pPr>
        <w:spacing w:after="0" w:line="162" w:lineRule="exact"/>
        <w:rPr>
          <w:sz w:val="20"/>
          <w:szCs w:val="20"/>
          <w:color w:val="auto"/>
        </w:rPr>
      </w:pPr>
    </w:p>
    <w:p>
      <w:pPr>
        <w:ind w:right="60" w:firstLine="259"/>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8" w:lineRule="exact"/>
        <w:rPr>
          <w:sz w:val="20"/>
          <w:szCs w:val="20"/>
          <w:color w:val="auto"/>
        </w:rPr>
      </w:pPr>
    </w:p>
    <w:p>
      <w:pPr>
        <w:ind w:right="120" w:firstLine="259"/>
        <w:spacing w:after="0" w:line="273" w:lineRule="auto"/>
        <w:rPr>
          <w:sz w:val="20"/>
          <w:szCs w:val="20"/>
          <w:color w:val="auto"/>
        </w:rPr>
      </w:pPr>
      <w:r>
        <w:rPr>
          <w:rFonts w:ascii="Arial" w:cs="Arial" w:eastAsia="Arial" w:hAnsi="Arial"/>
          <w:sz w:val="17"/>
          <w:szCs w:val="17"/>
          <w:color w:val="auto"/>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ind w:right="580" w:firstLine="259"/>
        <w:spacing w:after="0" w:line="277" w:lineRule="auto"/>
        <w:rPr>
          <w:sz w:val="20"/>
          <w:szCs w:val="20"/>
          <w:color w:val="auto"/>
        </w:rPr>
      </w:pPr>
      <w:r>
        <w:rPr>
          <w:rFonts w:ascii="Arial" w:cs="Arial" w:eastAsia="Arial" w:hAnsi="Arial"/>
          <w:sz w:val="18"/>
          <w:szCs w:val="18"/>
          <w:color w:val="auto"/>
        </w:rPr>
        <w:t>The fair value of the Company’s Revolving Credit Facility, which is categorized as Level 3 within the fair value hierarchy, as of June 30, 2019 and December 31, 2018, approximates its carrying value as the outstanding balance is callable at carrying value.</w:t>
      </w:r>
    </w:p>
    <w:p>
      <w:pPr>
        <w:spacing w:after="0" w:line="170"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The fair value of the Company’s Convertible Notes (consisting of the 2019 Convertible Notes and the 2022 Convertible Notes) and 2023 Notes, which are categorized as Level 2 within the fair value hierarchy, as of June 30, 2019 and December 31, 2018, was $443.2 million and $428.9 million, respectively, based on broker quotes received by the Company. The aggregate principal amount of the Company’s Convertible Notes and 2023 Notes, as of both June 30, 2019 and December 31, 2018, was $437.5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ind w:right="20" w:firstLine="259"/>
        <w:spacing w:after="0" w:line="259" w:lineRule="auto"/>
        <w:rPr>
          <w:sz w:val="20"/>
          <w:szCs w:val="20"/>
          <w:color w:val="auto"/>
        </w:rPr>
      </w:pPr>
      <w:r>
        <w:rPr>
          <w:rFonts w:ascii="Arial" w:cs="Arial" w:eastAsia="Arial" w:hAnsi="Arial"/>
          <w:sz w:val="18"/>
          <w:szCs w:val="18"/>
          <w:color w:val="auto"/>
        </w:rPr>
        <w:t>The carrying amounts of the Company’s assets and liabilities, other than investments at fair value and Convertible Notes and 2023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30"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150% after such borrowing. As of June 30, 2019 and December 31, 2018, the Company’s asset coverage was 216.4% and 270.5%, respectively.</w:t>
      </w:r>
    </w:p>
    <w:p>
      <w:pPr>
        <w:spacing w:after="0" w:line="181" w:lineRule="exact"/>
        <w:rPr>
          <w:sz w:val="20"/>
          <w:szCs w:val="20"/>
          <w:color w:val="auto"/>
        </w:rPr>
      </w:pPr>
    </w:p>
    <w:p>
      <w:pPr>
        <w:ind w:right="160" w:firstLine="259"/>
        <w:spacing w:after="0" w:line="257" w:lineRule="auto"/>
        <w:rPr>
          <w:sz w:val="20"/>
          <w:szCs w:val="20"/>
          <w:color w:val="auto"/>
        </w:rPr>
      </w:pPr>
      <w:r>
        <w:rPr>
          <w:rFonts w:ascii="Arial" w:cs="Arial" w:eastAsia="Arial" w:hAnsi="Arial"/>
          <w:sz w:val="18"/>
          <w:szCs w:val="18"/>
          <w:color w:val="auto"/>
        </w:rPr>
        <w:t>On October 8, 2018, the Company’s stockholders approved the application of the minimum asset coverage ratio of 150% to the Company, as set forth in Section 61(a)(2) of the 1940 Act, as amended by the Small Business Credit Availability Act (the “SBCAA”). As a result and subject to certain additional disclosure requirements, as of October 9, 2018, the Company’s minimum asset coverage ratio was reduced from 200% to 150%. In other words, pursuant to Section 61(a) of the 1940 Act, as amended by the SBCAA, the Company is permitted to increase its maximum debt-to-equity ratio from an effective level of one-to-one to two-to-one.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June 30, 2019 and December 31, 2018:</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8"/>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77"/>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75"/>
              <w:spacing w:after="0"/>
              <w:rPr>
                <w:sz w:val="20"/>
                <w:szCs w:val="20"/>
                <w:color w:val="auto"/>
              </w:rPr>
            </w:pPr>
            <w:r>
              <w:rPr>
                <w:rFonts w:ascii="Arial" w:cs="Arial" w:eastAsia="Arial" w:hAnsi="Arial"/>
                <w:sz w:val="14"/>
                <w:szCs w:val="14"/>
                <w:b w:val="1"/>
                <w:bCs w:val="1"/>
                <w:color w:val="auto"/>
                <w:w w:val="94"/>
              </w:rPr>
              <w:t xml:space="preserve">Available </w:t>
            </w:r>
            <w:r>
              <w:rPr>
                <w:rFonts w:ascii="Arial" w:cs="Arial" w:eastAsia="Arial" w:hAnsi="Arial"/>
                <w:sz w:val="12"/>
                <w:szCs w:val="12"/>
                <w:b w:val="1"/>
                <w:bCs w:val="1"/>
                <w:color w:val="auto"/>
                <w:w w:val="94"/>
              </w:rPr>
              <w:t>(1)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510,223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734,777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499,029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2019</w:t>
            </w:r>
          </w:p>
        </w:tc>
        <w:tc>
          <w:tcPr>
            <w:tcW w:w="494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114,327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2022</w:t>
            </w:r>
          </w:p>
        </w:tc>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Notes</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89"/>
              </w:rPr>
              <w:t>2023</w:t>
            </w:r>
          </w:p>
        </w:tc>
        <w:tc>
          <w:tcPr>
            <w:tcW w:w="49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Notes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1,682,500</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947,723</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734,777</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929,855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380" w:hanging="512"/>
        <w:spacing w:after="0" w:line="261"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Convertible Notes, and 2023 Notes are presented net of deferred financing costs and original issue discounts of $11.2 million, $4.3 million and $2.3 million, respectively.</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2"/>
              </w:rPr>
              <w:t>Aggregate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8"/>
              <w:spacing w:after="0"/>
              <w:rPr>
                <w:sz w:val="20"/>
                <w:szCs w:val="20"/>
                <w:color w:val="auto"/>
              </w:rPr>
            </w:pPr>
            <w:r>
              <w:rPr>
                <w:rFonts w:ascii="Arial" w:cs="Arial" w:eastAsia="Arial" w:hAnsi="Arial"/>
                <w:sz w:val="14"/>
                <w:szCs w:val="14"/>
                <w:b w:val="1"/>
                <w:bCs w:val="1"/>
                <w:color w:val="auto"/>
                <w:w w:val="95"/>
              </w:rPr>
              <w:t>Committed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77"/>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75"/>
              <w:spacing w:after="0"/>
              <w:rPr>
                <w:sz w:val="20"/>
                <w:szCs w:val="20"/>
                <w:color w:val="auto"/>
              </w:rPr>
            </w:pPr>
            <w:r>
              <w:rPr>
                <w:rFonts w:ascii="Arial" w:cs="Arial" w:eastAsia="Arial" w:hAnsi="Arial"/>
                <w:sz w:val="14"/>
                <w:szCs w:val="14"/>
                <w:b w:val="1"/>
                <w:bCs w:val="1"/>
                <w:color w:val="auto"/>
                <w:w w:val="94"/>
              </w:rPr>
              <w:t xml:space="preserve">Available </w:t>
            </w:r>
            <w:r>
              <w:rPr>
                <w:rFonts w:ascii="Arial" w:cs="Arial" w:eastAsia="Arial" w:hAnsi="Arial"/>
                <w:sz w:val="12"/>
                <w:szCs w:val="12"/>
                <w:b w:val="1"/>
                <w:bCs w:val="1"/>
                <w:color w:val="auto"/>
                <w:w w:val="94"/>
              </w:rPr>
              <w:t>(1)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223"/>
        </w:trPr>
        <w:tc>
          <w:tcPr>
            <w:tcW w:w="53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940,000</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187,543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752,457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178,807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2019</w:t>
            </w:r>
          </w:p>
        </w:tc>
        <w:tc>
          <w:tcPr>
            <w:tcW w:w="494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113,606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2022</w:t>
            </w:r>
          </w:p>
        </w:tc>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Notes</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172,500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89"/>
              </w:rPr>
              <w:t>2023</w:t>
            </w:r>
          </w:p>
        </w:tc>
        <w:tc>
          <w:tcPr>
            <w:tcW w:w="49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Notes</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147,343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1,377,500</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625,043</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752,457</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608,007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380" w:hanging="512"/>
        <w:spacing w:after="0" w:line="261"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Convertible Notes, and 2023 Notes are presented net of deferred financing costs and original issue discounts of $8.7 million, $5.6 million and $2.7 million, respectively.</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three and six months ended June 30, 2019 and 2018, the components of interest expense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40" w:type="dxa"/>
            <w:vAlign w:val="bottom"/>
            <w:tcBorders>
              <w:top w:val="single" w:sz="8" w:color="auto"/>
            </w:tcBorders>
            <w:gridSpan w:val="3"/>
          </w:tcPr>
          <w:p>
            <w:pPr>
              <w:jc w:val="right"/>
              <w:ind w:right="320"/>
              <w:spacing w:after="0" w:line="155" w:lineRule="exact"/>
              <w:rPr>
                <w:sz w:val="20"/>
                <w:szCs w:val="20"/>
                <w:color w:val="auto"/>
              </w:rPr>
            </w:pPr>
            <w:r>
              <w:rPr>
                <w:rFonts w:ascii="Arial" w:cs="Arial" w:eastAsia="Arial" w:hAnsi="Arial"/>
                <w:sz w:val="14"/>
                <w:szCs w:val="14"/>
                <w:b w:val="1"/>
                <w:bCs w:val="1"/>
                <w:color w:val="auto"/>
                <w:w w:val="98"/>
              </w:rPr>
              <w:t>June 30, 2019</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w w:val="90"/>
              </w:rPr>
              <w:t>June 30, 2018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90"/>
              </w:rPr>
              <w:t>June 30, 2019</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w w:val="87"/>
              </w:rPr>
              <w:t>June 30, 2018</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center"/>
              <w:ind w:right="154"/>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10,127</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9,379</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17,942</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17,337</w:t>
            </w:r>
          </w:p>
        </w:tc>
        <w:tc>
          <w:tcPr>
            <w:tcW w:w="18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Commitment fees</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804</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w:t>
            </w:r>
          </w:p>
        </w:tc>
        <w:tc>
          <w:tcPr>
            <w:tcW w:w="1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414</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Swap settlement</w:t>
            </w: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(194)</w:t>
            </w:r>
          </w:p>
        </w:tc>
        <w:tc>
          <w:tcPr>
            <w:tcW w:w="580" w:type="dxa"/>
            <w:vAlign w:val="bottom"/>
          </w:tcPr>
          <w:p>
            <w:pPr>
              <w:spacing w:after="0"/>
              <w:rPr>
                <w:sz w:val="19"/>
                <w:szCs w:val="19"/>
                <w:color w:val="auto"/>
              </w:rPr>
            </w:pPr>
          </w:p>
        </w:tc>
      </w:tr>
      <w:tr>
        <w:trPr>
          <w:trHeight w:val="263"/>
        </w:trPr>
        <w:tc>
          <w:tcPr>
            <w:tcW w:w="580" w:type="dxa"/>
            <w:vAlign w:val="bottom"/>
          </w:tcPr>
          <w:p>
            <w:pPr>
              <w:spacing w:after="0"/>
              <w:rPr>
                <w:sz w:val="22"/>
                <w:szCs w:val="22"/>
                <w:color w:val="auto"/>
              </w:rPr>
            </w:pPr>
          </w:p>
        </w:tc>
        <w:tc>
          <w:tcPr>
            <w:tcW w:w="3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112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center"/>
              <w:ind w:right="154"/>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12,724</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11,161</w:t>
            </w:r>
          </w:p>
        </w:tc>
        <w:tc>
          <w:tcPr>
            <w:tcW w:w="2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23,094</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20,231</w:t>
            </w:r>
          </w:p>
        </w:tc>
        <w:tc>
          <w:tcPr>
            <w:tcW w:w="180" w:type="dxa"/>
            <w:vAlign w:val="bottom"/>
            <w:tcBorders>
              <w:bottom w:val="single" w:sz="8" w:color="CFF0FC"/>
            </w:tcBorders>
          </w:tcPr>
          <w:p>
            <w:pPr>
              <w:spacing w:after="0"/>
              <w:rPr>
                <w:sz w:val="22"/>
                <w:szCs w:val="22"/>
                <w:color w:val="auto"/>
              </w:rPr>
            </w:pPr>
          </w:p>
        </w:tc>
        <w:tc>
          <w:tcPr>
            <w:tcW w:w="580" w:type="dxa"/>
            <w:vAlign w:val="bottom"/>
          </w:tcPr>
          <w:p>
            <w:pPr>
              <w:spacing w:after="0"/>
              <w:rPr>
                <w:sz w:val="22"/>
                <w:szCs w:val="22"/>
                <w:color w:val="auto"/>
              </w:rPr>
            </w:pPr>
          </w:p>
        </w:tc>
      </w:tr>
      <w:tr>
        <w:trPr>
          <w:trHeight w:val="210"/>
        </w:trPr>
        <w:tc>
          <w:tcPr>
            <w:tcW w:w="58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Average debt outstanding (in millions)</w:t>
            </w:r>
          </w:p>
        </w:tc>
        <w:tc>
          <w:tcPr>
            <w:tcW w:w="1120" w:type="dxa"/>
            <w:vAlign w:val="bottom"/>
            <w:shd w:val="clear" w:color="auto" w:fill="CFF0FC"/>
          </w:tcPr>
          <w:p>
            <w:pPr>
              <w:spacing w:after="0"/>
              <w:rPr>
                <w:sz w:val="18"/>
                <w:szCs w:val="18"/>
                <w:color w:val="auto"/>
              </w:rPr>
            </w:pPr>
          </w:p>
        </w:tc>
        <w:tc>
          <w:tcPr>
            <w:tcW w:w="320" w:type="dxa"/>
            <w:vAlign w:val="bottom"/>
            <w:shd w:val="clear" w:color="auto" w:fill="CFF0FC"/>
          </w:tcPr>
          <w:p>
            <w:pPr>
              <w:jc w:val="center"/>
              <w:ind w:right="154"/>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919.7</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938.7</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883.1</w:t>
            </w:r>
          </w:p>
        </w:tc>
        <w:tc>
          <w:tcPr>
            <w:tcW w:w="18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Average 1-month LIBOR rate</w:t>
            </w:r>
          </w:p>
        </w:tc>
        <w:tc>
          <w:tcPr>
            <w:tcW w:w="1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19"/>
                <w:szCs w:val="19"/>
                <w:color w:val="auto"/>
              </w:rPr>
            </w:pPr>
          </w:p>
        </w:tc>
      </w:tr>
      <w:tr>
        <w:trPr>
          <w:trHeight w:val="689"/>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440" w:type="dxa"/>
            <w:vAlign w:val="bottom"/>
            <w:gridSpan w:val="2"/>
          </w:tcPr>
          <w:p>
            <w:pPr>
              <w:jc w:val="center"/>
              <w:ind w:left="770"/>
              <w:spacing w:after="0"/>
              <w:rPr>
                <w:sz w:val="20"/>
                <w:szCs w:val="20"/>
                <w:color w:val="auto"/>
              </w:rPr>
            </w:pPr>
            <w:r>
              <w:rPr>
                <w:rFonts w:ascii="Arial" w:cs="Arial" w:eastAsia="Arial" w:hAnsi="Arial"/>
                <w:sz w:val="18"/>
                <w:szCs w:val="18"/>
                <w:color w:val="auto"/>
                <w:w w:val="89"/>
              </w:rPr>
              <w:t>35</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On August 23, 2012, the Company entered into a senior secured revolving credit agreement with SunTrust Bank, as administrative agent, and J.P. Morgan Chase Bank, N.A., as syndication agent, and certain other lenders (as amended and restated, the “Revolving Credit Facility”).</w:t>
      </w:r>
    </w:p>
    <w:p>
      <w:pPr>
        <w:spacing w:after="0" w:line="197" w:lineRule="exact"/>
        <w:rPr>
          <w:sz w:val="20"/>
          <w:szCs w:val="20"/>
          <w:color w:val="auto"/>
        </w:rPr>
      </w:pPr>
    </w:p>
    <w:p>
      <w:pPr>
        <w:ind w:right="80" w:firstLine="259"/>
        <w:spacing w:after="0" w:line="279" w:lineRule="auto"/>
        <w:rPr>
          <w:sz w:val="20"/>
          <w:szCs w:val="20"/>
          <w:color w:val="auto"/>
        </w:rPr>
      </w:pPr>
      <w:r>
        <w:rPr>
          <w:rFonts w:ascii="Arial" w:cs="Arial" w:eastAsia="Arial" w:hAnsi="Arial"/>
          <w:sz w:val="17"/>
          <w:szCs w:val="17"/>
          <w:color w:val="auto"/>
        </w:rPr>
        <w:t>As of December 31, 2018, aggregate commitments under the facility were $940 million. Pursuant to an amendment to the Revolving Credit Facility dated as of February 14, 2019 (the “Eighth Amendment”), the aggregate commitments under the facility were increased to $1,170 million. The facility includes an uncommitted accordion feature that allows the Company, under certain circumstances, to increase the size of the facility to up to $1,500 million. On June 7, 2019 the Company exercised its right under the accordion feature and increased the size of the facility to $1,245 million.</w:t>
      </w:r>
    </w:p>
    <w:p>
      <w:pPr>
        <w:spacing w:after="0" w:line="171" w:lineRule="exact"/>
        <w:rPr>
          <w:sz w:val="20"/>
          <w:szCs w:val="20"/>
          <w:color w:val="auto"/>
        </w:rPr>
      </w:pPr>
    </w:p>
    <w:p>
      <w:pPr>
        <w:jc w:val="both"/>
        <w:ind w:right="240" w:firstLine="259"/>
        <w:spacing w:after="0" w:line="264" w:lineRule="auto"/>
        <w:rPr>
          <w:sz w:val="20"/>
          <w:szCs w:val="20"/>
          <w:color w:val="auto"/>
        </w:rPr>
      </w:pPr>
      <w:r>
        <w:rPr>
          <w:rFonts w:ascii="Arial" w:cs="Arial" w:eastAsia="Arial" w:hAnsi="Arial"/>
          <w:sz w:val="18"/>
          <w:szCs w:val="18"/>
          <w:color w:val="auto"/>
        </w:rPr>
        <w:t>Pursuant to the Eighth Amendment, the revolving period, during which period the Company, subject to certain conditions, may make borrowings under the facility, was extended from February 18, 2022 to February 14, 2023 and the stated maturity date was extended from February 17, 2023 to February 14, 2024.</w:t>
      </w:r>
    </w:p>
    <w:p>
      <w:pPr>
        <w:spacing w:after="0" w:line="181" w:lineRule="exact"/>
        <w:rPr>
          <w:sz w:val="20"/>
          <w:szCs w:val="20"/>
          <w:color w:val="auto"/>
        </w:rPr>
      </w:pPr>
    </w:p>
    <w:p>
      <w:pPr>
        <w:ind w:right="300" w:firstLine="259"/>
        <w:spacing w:after="0" w:line="264" w:lineRule="auto"/>
        <w:rPr>
          <w:sz w:val="20"/>
          <w:szCs w:val="20"/>
          <w:color w:val="auto"/>
        </w:rPr>
      </w:pPr>
      <w:r>
        <w:rPr>
          <w:rFonts w:ascii="Arial" w:cs="Arial" w:eastAsia="Arial" w:hAnsi="Arial"/>
          <w:sz w:val="18"/>
          <w:szCs w:val="18"/>
          <w:color w:val="auto"/>
        </w:rPr>
        <w:t>The Company may borrow amounts in U.S. dollars or certain other permitted currencies. As of June 30, 2019, the Company had outstanding debt denominated in Australian dollars (AUD) of 47.2 million, Canadian dollars (CAD) of 64.5 million, and Euro (EUR) of 7.1 million on its Revolving Credit Facility, included in the Outstanding Principal amount in the table above.</w:t>
      </w:r>
    </w:p>
    <w:p>
      <w:pPr>
        <w:spacing w:after="0" w:line="181"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The Revolving Credit Facility also provides for the issuance of letters of credit up to an aggregate amount of $75 million. As of June 30, 2019 and December 31, 2018, the Company had no outstanding letters of credit issued through the Revolving Credit Facility. The amount available for borrowing under the Revolving Credit Facility is reduced by any letters of credit issued through the Revolving Credit Facility.</w:t>
      </w:r>
    </w:p>
    <w:p>
      <w:pPr>
        <w:spacing w:after="0" w:line="181" w:lineRule="exact"/>
        <w:rPr>
          <w:sz w:val="20"/>
          <w:szCs w:val="20"/>
          <w:color w:val="auto"/>
        </w:rPr>
      </w:pPr>
    </w:p>
    <w:p>
      <w:pPr>
        <w:ind w:right="20" w:firstLine="259"/>
        <w:spacing w:after="0" w:line="273"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LIBOR or base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8" w:lineRule="exact"/>
        <w:rPr>
          <w:sz w:val="20"/>
          <w:szCs w:val="20"/>
          <w:color w:val="auto"/>
        </w:rPr>
      </w:pPr>
    </w:p>
    <w:p>
      <w:pPr>
        <w:ind w:right="220" w:firstLine="259"/>
        <w:spacing w:after="0" w:line="259" w:lineRule="auto"/>
        <w:rPr>
          <w:sz w:val="20"/>
          <w:szCs w:val="20"/>
          <w:color w:val="auto"/>
        </w:rPr>
      </w:pPr>
      <w:r>
        <w:rPr>
          <w:rFonts w:ascii="Arial" w:cs="Arial" w:eastAsia="Arial" w:hAnsi="Arial"/>
          <w:sz w:val="18"/>
          <w:szCs w:val="18"/>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87"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The financial covenants, as amended on November 5, 2018, require:</w:t>
      </w:r>
    </w:p>
    <w:p>
      <w:pPr>
        <w:spacing w:after="0" w:line="62" w:lineRule="exact"/>
        <w:rPr>
          <w:sz w:val="20"/>
          <w:szCs w:val="20"/>
          <w:color w:val="auto"/>
        </w:rPr>
      </w:pPr>
    </w:p>
    <w:p>
      <w:pPr>
        <w:ind w:left="520" w:hanging="255"/>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asset coverage ratio of no less than 1.5 to 1 on the last day of any fiscal quarter;</w:t>
      </w:r>
    </w:p>
    <w:p>
      <w:pPr>
        <w:spacing w:after="0" w:line="117" w:lineRule="exact"/>
        <w:rPr>
          <w:rFonts w:ascii="Arial" w:cs="Arial" w:eastAsia="Arial" w:hAnsi="Arial"/>
          <w:sz w:val="18"/>
          <w:szCs w:val="18"/>
          <w:color w:val="auto"/>
        </w:rPr>
      </w:pPr>
    </w:p>
    <w:p>
      <w:pPr>
        <w:ind w:left="520" w:right="40" w:hanging="255"/>
        <w:spacing w:after="0" w:line="264"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liquidity test under which the Company must not maintain cash and liquid investments of less than 10% of the covered debt amount for more than 30 consecutive business days under circumstances where the Company’s adjusted covered debt balance is greater than 90% of the Company’s adjusted borrowing base under the facility;</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November 5, 2018;</w:t>
      </w:r>
    </w:p>
    <w:p>
      <w:pPr>
        <w:spacing w:after="0" w:line="117" w:lineRule="exact"/>
        <w:rPr>
          <w:rFonts w:ascii="Arial" w:cs="Arial" w:eastAsia="Arial" w:hAnsi="Arial"/>
          <w:sz w:val="18"/>
          <w:szCs w:val="18"/>
          <w:color w:val="auto"/>
        </w:rPr>
      </w:pPr>
    </w:p>
    <w:p>
      <w:pPr>
        <w:ind w:left="520" w:right="160" w:hanging="255"/>
        <w:spacing w:after="0" w:line="259"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 and</w:t>
      </w:r>
    </w:p>
    <w:p>
      <w:pPr>
        <w:spacing w:after="0" w:line="78" w:lineRule="exact"/>
        <w:rPr>
          <w:rFonts w:ascii="Arial" w:cs="Arial" w:eastAsia="Arial" w:hAnsi="Arial"/>
          <w:sz w:val="18"/>
          <w:szCs w:val="18"/>
          <w:color w:val="auto"/>
        </w:rPr>
      </w:pPr>
    </w:p>
    <w:p>
      <w:pPr>
        <w:ind w:left="520" w:right="260" w:hanging="255"/>
        <w:spacing w:after="0" w:line="342" w:lineRule="auto"/>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minimum consolidated assets of the Company and the subsidiary guarantors (including certain limitations on the contribution of equity in financing subsidiaries), less total secured debt of the Company and the subsidiary guarantors, of at least $350 million at the last day of any fiscal quarter.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6" w:name="page37"/>
    <w:bookmarkEnd w:id="36"/>
    <w:p>
      <w:pPr>
        <w:ind w:right="40" w:firstLine="259"/>
        <w:spacing w:after="0" w:line="308" w:lineRule="auto"/>
        <w:rPr>
          <w:sz w:val="20"/>
          <w:szCs w:val="20"/>
          <w:color w:val="auto"/>
        </w:rPr>
      </w:pPr>
      <w:r>
        <w:rPr>
          <w:rFonts w:ascii="Arial" w:cs="Arial" w:eastAsia="Arial" w:hAnsi="Arial"/>
          <w:sz w:val="17"/>
          <w:szCs w:val="17"/>
          <w:color w:val="auto"/>
        </w:rPr>
        <w:t>The November 5, 2018 amendment also established certain additional concentration limits in connection with the calculation of the borrowing base, based on the Obligor Asset Coverage Ratio. Size, pricing and other significant terms in the Revolving Credit Facility remained unchanged.</w:t>
      </w:r>
    </w:p>
    <w:p>
      <w:pPr>
        <w:spacing w:after="0" w:line="147"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Net proceeds received from the Company’s common stock issuance in March 2018 and net proceeds received from the issuance of the 2022 Convertible Notes and 2023 Notes were used to pay down borrowings on the Revolving Credit Facility.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2019 and December 31, 2018, the Company was in compliance with the terms of the Revolving Credit Facility.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Convertible Notes</w:t>
      </w:r>
    </w:p>
    <w:p>
      <w:pPr>
        <w:spacing w:after="0" w:line="117" w:lineRule="exact"/>
        <w:rPr>
          <w:sz w:val="20"/>
          <w:szCs w:val="20"/>
          <w:color w:val="auto"/>
        </w:rPr>
      </w:pPr>
    </w:p>
    <w:p>
      <w:pPr>
        <w:ind w:firstLine="259"/>
        <w:spacing w:after="0" w:line="269" w:lineRule="auto"/>
        <w:rPr>
          <w:sz w:val="20"/>
          <w:szCs w:val="20"/>
          <w:color w:val="auto"/>
        </w:rPr>
      </w:pPr>
      <w:r>
        <w:rPr>
          <w:rFonts w:ascii="Arial" w:cs="Arial" w:eastAsia="Arial" w:hAnsi="Arial"/>
          <w:sz w:val="17"/>
          <w:szCs w:val="17"/>
          <w:color w:val="auto"/>
        </w:rPr>
        <w:t>In June 2014, the Company issued in a private offering $115 million aggregate principal amount convertible notes due December 2019 (the “2019 Convertible Notes”). The 2019 Convertible Notes were issued in a private placement only to qualified institutional buyers pursuant to Rule 144A under the Securities Act. The 2019 Convertible Notes are unsecured, and bear interest at a rate of 4.50% per year, payable semiannually. The 2019 Convertible Notes will mature on December 15, 2019. In certain circumstances, the 2019 Convertible Notes will be convertible into cash, shares of the Company’s common stock or a combination of cash and shares of the Company’s common stock, at the Company’s election, at an initial conversion rate of 38.7162 shares of common stock per $1,000 principal amount of 2019 Convertible Notes, which is equivalent to an initial conversion price of approximately $25.83 per share of the Company’s common stock, subject to customary anti-dilution adjustments. As of June 30, 2019, the estimated adjusted conversion price was approximately $24.89 per share of common stock. The sale of the 2019 Convertible Notes generated net proceeds of approximately $110.8 million. The Company used the net proceeds of the offering to pay down debt under the Revolving Credit Facility. In connection with the offering of 2019 Convertible Notes, the Company has entered into interest rate swaps to continue to align the interest rates of its liabilities with its investment portfolio, which consists of predominately floating rate loans. As a result of the swaps, the Company’s effective interest rate on the 2019 Convertible Notes is three-month LIBOR plus 2.86%. See Note 5 for further information related to the Company’s interest rate swaps.</w:t>
      </w:r>
    </w:p>
    <w:p>
      <w:pPr>
        <w:spacing w:after="0" w:line="180" w:lineRule="exact"/>
        <w:rPr>
          <w:sz w:val="20"/>
          <w:szCs w:val="20"/>
          <w:color w:val="auto"/>
        </w:rPr>
      </w:pPr>
    </w:p>
    <w:p>
      <w:pPr>
        <w:ind w:firstLine="259"/>
        <w:spacing w:after="0" w:line="289" w:lineRule="auto"/>
        <w:rPr>
          <w:sz w:val="20"/>
          <w:szCs w:val="20"/>
          <w:color w:val="auto"/>
        </w:rPr>
      </w:pPr>
      <w:r>
        <w:rPr>
          <w:rFonts w:ascii="Arial" w:cs="Arial" w:eastAsia="Arial" w:hAnsi="Arial"/>
          <w:sz w:val="16"/>
          <w:szCs w:val="16"/>
          <w:color w:val="auto"/>
        </w:rPr>
        <w:t>Holders may convert their 2019 Convertible Notes at their option at any time prior to June 15, 2019 only under the following circumstances: (1) 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2019 Convertible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Convertible Notes</w:t>
      </w:r>
    </w:p>
    <w:p>
      <w:pPr>
        <w:spacing w:after="0" w:line="117" w:lineRule="exact"/>
        <w:rPr>
          <w:sz w:val="20"/>
          <w:szCs w:val="20"/>
          <w:color w:val="auto"/>
        </w:rPr>
      </w:pPr>
    </w:p>
    <w:p>
      <w:pPr>
        <w:ind w:right="60" w:firstLine="259"/>
        <w:spacing w:after="0" w:line="268" w:lineRule="auto"/>
        <w:rPr>
          <w:sz w:val="20"/>
          <w:szCs w:val="20"/>
          <w:color w:val="auto"/>
        </w:rPr>
      </w:pPr>
      <w:r>
        <w:rPr>
          <w:rFonts w:ascii="Arial" w:cs="Arial" w:eastAsia="Arial" w:hAnsi="Arial"/>
          <w:sz w:val="17"/>
          <w:szCs w:val="17"/>
          <w:color w:val="auto"/>
        </w:rPr>
        <w:t>In February 2017, the Company issued in a private offering $115 million aggregate principal amount convertible notes due August 2022 (the “2022 Convertible Notes” and, together with the 2019 Convertible Notes, the “Convertible Notes”). The 2022 Convertible Notes were issued in a private placement only to qualified institutional buyers pursuant to Rule 144A under the Securities Act. The 2022 Convertible Notes are unsecured, and bear interest at a rate of 4.50% per year, payable semiannually. The 2022 Convertible Notes will mature on August 1, 2022. In certain circumstances, the 2022 Convertible Notes will be convertible into cash, shares of the Company’s common stock or a combination of cash and shares of the Company’s common stock, at the Company’s election, at an initial conversion rate of 46.8516 shares of common stock per $1,000 principal amount of 2022 Convertible Notes, which is equivalent to an initial conversion price of approximately $21.34 per share of the Company’s common stock, subject to customary anti-dilution adjustments. As of June 30, 2019, the estimated adjusted conversion price was approximately $20.78 per share of common stock. The sale of the 2022 Convertible Notes generated net proceeds of approximately $111.2 million. The Company used the net proceeds of the offering to pay down debt under the Revolving Credit Facility. In connection with the offering of 2022 Convertible Notes, the Company has entered into an interest rate swap to continue to align the interest rates of its liabilities with its investment portfolio, which consists of predominately floating rate loans. As a result of the swap, the Company’s effective interest rate on the original issuance of 2022 Convertible Notes is three-month LIBOR plus 2.37%. See Note 5 for further information related to the Company’s interest rate swaps.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7" w:name="page38"/>
    <w:bookmarkEnd w:id="37"/>
    <w:p>
      <w:pPr>
        <w:ind w:right="40" w:firstLine="259"/>
        <w:spacing w:after="0" w:line="273" w:lineRule="auto"/>
        <w:rPr>
          <w:sz w:val="20"/>
          <w:szCs w:val="20"/>
          <w:color w:val="auto"/>
        </w:rPr>
      </w:pPr>
      <w:r>
        <w:rPr>
          <w:rFonts w:ascii="Arial" w:cs="Arial" w:eastAsia="Arial" w:hAnsi="Arial"/>
          <w:sz w:val="17"/>
          <w:szCs w:val="17"/>
          <w:color w:val="auto"/>
        </w:rPr>
        <w:t>In June 2018, the Company issued an additional $57.5 million aggregate principal amount of 2022 Convertible Notes. The additional Convertible Notes were issued with identical terms, and are fungible with and are part of a single series with the previously outstanding $115 million aggregate principal amount of the Company’s existing 2022 Convertible Notes issued in February 2017. In connection with the reopening of the 2022 Convertible Notes, the Company entered into interest rate swaps to continue to align the interest rates of its liabilities with its investment portfolio, which consists of predominantly floating rate loans. As a result of the additional swaps, the Company’s effective interest rate on the additional 2022 Convertible Notes is approximately three-month LIBOR plus 1.60%. See Note 5 for further information related to the Company’s interest rate swaps.</w:t>
      </w:r>
    </w:p>
    <w:p>
      <w:pPr>
        <w:spacing w:after="0" w:line="178" w:lineRule="exact"/>
        <w:rPr>
          <w:sz w:val="20"/>
          <w:szCs w:val="20"/>
          <w:color w:val="auto"/>
        </w:rPr>
      </w:pPr>
    </w:p>
    <w:p>
      <w:pPr>
        <w:ind w:right="20" w:firstLine="259"/>
        <w:spacing w:after="0" w:line="289" w:lineRule="auto"/>
        <w:rPr>
          <w:sz w:val="20"/>
          <w:szCs w:val="20"/>
          <w:color w:val="auto"/>
        </w:rPr>
      </w:pPr>
      <w:r>
        <w:rPr>
          <w:rFonts w:ascii="Arial" w:cs="Arial" w:eastAsia="Arial" w:hAnsi="Arial"/>
          <w:sz w:val="16"/>
          <w:szCs w:val="16"/>
          <w:color w:val="auto"/>
        </w:rPr>
        <w:t>Holders may convert their 2022 Convertible Notes at their option at any time prior to February 1, 2022 only under the following circumstances: (1) 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2022 Convertible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67" w:lineRule="exact"/>
        <w:rPr>
          <w:sz w:val="20"/>
          <w:szCs w:val="20"/>
          <w:color w:val="auto"/>
        </w:rPr>
      </w:pPr>
    </w:p>
    <w:p>
      <w:pPr>
        <w:ind w:right="60" w:firstLine="259"/>
        <w:spacing w:after="0" w:line="276" w:lineRule="auto"/>
        <w:rPr>
          <w:sz w:val="20"/>
          <w:szCs w:val="20"/>
          <w:color w:val="auto"/>
        </w:rPr>
      </w:pPr>
      <w:r>
        <w:rPr>
          <w:rFonts w:ascii="Arial" w:cs="Arial" w:eastAsia="Arial" w:hAnsi="Arial"/>
          <w:sz w:val="17"/>
          <w:szCs w:val="17"/>
          <w:color w:val="auto"/>
        </w:rPr>
        <w:t>The Convertible Notes are the Company’s unsecured obligations and rank senior in right of payment to the Company’s future indebtedness that is expressly subordinated in right of payment to the Convertible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the three and six months ended June 30, 2019 and 2018, the components of interest expense related to the Convertible Notes were as follows: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9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June 30, 2019</w:t>
            </w:r>
          </w:p>
        </w:tc>
        <w:tc>
          <w:tcPr>
            <w:tcW w:w="200" w:type="dxa"/>
            <w:vAlign w:val="bottom"/>
          </w:tcPr>
          <w:p>
            <w:pPr>
              <w:spacing w:after="0"/>
              <w:rPr>
                <w:sz w:val="13"/>
                <w:szCs w:val="13"/>
                <w:color w:val="auto"/>
              </w:rPr>
            </w:pPr>
          </w:p>
        </w:tc>
        <w:tc>
          <w:tcPr>
            <w:tcW w:w="9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June 30, 2018</w:t>
            </w:r>
          </w:p>
        </w:tc>
        <w:tc>
          <w:tcPr>
            <w:tcW w:w="200" w:type="dxa"/>
            <w:vAlign w:val="bottom"/>
          </w:tcPr>
          <w:p>
            <w:pPr>
              <w:spacing w:after="0"/>
              <w:rPr>
                <w:sz w:val="13"/>
                <w:szCs w:val="13"/>
                <w:color w:val="auto"/>
              </w:rPr>
            </w:pPr>
          </w:p>
        </w:tc>
        <w:tc>
          <w:tcPr>
            <w:tcW w:w="112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June 30, 2019</w:t>
            </w:r>
          </w:p>
        </w:tc>
        <w:tc>
          <w:tcPr>
            <w:tcW w:w="20" w:type="dxa"/>
            <w:vAlign w:val="bottom"/>
          </w:tcPr>
          <w:p>
            <w:pPr>
              <w:spacing w:after="0"/>
              <w:rPr>
                <w:sz w:val="13"/>
                <w:szCs w:val="13"/>
                <w:color w:val="auto"/>
              </w:rPr>
            </w:pPr>
          </w:p>
        </w:tc>
        <w:tc>
          <w:tcPr>
            <w:tcW w:w="9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2"/>
              </w:rPr>
              <w:t>June 30, 2018</w:t>
            </w:r>
          </w:p>
        </w:tc>
        <w:tc>
          <w:tcPr>
            <w:tcW w:w="80" w:type="dxa"/>
            <w:vAlign w:val="bottom"/>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40" w:type="dxa"/>
            <w:vAlign w:val="bottom"/>
            <w:tcBorders>
              <w:top w:val="single" w:sz="8" w:color="auto"/>
            </w:tcBorders>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3,234</w:t>
            </w: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2,657</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6,469</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63"/>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5,245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2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20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3,264</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63"/>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6,389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Total interest expense in the table above does not include the effect of the interest rate swaps related to the Convertible Notes. During the three and six months ended June 30, 2019, the Company received $3.2 million and $6.5 million, respectively, and paid $3.7 million and $7.4 million, respectively, related to the settlements of its interest rate swaps related to the Convertible Notes. During the three and six months ended June 30, 2018, the Company received $2.6 million and $5.2 million, respectively, and paid $2.9 million and $5.3 million, respectively, related to the settlements of its interest rate swaps related to the Convertible Notes. These net amounts are reflected in interest expense in the Company’s consolidated statements of operations. Please see Note 5 for further information about the Company’s interest rate swaps.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As of June 30, 2019 and December 31, 2018, the components of the carrying value of the Convertible Notes and the stated interest rate were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June 30, 2019</w:t>
            </w:r>
          </w:p>
        </w:tc>
        <w:tc>
          <w:tcPr>
            <w:tcW w:w="1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1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jc w:val="center"/>
              <w:ind w:right="258"/>
              <w:spacing w:after="0" w:line="147" w:lineRule="exact"/>
              <w:rPr>
                <w:sz w:val="20"/>
                <w:szCs w:val="20"/>
                <w:color w:val="auto"/>
              </w:rPr>
            </w:pPr>
            <w:r>
              <w:rPr>
                <w:rFonts w:ascii="Arial" w:cs="Arial" w:eastAsia="Arial" w:hAnsi="Arial"/>
                <w:sz w:val="14"/>
                <w:szCs w:val="14"/>
                <w:b w:val="1"/>
                <w:bCs w:val="1"/>
                <w:color w:val="auto"/>
                <w:w w:val="96"/>
              </w:rPr>
              <w:t>2019</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tcPr>
          <w:p>
            <w:pPr>
              <w:jc w:val="center"/>
              <w:ind w:right="317"/>
              <w:spacing w:after="0" w:line="147" w:lineRule="exact"/>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Notes</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Notes</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172,500</w:t>
            </w:r>
          </w:p>
        </w:tc>
        <w:tc>
          <w:tcPr>
            <w:tcW w:w="1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(727)</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(2,943)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1140"/>
              <w:spacing w:after="0"/>
              <w:rPr>
                <w:sz w:val="20"/>
                <w:szCs w:val="20"/>
                <w:color w:val="auto"/>
              </w:rPr>
            </w:pPr>
            <w:r>
              <w:rPr>
                <w:rFonts w:ascii="Arial" w:cs="Arial" w:eastAsia="Arial" w:hAnsi="Arial"/>
                <w:sz w:val="18"/>
                <w:szCs w:val="18"/>
                <w:color w:val="auto"/>
              </w:rPr>
              <w:t>Carrying value of debt</w:t>
            </w:r>
          </w:p>
        </w:tc>
        <w:tc>
          <w:tcPr>
            <w:tcW w:w="126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114,327</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168,830</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000000"/>
          </w:tcPr>
          <w:p>
            <w:pPr>
              <w:spacing w:after="0" w:line="20" w:lineRule="exact"/>
              <w:rPr>
                <w:sz w:val="1"/>
                <w:szCs w:val="1"/>
                <w:color w:val="auto"/>
              </w:rPr>
            </w:pPr>
          </w:p>
        </w:tc>
        <w:tc>
          <w:tcPr>
            <w:tcW w:w="1520" w:type="dxa"/>
            <w:vAlign w:val="bottom"/>
            <w:tcBorders>
              <w:top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000000"/>
          </w:tcPr>
          <w:p>
            <w:pPr>
              <w:spacing w:after="0" w:line="20" w:lineRule="exact"/>
              <w:rPr>
                <w:sz w:val="1"/>
                <w:szCs w:val="1"/>
                <w:color w:val="auto"/>
              </w:rPr>
            </w:pPr>
          </w:p>
        </w:tc>
        <w:tc>
          <w:tcPr>
            <w:tcW w:w="1440" w:type="dxa"/>
            <w:vAlign w:val="bottom"/>
            <w:tcBorders>
              <w:top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660" w:type="dxa"/>
            <w:vAlign w:val="bottom"/>
            <w:vMerge w:val="continue"/>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38" w:name="page39"/>
    <w:bookmarkEnd w:id="38"/>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 2018</w:t>
            </w:r>
          </w:p>
        </w:tc>
        <w:tc>
          <w:tcPr>
            <w:tcW w:w="1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jc w:val="center"/>
              <w:ind w:right="258"/>
              <w:spacing w:after="0" w:line="147" w:lineRule="exact"/>
              <w:rPr>
                <w:sz w:val="20"/>
                <w:szCs w:val="20"/>
                <w:color w:val="auto"/>
              </w:rPr>
            </w:pPr>
            <w:r>
              <w:rPr>
                <w:rFonts w:ascii="Arial" w:cs="Arial" w:eastAsia="Arial" w:hAnsi="Arial"/>
                <w:sz w:val="14"/>
                <w:szCs w:val="14"/>
                <w:b w:val="1"/>
                <w:bCs w:val="1"/>
                <w:color w:val="auto"/>
                <w:w w:val="96"/>
              </w:rPr>
              <w:t>2019</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tcPr>
          <w:p>
            <w:pPr>
              <w:jc w:val="center"/>
              <w:ind w:right="397"/>
              <w:spacing w:after="0" w:line="147" w:lineRule="exact"/>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7"/>
              </w:rPr>
              <w:t>Notes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10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115,000</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172,500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(3,416)</w:t>
            </w:r>
          </w:p>
        </w:tc>
        <w:tc>
          <w:tcPr>
            <w:tcW w:w="0" w:type="dxa"/>
            <w:vAlign w:val="bottom"/>
          </w:tcPr>
          <w:p>
            <w:pPr>
              <w:spacing w:after="0"/>
              <w:rPr>
                <w:sz w:val="1"/>
                <w:szCs w:val="1"/>
                <w:color w:val="auto"/>
              </w:rPr>
            </w:pPr>
          </w:p>
        </w:tc>
      </w:tr>
      <w:tr>
        <w:trPr>
          <w:trHeight w:val="243"/>
        </w:trPr>
        <w:tc>
          <w:tcPr>
            <w:tcW w:w="3900" w:type="dxa"/>
            <w:vAlign w:val="bottom"/>
            <w:gridSpan w:val="2"/>
          </w:tcPr>
          <w:p>
            <w:pPr>
              <w:spacing w:after="0"/>
              <w:rPr>
                <w:sz w:val="20"/>
                <w:szCs w:val="20"/>
                <w:color w:val="auto"/>
              </w:rPr>
            </w:pPr>
            <w:r>
              <w:rPr>
                <w:rFonts w:ascii="Arial" w:cs="Arial" w:eastAsia="Arial" w:hAnsi="Arial"/>
                <w:sz w:val="18"/>
                <w:szCs w:val="18"/>
                <w:color w:val="auto"/>
              </w:rPr>
              <w:t>Carrying value of debt</w:t>
            </w:r>
          </w:p>
        </w:tc>
        <w:tc>
          <w:tcPr>
            <w:tcW w:w="104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113,606</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168,251</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000000"/>
          </w:tcPr>
          <w:p>
            <w:pPr>
              <w:spacing w:after="0" w:line="20" w:lineRule="exact"/>
              <w:rPr>
                <w:sz w:val="1"/>
                <w:szCs w:val="1"/>
                <w:color w:val="auto"/>
              </w:rPr>
            </w:pPr>
          </w:p>
        </w:tc>
        <w:tc>
          <w:tcPr>
            <w:tcW w:w="1520" w:type="dxa"/>
            <w:vAlign w:val="bottom"/>
            <w:tcBorders>
              <w:top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000000"/>
          </w:tcPr>
          <w:p>
            <w:pPr>
              <w:spacing w:after="0" w:line="20" w:lineRule="exact"/>
              <w:rPr>
                <w:sz w:val="1"/>
                <w:szCs w:val="1"/>
                <w:color w:val="auto"/>
              </w:rPr>
            </w:pPr>
          </w:p>
        </w:tc>
        <w:tc>
          <w:tcPr>
            <w:tcW w:w="1360" w:type="dxa"/>
            <w:vAlign w:val="bottom"/>
            <w:tcBorders>
              <w:top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vMerge w:val="continue"/>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The stated interest rate in the table above does not include the effect of the interest rate swaps. The Company’s swap-adjusted interest rate on the Convertible Notes is three month LIBOR plus 2.86% for the 2019 Convertible Notes, and three month LIBOR plus 2.11% (on a weighted average basis) for the 2022 Convertible Notes. Please see Note 5 for further information about the Company’s interest rate swaps.</w:t>
      </w:r>
    </w:p>
    <w:p>
      <w:pPr>
        <w:spacing w:after="0" w:line="181" w:lineRule="exact"/>
        <w:rPr>
          <w:sz w:val="20"/>
          <w:szCs w:val="20"/>
          <w:color w:val="auto"/>
        </w:rPr>
      </w:pPr>
    </w:p>
    <w:p>
      <w:pPr>
        <w:ind w:right="20" w:firstLine="259"/>
        <w:spacing w:after="0" w:line="302" w:lineRule="auto"/>
        <w:rPr>
          <w:sz w:val="20"/>
          <w:szCs w:val="20"/>
          <w:color w:val="auto"/>
        </w:rPr>
      </w:pPr>
      <w:r>
        <w:rPr>
          <w:rFonts w:ascii="Arial" w:cs="Arial" w:eastAsia="Arial" w:hAnsi="Arial"/>
          <w:sz w:val="16"/>
          <w:szCs w:val="16"/>
          <w:color w:val="auto"/>
        </w:rPr>
        <w:t>The indentures governing the Convertible Notes contain certain covenants, including covenants requiring the Company to comply with the applicable asset coverage ratio requirement under the 1940 Act and to provide financial information to the holders of the Convertible Notes under certain circumstances. These covenants are subject to important limitations and exceptions that are described in the indentures governing the Convertible Notes. As of June 30, 2019 and December 31, 2018, the Company was in compliance with the terms of the indentures governing the Convertible Notes.</w:t>
      </w:r>
    </w:p>
    <w:p>
      <w:pPr>
        <w:spacing w:after="0" w:line="154" w:lineRule="exact"/>
        <w:rPr>
          <w:sz w:val="20"/>
          <w:szCs w:val="20"/>
          <w:color w:val="auto"/>
        </w:rPr>
      </w:pPr>
    </w:p>
    <w:p>
      <w:pPr>
        <w:ind w:right="60" w:firstLine="259"/>
        <w:spacing w:after="0" w:line="289" w:lineRule="auto"/>
        <w:rPr>
          <w:sz w:val="20"/>
          <w:szCs w:val="20"/>
          <w:color w:val="auto"/>
        </w:rPr>
      </w:pPr>
      <w:r>
        <w:rPr>
          <w:rFonts w:ascii="Arial" w:cs="Arial" w:eastAsia="Arial" w:hAnsi="Arial"/>
          <w:sz w:val="16"/>
          <w:szCs w:val="16"/>
          <w:color w:val="auto"/>
        </w:rPr>
        <w:t>The Convertible Notes are accounted for in accordance with Accounting Standards Codification (“ASC”) 470-20. Upon conversion of any of the Convertible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indentures governing the Convertible Notes. The Company has determined that the embedded conversion options in each series of Convertible Notes are not required to be separately accounted for as a derivative under U.S. GAAP. In accounting for the Convertible Notes, the Company estimated at the time of issuance separate debt and equity components of each series of Convertible Notes. An original issue discount equal to the equity components of each series of Convertible Notes was recorded in “additional paid-in capital” in the accompanying consolidated balance sheet. Additionally, the issuance costs associated with the Convertible Notes were allocated to the debt and equity components in proportion to the allocation of the proceeds and accounted for as deferred financing costs and equity issuance costs, respectively.</w:t>
      </w:r>
    </w:p>
    <w:p>
      <w:pPr>
        <w:spacing w:after="0" w:line="167" w:lineRule="exact"/>
        <w:rPr>
          <w:sz w:val="20"/>
          <w:szCs w:val="20"/>
          <w:color w:val="auto"/>
        </w:rPr>
      </w:pPr>
    </w:p>
    <w:p>
      <w:pPr>
        <w:ind w:right="420" w:firstLine="259"/>
        <w:spacing w:after="0" w:line="277" w:lineRule="auto"/>
        <w:rPr>
          <w:sz w:val="20"/>
          <w:szCs w:val="20"/>
          <w:color w:val="auto"/>
        </w:rPr>
      </w:pPr>
      <w:r>
        <w:rPr>
          <w:rFonts w:ascii="Arial" w:cs="Arial" w:eastAsia="Arial" w:hAnsi="Arial"/>
          <w:sz w:val="18"/>
          <w:szCs w:val="18"/>
          <w:color w:val="auto"/>
        </w:rPr>
        <w:t>As of June 30, 2019 and 2018, the principal amount of the Convertible Notes exceeded the value of the underlying shares multiplied by the per share closing price of the Company’s common stock.</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Notes</w:t>
      </w:r>
    </w:p>
    <w:p>
      <w:pPr>
        <w:spacing w:after="0" w:line="11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In January 2018, the Company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the Company’s option at any time at par plus a “make whole” premium. Total proceeds from the issuance of the 2023 Notes, net of underwriting discounts and offering costs, were $146.9 million. The Company used the net proceeds of the 2023 Notes to repay outstanding indebtedness under the Revolving Credit Facility.</w:t>
      </w:r>
    </w:p>
    <w:p>
      <w:pPr>
        <w:spacing w:after="0" w:line="188" w:lineRule="exact"/>
        <w:rPr>
          <w:sz w:val="20"/>
          <w:szCs w:val="20"/>
          <w:color w:val="auto"/>
        </w:rPr>
      </w:pPr>
    </w:p>
    <w:p>
      <w:pPr>
        <w:ind w:right="140" w:firstLine="259"/>
        <w:spacing w:after="0" w:line="286" w:lineRule="auto"/>
        <w:rPr>
          <w:sz w:val="20"/>
          <w:szCs w:val="20"/>
          <w:color w:val="auto"/>
        </w:rPr>
      </w:pPr>
      <w:r>
        <w:rPr>
          <w:rFonts w:ascii="Arial" w:cs="Arial" w:eastAsia="Arial" w:hAnsi="Arial"/>
          <w:sz w:val="17"/>
          <w:szCs w:val="17"/>
          <w:color w:val="auto"/>
        </w:rPr>
        <w:t>In connection with the 2023 Notes offering, the Company entered into an interest rate swap to continue to align the interest rates of its liabilities with the Company’s investment portfolio, which consists of predominately floating rate loans. As a result of the swap, the Company’s effective interest rate on the 2023 Notes is three-month LIBOR plus 1.99%. Please see Note 5 for further information about the Company’s interest rate swaps.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43" w:right="259" w:bottom="1440" w:gutter="0" w:footer="0" w:header="0"/>
        </w:sectPr>
      </w:pPr>
    </w:p>
    <w:bookmarkStart w:id="39" w:name="page40"/>
    <w:bookmarkEnd w:id="39"/>
    <w:p>
      <w:pPr>
        <w:ind w:left="260"/>
        <w:spacing w:after="0"/>
        <w:rPr>
          <w:sz w:val="20"/>
          <w:szCs w:val="20"/>
          <w:color w:val="auto"/>
        </w:rPr>
      </w:pPr>
      <w:r>
        <w:rPr>
          <w:rFonts w:ascii="Arial" w:cs="Arial" w:eastAsia="Arial" w:hAnsi="Arial"/>
          <w:sz w:val="17"/>
          <w:szCs w:val="17"/>
          <w:color w:val="auto"/>
        </w:rPr>
        <w:t>For the three and six months ended June 30, 2019 and 2018, the components of interest expense related to the 2023 Notes were as follows: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ind w:left="480"/>
              <w:spacing w:after="0"/>
              <w:rPr>
                <w:sz w:val="20"/>
                <w:szCs w:val="20"/>
                <w:color w:val="auto"/>
              </w:rPr>
            </w:pPr>
            <w:r>
              <w:rPr>
                <w:rFonts w:ascii="Arial" w:cs="Arial" w:eastAsia="Arial" w:hAnsi="Arial"/>
                <w:sz w:val="14"/>
                <w:szCs w:val="14"/>
                <w:b w:val="1"/>
                <w:bCs w:val="1"/>
                <w:color w:val="auto"/>
              </w:rPr>
              <w:t>Six Months Ended</w:t>
            </w:r>
          </w:p>
        </w:tc>
      </w:tr>
      <w:tr>
        <w:trPr>
          <w:trHeight w:val="156"/>
        </w:trPr>
        <w:tc>
          <w:tcPr>
            <w:tcW w:w="53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w w:val="90"/>
              </w:rPr>
              <w:t>June 30, 2019</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4"/>
              <w:spacing w:after="0" w:line="155" w:lineRule="exact"/>
              <w:rPr>
                <w:sz w:val="20"/>
                <w:szCs w:val="20"/>
                <w:color w:val="auto"/>
              </w:rPr>
            </w:pPr>
            <w:r>
              <w:rPr>
                <w:rFonts w:ascii="Arial" w:cs="Arial" w:eastAsia="Arial" w:hAnsi="Arial"/>
                <w:sz w:val="14"/>
                <w:szCs w:val="14"/>
                <w:b w:val="1"/>
                <w:bCs w:val="1"/>
                <w:color w:val="auto"/>
                <w:w w:val="90"/>
              </w:rPr>
              <w:t>June 30, 2018</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June 30, 2019</w:t>
            </w: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4"/>
              <w:spacing w:after="0" w:line="155" w:lineRule="exact"/>
              <w:rPr>
                <w:sz w:val="20"/>
                <w:szCs w:val="20"/>
                <w:color w:val="auto"/>
              </w:rPr>
            </w:pPr>
            <w:r>
              <w:rPr>
                <w:rFonts w:ascii="Arial" w:cs="Arial" w:eastAsia="Arial" w:hAnsi="Arial"/>
                <w:sz w:val="14"/>
                <w:szCs w:val="14"/>
                <w:b w:val="1"/>
                <w:bCs w:val="1"/>
                <w:color w:val="auto"/>
                <w:w w:val="90"/>
              </w:rPr>
              <w:t>June 30, 2018</w:t>
            </w:r>
          </w:p>
        </w:tc>
        <w:tc>
          <w:tcPr>
            <w:tcW w:w="120" w:type="dxa"/>
            <w:vAlign w:val="bottom"/>
          </w:tcPr>
          <w:p>
            <w:pPr>
              <w:spacing w:after="0"/>
              <w:rPr>
                <w:sz w:val="13"/>
                <w:szCs w:val="13"/>
                <w:color w:val="auto"/>
              </w:rPr>
            </w:pPr>
          </w:p>
        </w:tc>
      </w:tr>
      <w:tr>
        <w:trPr>
          <w:trHeight w:val="223"/>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1,688</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costs</w:t>
            </w: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FF0FC"/>
          </w:tcPr>
          <w:p>
            <w:pPr>
              <w:spacing w:after="0"/>
              <w:rPr>
                <w:sz w:val="19"/>
                <w:szCs w:val="19"/>
                <w:color w:val="auto"/>
              </w:rPr>
            </w:pPr>
          </w:p>
        </w:tc>
      </w:tr>
      <w:tr>
        <w:trPr>
          <w:trHeight w:val="223"/>
        </w:trPr>
        <w:tc>
          <w:tcPr>
            <w:tcW w:w="5320" w:type="dxa"/>
            <w:vAlign w:val="bottom"/>
          </w:tcPr>
          <w:p>
            <w:pPr>
              <w:ind w:left="240"/>
              <w:spacing w:after="0"/>
              <w:rPr>
                <w:sz w:val="20"/>
                <w:szCs w:val="20"/>
                <w:color w:val="auto"/>
              </w:rPr>
            </w:pPr>
            <w:r>
              <w:rPr>
                <w:rFonts w:ascii="Arial" w:cs="Arial" w:eastAsia="Arial" w:hAnsi="Arial"/>
                <w:sz w:val="18"/>
                <w:szCs w:val="18"/>
                <w:b w:val="1"/>
                <w:bCs w:val="1"/>
                <w:color w:val="auto"/>
              </w:rPr>
              <w:t>Total Interest Expense</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2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3,253</w:t>
            </w:r>
          </w:p>
        </w:tc>
        <w:tc>
          <w:tcPr>
            <w:tcW w:w="12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140" w:firstLine="259"/>
        <w:spacing w:after="0" w:line="255" w:lineRule="auto"/>
        <w:rPr>
          <w:sz w:val="20"/>
          <w:szCs w:val="20"/>
          <w:color w:val="auto"/>
        </w:rPr>
      </w:pPr>
      <w:r>
        <w:rPr>
          <w:rFonts w:ascii="Arial" w:cs="Arial" w:eastAsia="Arial" w:hAnsi="Arial"/>
          <w:sz w:val="18"/>
          <w:szCs w:val="18"/>
          <w:color w:val="auto"/>
        </w:rPr>
        <w:t>Total interest expense in the table above does not include the effect of the interest rate swap related to the 2023 Notes. During the three and six months ended June 30, 2019, the Company received $1.7 million and $3.4 million, respectively, and paid $1.7 million and $3.5 million, respectively, related to the settlements of its interest rate swap related to the 2023 Notes. During the three and six months ended June 30, 2018 the Company received $1.7 million and $2.9 million, respectively, and paid $1.6 million and $2.7 million, respectively, related to the settlements of its interest rate swap related to the 2023 Notes. These net amounts are reflected in interest expense in the Company’s consolidated statements of operations. Please see Note 5 for further information about the Company’s interest rate swaps.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June 30, 2019 and December 31, 2018, the components of the carrying value of the 2023 Notes and the stated interest rate were as follows:</w:t>
      </w:r>
    </w:p>
    <w:p>
      <w:pPr>
        <w:spacing w:after="0" w:line="309"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December 31, 2018</w:t>
            </w:r>
          </w:p>
        </w:tc>
      </w:tr>
      <w:tr>
        <w:trPr>
          <w:trHeight w:val="223"/>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amount of debt</w:t>
            </w: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22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costs</w:t>
            </w: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(2,297)</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(2,619)</w:t>
            </w:r>
          </w:p>
        </w:tc>
      </w:tr>
      <w:tr>
        <w:trPr>
          <w:trHeight w:val="263"/>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Carrying value of debt</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147,669</w:t>
            </w:r>
          </w:p>
        </w:tc>
        <w:tc>
          <w:tcPr>
            <w:tcW w:w="2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147,343</w:t>
            </w:r>
          </w:p>
        </w:tc>
        <w:tc>
          <w:tcPr>
            <w:tcW w:w="180" w:type="dxa"/>
            <w:vAlign w:val="bottom"/>
            <w:tcBorders>
              <w:bottom w:val="single" w:sz="8" w:color="CFF0FC"/>
            </w:tcBorders>
          </w:tcPr>
          <w:p>
            <w:pPr>
              <w:spacing w:after="0"/>
              <w:rPr>
                <w:sz w:val="22"/>
                <w:szCs w:val="22"/>
                <w:color w:val="auto"/>
              </w:rPr>
            </w:pPr>
          </w:p>
        </w:tc>
      </w:tr>
      <w:tr>
        <w:trPr>
          <w:trHeight w:val="21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Stated interest rate</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w:t>
            </w:r>
          </w:p>
        </w:tc>
      </w:tr>
    </w:tbl>
    <w:p>
      <w:pPr>
        <w:spacing w:after="0" w:line="229" w:lineRule="exact"/>
        <w:rPr>
          <w:sz w:val="20"/>
          <w:szCs w:val="20"/>
          <w:color w:val="auto"/>
        </w:rPr>
      </w:pPr>
    </w:p>
    <w:p>
      <w:pPr>
        <w:ind w:right="340" w:firstLine="259"/>
        <w:spacing w:after="0" w:line="308" w:lineRule="auto"/>
        <w:rPr>
          <w:sz w:val="20"/>
          <w:szCs w:val="20"/>
          <w:color w:val="auto"/>
        </w:rPr>
      </w:pPr>
      <w:r>
        <w:rPr>
          <w:rFonts w:ascii="Arial" w:cs="Arial" w:eastAsia="Arial" w:hAnsi="Arial"/>
          <w:sz w:val="17"/>
          <w:szCs w:val="17"/>
          <w:color w:val="auto"/>
        </w:rPr>
        <w:t>The stated interest rate in the table above does not include the effect of the interest rate swap. The Company’s swap-adjusted interest rate on the 2023 Notes is three month LIBOR plus 1.99%. Please see Note 5 for further information about the Company’s interest rate swaps.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2019 and December 31, 2018, the Company was in compliance with the terms of the indenture governing the 2023 Notes.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40" w:name="page41"/>
    <w:bookmarkEnd w:id="40"/>
    <w:p>
      <w:pPr>
        <w:ind w:left="260"/>
        <w:spacing w:after="0"/>
        <w:rPr>
          <w:sz w:val="20"/>
          <w:szCs w:val="20"/>
          <w:color w:val="auto"/>
        </w:rPr>
      </w:pPr>
      <w:r>
        <w:rPr>
          <w:rFonts w:ascii="Arial" w:cs="Arial" w:eastAsia="Arial" w:hAnsi="Arial"/>
          <w:sz w:val="17"/>
          <w:szCs w:val="17"/>
          <w:color w:val="auto"/>
        </w:rPr>
        <w:t>As of June 30, 2019 and December 31, 2018, the Company had the following commitments to fund investments in current portfolio companies:</w:t>
      </w:r>
    </w:p>
    <w:p>
      <w:pPr>
        <w:spacing w:after="0" w:line="30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211"/>
              <w:spacing w:after="0"/>
              <w:rPr>
                <w:sz w:val="20"/>
                <w:szCs w:val="20"/>
                <w:color w:val="auto"/>
              </w:rPr>
            </w:pPr>
            <w:r>
              <w:rPr>
                <w:rFonts w:ascii="Arial" w:cs="Arial" w:eastAsia="Arial" w:hAnsi="Arial"/>
                <w:sz w:val="14"/>
                <w:szCs w:val="14"/>
                <w:b w:val="1"/>
                <w:bCs w:val="1"/>
                <w:color w:val="auto"/>
              </w:rPr>
              <w:t>June 30, 2019</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7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AppStar Financial, LLC - Revolver</w:t>
            </w: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Caris Life Sciences, Ltd. - Delayed Draw</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ClearCompany, LLC - Delayed Draw</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Clinicient, Inc. - Revolver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Ferrellgas, L.P. - Revolver</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Frontline Technologies Group, LLC - Delayed Draw</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7,291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9,377</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G Treasury SS, LLC - Delayed Draw</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G Treasury SS, LLC - Revolver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Government Brands, LLC - Revolver</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Integration Appliance, Inc. - Revolver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2,619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2,619</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IRGSE Holding Corp. - Revolver</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Kyriba Corp. - Delayed Draw</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8,323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Kyriba Corp. - Revolver</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1,832</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Lithium Technologies, LLC - Revolver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3,959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3,959</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MD America Energy, LLC - Delayed Draw</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Motus, LLC - Revolver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5,619</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PageUp People, Ltd. - Revolver</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PayLease, LLC - Revolver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3,333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3,333</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PayScale Holdings, Inc. - Delayed Draw</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PrimeRevenue, Inc. - Revolver</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6,250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6,250</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ScentAir Technologies, Inc. - Revolver</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Sovos Compliance, LLC - Delayed Draw</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Sovos Compliance, LLC - Revolver</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TherapeuticsMD, Inc. - Delayed Draw A1</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TherapeuticsMD, Inc. - Delayed Draw A2</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Valant Medical Solutions, Inc. - Delayed Draw</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2,803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Valant Medical Solutions, Inc. - Revolver</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Verdad Resources Intermediate Holdings, LLC - Delayed Draw</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7,778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0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Portfolio Company Commitments</w:t>
            </w: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130,703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60" w:firstLine="259"/>
        <w:spacing w:after="0" w:line="277" w:lineRule="auto"/>
        <w:rPr>
          <w:sz w:val="20"/>
          <w:szCs w:val="20"/>
          <w:color w:val="auto"/>
        </w:rPr>
      </w:pPr>
      <w:r>
        <w:rPr>
          <w:rFonts w:ascii="Arial" w:cs="Arial" w:eastAsia="Arial" w:hAnsi="Arial"/>
          <w:sz w:val="18"/>
          <w:szCs w:val="18"/>
          <w:color w:val="auto"/>
        </w:rPr>
        <w:t>As of June 30, 2019 and December 31, 2018, the Company did not have any unfunded commitments to fund investments to new borrowers that were not current portfolio companies as of June 30, 2019 or December 31, 2018, respectively.</w:t>
      </w:r>
    </w:p>
    <w:p>
      <w:pPr>
        <w:spacing w:after="0" w:line="170"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June 30, 2019 and December 31, 2018, management is not aware of any pending or threatened litigation that would require accounting recognition or financial statement disclosure.</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80" w:firstLine="259"/>
        <w:spacing w:after="0" w:line="286" w:lineRule="auto"/>
        <w:rPr>
          <w:sz w:val="20"/>
          <w:szCs w:val="20"/>
          <w:color w:val="auto"/>
        </w:rPr>
      </w:pPr>
      <w:r>
        <w:rPr>
          <w:rFonts w:ascii="Arial" w:cs="Arial" w:eastAsia="Arial" w:hAnsi="Arial"/>
          <w:sz w:val="17"/>
          <w:szCs w:val="17"/>
          <w:color w:val="auto"/>
        </w:rPr>
        <w:t>In March 2018, the Company issued a total of 3,750,000 shares of common stock at $17.45 per share. Net of underwriting fees and offering costs, the Company received total cash proceeds of $63.0 million. Subsequent to the offering the Company issued an additional 522,224 shares in April 2018 pursuant to the overallotment option granted to underwriters and received, net of underwriting fees, total cash proceeds of $8.8 million.</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41" w:name="page42"/>
    <w:bookmarkEnd w:id="41"/>
    <w:p>
      <w:pPr>
        <w:ind w:right="40" w:firstLine="259"/>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 (i) the most recently computed net asset value per share or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2"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six months ended June 30, 2019 and 2018. All shares issued to stockholders in the tables below are newly issued shares.</w:t>
      </w:r>
    </w:p>
    <w:p>
      <w:pPr>
        <w:spacing w:after="0" w:line="254"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20" w:type="dxa"/>
            <w:vAlign w:val="bottom"/>
            <w:gridSpan w:val="4"/>
          </w:tcPr>
          <w:p>
            <w:pPr>
              <w:jc w:val="center"/>
              <w:ind w:left="278"/>
              <w:spacing w:after="0"/>
              <w:rPr>
                <w:sz w:val="20"/>
                <w:szCs w:val="20"/>
                <w:color w:val="auto"/>
              </w:rPr>
            </w:pPr>
            <w:r>
              <w:rPr>
                <w:rFonts w:ascii="Arial" w:cs="Arial" w:eastAsia="Arial" w:hAnsi="Arial"/>
                <w:sz w:val="14"/>
                <w:szCs w:val="14"/>
                <w:b w:val="1"/>
                <w:bCs w:val="1"/>
                <w:color w:val="auto"/>
                <w:w w:val="93"/>
              </w:rPr>
              <w:t>Six Months Ended</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4"/>
          </w:tcPr>
          <w:p>
            <w:pPr>
              <w:jc w:val="center"/>
              <w:ind w:left="258"/>
              <w:spacing w:after="0"/>
              <w:rPr>
                <w:sz w:val="20"/>
                <w:szCs w:val="20"/>
                <w:color w:val="auto"/>
              </w:rPr>
            </w:pPr>
            <w:r>
              <w:rPr>
                <w:rFonts w:ascii="Arial" w:cs="Arial" w:eastAsia="Arial" w:hAnsi="Arial"/>
                <w:sz w:val="14"/>
                <w:szCs w:val="14"/>
                <w:b w:val="1"/>
                <w:bCs w:val="1"/>
                <w:color w:val="auto"/>
                <w:w w:val="92"/>
              </w:rPr>
              <w:t>June 30, 2019</w:t>
            </w:r>
          </w:p>
        </w:tc>
        <w:tc>
          <w:tcPr>
            <w:tcW w:w="1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Date</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Date Declared</w:t>
            </w:r>
          </w:p>
        </w:tc>
        <w:tc>
          <w:tcPr>
            <w:tcW w:w="30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 xml:space="preserve">Dividend </w:t>
            </w:r>
            <w:r>
              <w:rPr>
                <w:rFonts w:ascii="Arial" w:cs="Arial" w:eastAsia="Arial" w:hAnsi="Arial"/>
                <w:sz w:val="12"/>
                <w:szCs w:val="12"/>
                <w:b w:val="1"/>
                <w:bCs w:val="1"/>
                <w:color w:val="auto"/>
                <w:w w:val="92"/>
              </w:rPr>
              <w:t>(1)</w:t>
            </w:r>
          </w:p>
        </w:tc>
        <w:tc>
          <w:tcPr>
            <w:tcW w:w="2100" w:type="dxa"/>
            <w:vAlign w:val="bottom"/>
            <w:gridSpan w:val="2"/>
          </w:tcPr>
          <w:p>
            <w:pPr>
              <w:ind w:left="600"/>
              <w:spacing w:after="0"/>
              <w:rPr>
                <w:sz w:val="20"/>
                <w:szCs w:val="20"/>
                <w:color w:val="auto"/>
              </w:rPr>
            </w:pPr>
            <w:r>
              <w:rPr>
                <w:rFonts w:ascii="Arial" w:cs="Arial" w:eastAsia="Arial" w:hAnsi="Arial"/>
                <w:sz w:val="14"/>
                <w:szCs w:val="14"/>
                <w:b w:val="1"/>
                <w:bCs w:val="1"/>
                <w:color w:val="auto"/>
              </w:rPr>
              <w:t>Record Date</w:t>
            </w: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 Issued</w:t>
            </w:r>
          </w:p>
        </w:tc>
        <w:tc>
          <w:tcPr>
            <w:tcW w:w="156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6, 2018</w:t>
            </w:r>
          </w:p>
        </w:tc>
        <w:tc>
          <w:tcPr>
            <w:tcW w:w="3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Base</w:t>
            </w:r>
          </w:p>
        </w:tc>
        <w:tc>
          <w:tcPr>
            <w:tcW w:w="100" w:type="dxa"/>
            <w:vAlign w:val="bottom"/>
            <w:tcBorders>
              <w:top w:val="single" w:sz="8" w:color="CFF0FC"/>
            </w:tcBorders>
            <w:shd w:val="clear" w:color="auto" w:fill="CFF0FC"/>
          </w:tcPr>
          <w:p>
            <w:pPr>
              <w:spacing w:after="0"/>
              <w:rPr>
                <w:sz w:val="19"/>
                <w:szCs w:val="19"/>
                <w:color w:val="auto"/>
              </w:rPr>
            </w:pP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14, 2018</w:t>
            </w:r>
          </w:p>
        </w:tc>
        <w:tc>
          <w:tcPr>
            <w:tcW w:w="10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January 15, 2019</w:t>
            </w:r>
          </w:p>
        </w:tc>
        <w:tc>
          <w:tcPr>
            <w:tcW w:w="10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212,818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February 20, 2019</w:t>
            </w:r>
          </w:p>
        </w:tc>
        <w:tc>
          <w:tcPr>
            <w:tcW w:w="1420" w:type="dxa"/>
            <w:vAlign w:val="bottom"/>
            <w:gridSpan w:val="3"/>
          </w:tcPr>
          <w:p>
            <w:pPr>
              <w:jc w:val="center"/>
              <w:ind w:left="90"/>
              <w:spacing w:after="0"/>
              <w:rPr>
                <w:sz w:val="20"/>
                <w:szCs w:val="20"/>
                <w:color w:val="auto"/>
              </w:rPr>
            </w:pPr>
            <w:r>
              <w:rPr>
                <w:rFonts w:ascii="Arial" w:cs="Arial" w:eastAsia="Arial" w:hAnsi="Arial"/>
                <w:sz w:val="18"/>
                <w:szCs w:val="18"/>
                <w:color w:val="auto"/>
                <w:w w:val="90"/>
              </w:rPr>
              <w:t>Supplemental</w:t>
            </w: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28, 2019</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March 29, 2019</w:t>
            </w:r>
          </w:p>
        </w:tc>
        <w:tc>
          <w:tcPr>
            <w:tcW w:w="1480" w:type="dxa"/>
            <w:vAlign w:val="bottom"/>
          </w:tcPr>
          <w:p>
            <w:pPr>
              <w:jc w:val="right"/>
              <w:spacing w:after="0"/>
              <w:rPr>
                <w:sz w:val="20"/>
                <w:szCs w:val="20"/>
                <w:color w:val="auto"/>
              </w:rPr>
            </w:pPr>
            <w:r>
              <w:rPr>
                <w:rFonts w:ascii="Arial" w:cs="Arial" w:eastAsia="Arial" w:hAnsi="Arial"/>
                <w:sz w:val="18"/>
                <w:szCs w:val="18"/>
                <w:color w:val="auto"/>
              </w:rPr>
              <w:t>87,327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February 20, 2019</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7"/>
              </w:rPr>
              <w:t>Base</w:t>
            </w:r>
          </w:p>
        </w:tc>
        <w:tc>
          <w:tcPr>
            <w:tcW w:w="2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March 15, 2019</w:t>
            </w:r>
          </w:p>
        </w:tc>
        <w:tc>
          <w:tcPr>
            <w:tcW w:w="1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April 15, 2019</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318,114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May 2, 2019</w:t>
            </w:r>
          </w:p>
        </w:tc>
        <w:tc>
          <w:tcPr>
            <w:tcW w:w="1420" w:type="dxa"/>
            <w:vAlign w:val="bottom"/>
            <w:tcBorders>
              <w:bottom w:val="single" w:sz="8" w:color="CFF0FC"/>
            </w:tcBorders>
            <w:gridSpan w:val="3"/>
          </w:tcPr>
          <w:p>
            <w:pPr>
              <w:jc w:val="center"/>
              <w:ind w:left="90"/>
              <w:spacing w:after="0"/>
              <w:rPr>
                <w:sz w:val="20"/>
                <w:szCs w:val="20"/>
                <w:color w:val="auto"/>
              </w:rPr>
            </w:pPr>
            <w:r>
              <w:rPr>
                <w:rFonts w:ascii="Arial" w:cs="Arial" w:eastAsia="Arial" w:hAnsi="Arial"/>
                <w:sz w:val="18"/>
                <w:szCs w:val="18"/>
                <w:color w:val="auto"/>
                <w:w w:val="90"/>
              </w:rPr>
              <w:t>Supplemental</w:t>
            </w:r>
          </w:p>
        </w:tc>
        <w:tc>
          <w:tcPr>
            <w:tcW w:w="210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May 31, 2019</w:t>
            </w:r>
          </w:p>
        </w:tc>
        <w:tc>
          <w:tcPr>
            <w:tcW w:w="192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June 28, 2019</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3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625,473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gridSpan w:val="4"/>
            <w:vMerge w:val="restart"/>
          </w:tcPr>
          <w:p>
            <w:pPr>
              <w:jc w:val="center"/>
              <w:ind w:left="278"/>
              <w:spacing w:after="0"/>
              <w:rPr>
                <w:sz w:val="20"/>
                <w:szCs w:val="20"/>
                <w:color w:val="auto"/>
              </w:rPr>
            </w:pPr>
            <w:r>
              <w:rPr>
                <w:rFonts w:ascii="Arial" w:cs="Arial" w:eastAsia="Arial" w:hAnsi="Arial"/>
                <w:sz w:val="14"/>
                <w:szCs w:val="14"/>
                <w:b w:val="1"/>
                <w:bCs w:val="1"/>
                <w:color w:val="auto"/>
                <w:w w:val="93"/>
              </w:rPr>
              <w:t>Six Months Ended</w:t>
            </w: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4"/>
            <w:vMerge w:val="continue"/>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4"/>
          </w:tcPr>
          <w:p>
            <w:pPr>
              <w:jc w:val="center"/>
              <w:ind w:left="258"/>
              <w:spacing w:after="0"/>
              <w:rPr>
                <w:sz w:val="20"/>
                <w:szCs w:val="20"/>
                <w:color w:val="auto"/>
              </w:rPr>
            </w:pPr>
            <w:r>
              <w:rPr>
                <w:rFonts w:ascii="Arial" w:cs="Arial" w:eastAsia="Arial" w:hAnsi="Arial"/>
                <w:sz w:val="14"/>
                <w:szCs w:val="14"/>
                <w:b w:val="1"/>
                <w:bCs w:val="1"/>
                <w:color w:val="auto"/>
                <w:w w:val="92"/>
              </w:rPr>
              <w:t>June 30, 2018</w:t>
            </w:r>
          </w:p>
        </w:tc>
        <w:tc>
          <w:tcPr>
            <w:tcW w:w="1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Date</w:t>
            </w: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Date Declared</w:t>
            </w:r>
          </w:p>
        </w:tc>
        <w:tc>
          <w:tcPr>
            <w:tcW w:w="30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 xml:space="preserve">Dividend </w:t>
            </w:r>
            <w:r>
              <w:rPr>
                <w:rFonts w:ascii="Arial" w:cs="Arial" w:eastAsia="Arial" w:hAnsi="Arial"/>
                <w:sz w:val="12"/>
                <w:szCs w:val="12"/>
                <w:b w:val="1"/>
                <w:bCs w:val="1"/>
                <w:color w:val="auto"/>
                <w:w w:val="92"/>
              </w:rPr>
              <w:t>(1)</w:t>
            </w:r>
          </w:p>
        </w:tc>
        <w:tc>
          <w:tcPr>
            <w:tcW w:w="2100" w:type="dxa"/>
            <w:vAlign w:val="bottom"/>
            <w:gridSpan w:val="2"/>
          </w:tcPr>
          <w:p>
            <w:pPr>
              <w:ind w:left="600"/>
              <w:spacing w:after="0"/>
              <w:rPr>
                <w:sz w:val="20"/>
                <w:szCs w:val="20"/>
                <w:color w:val="auto"/>
              </w:rPr>
            </w:pPr>
            <w:r>
              <w:rPr>
                <w:rFonts w:ascii="Arial" w:cs="Arial" w:eastAsia="Arial" w:hAnsi="Arial"/>
                <w:sz w:val="14"/>
                <w:szCs w:val="14"/>
                <w:b w:val="1"/>
                <w:bCs w:val="1"/>
                <w:color w:val="auto"/>
              </w:rPr>
              <w:t>Record Date</w:t>
            </w: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 Issued</w:t>
            </w:r>
          </w:p>
        </w:tc>
        <w:tc>
          <w:tcPr>
            <w:tcW w:w="156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November 7, 2017</w:t>
            </w:r>
          </w:p>
        </w:tc>
        <w:tc>
          <w:tcPr>
            <w:tcW w:w="3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Base</w:t>
            </w:r>
          </w:p>
        </w:tc>
        <w:tc>
          <w:tcPr>
            <w:tcW w:w="100" w:type="dxa"/>
            <w:vAlign w:val="bottom"/>
            <w:tcBorders>
              <w:top w:val="single" w:sz="8" w:color="CFF0FC"/>
            </w:tcBorders>
            <w:shd w:val="clear" w:color="auto" w:fill="CFF0FC"/>
          </w:tcPr>
          <w:p>
            <w:pPr>
              <w:spacing w:after="0"/>
              <w:rPr>
                <w:sz w:val="19"/>
                <w:szCs w:val="19"/>
                <w:color w:val="auto"/>
              </w:rPr>
            </w:pP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December 15, 2017</w:t>
            </w:r>
          </w:p>
        </w:tc>
        <w:tc>
          <w:tcPr>
            <w:tcW w:w="10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January 12, 2018</w:t>
            </w:r>
          </w:p>
        </w:tc>
        <w:tc>
          <w:tcPr>
            <w:tcW w:w="10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153,295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February 21, 2018</w:t>
            </w:r>
          </w:p>
        </w:tc>
        <w:tc>
          <w:tcPr>
            <w:tcW w:w="1420" w:type="dxa"/>
            <w:vAlign w:val="bottom"/>
            <w:gridSpan w:val="3"/>
          </w:tcPr>
          <w:p>
            <w:pPr>
              <w:jc w:val="center"/>
              <w:ind w:left="90"/>
              <w:spacing w:after="0"/>
              <w:rPr>
                <w:sz w:val="20"/>
                <w:szCs w:val="20"/>
                <w:color w:val="auto"/>
              </w:rPr>
            </w:pPr>
            <w:r>
              <w:rPr>
                <w:rFonts w:ascii="Arial" w:cs="Arial" w:eastAsia="Arial" w:hAnsi="Arial"/>
                <w:sz w:val="18"/>
                <w:szCs w:val="18"/>
                <w:color w:val="auto"/>
                <w:w w:val="90"/>
              </w:rPr>
              <w:t>Supplemental</w:t>
            </w: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February 28, 2018</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March 30, 2018</w:t>
            </w:r>
          </w:p>
        </w:tc>
        <w:tc>
          <w:tcPr>
            <w:tcW w:w="1480" w:type="dxa"/>
            <w:vAlign w:val="bottom"/>
          </w:tcPr>
          <w:p>
            <w:pPr>
              <w:jc w:val="right"/>
              <w:spacing w:after="0"/>
              <w:rPr>
                <w:sz w:val="20"/>
                <w:szCs w:val="20"/>
                <w:color w:val="auto"/>
              </w:rPr>
            </w:pPr>
            <w:r>
              <w:rPr>
                <w:rFonts w:ascii="Arial" w:cs="Arial" w:eastAsia="Arial" w:hAnsi="Arial"/>
                <w:sz w:val="18"/>
                <w:szCs w:val="18"/>
                <w:color w:val="auto"/>
              </w:rPr>
              <w:t>16,455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February 21, 2018</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7"/>
              </w:rPr>
              <w:t>Base</w:t>
            </w:r>
          </w:p>
        </w:tc>
        <w:tc>
          <w:tcPr>
            <w:tcW w:w="2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March 15, 2018</w:t>
            </w:r>
          </w:p>
        </w:tc>
        <w:tc>
          <w:tcPr>
            <w:tcW w:w="1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April 13, 2018</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198,296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May 3, 2018</w:t>
            </w:r>
          </w:p>
        </w:tc>
        <w:tc>
          <w:tcPr>
            <w:tcW w:w="1420" w:type="dxa"/>
            <w:vAlign w:val="bottom"/>
            <w:tcBorders>
              <w:bottom w:val="single" w:sz="8" w:color="CFF0FC"/>
            </w:tcBorders>
            <w:gridSpan w:val="3"/>
          </w:tcPr>
          <w:p>
            <w:pPr>
              <w:jc w:val="center"/>
              <w:ind w:left="90"/>
              <w:spacing w:after="0"/>
              <w:rPr>
                <w:sz w:val="20"/>
                <w:szCs w:val="20"/>
                <w:color w:val="auto"/>
              </w:rPr>
            </w:pPr>
            <w:r>
              <w:rPr>
                <w:rFonts w:ascii="Arial" w:cs="Arial" w:eastAsia="Arial" w:hAnsi="Arial"/>
                <w:sz w:val="18"/>
                <w:szCs w:val="18"/>
                <w:color w:val="auto"/>
                <w:w w:val="90"/>
              </w:rPr>
              <w:t>Supplemental</w:t>
            </w:r>
          </w:p>
        </w:tc>
        <w:tc>
          <w:tcPr>
            <w:tcW w:w="210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May 31, 2018</w:t>
            </w:r>
          </w:p>
        </w:tc>
        <w:tc>
          <w:tcPr>
            <w:tcW w:w="192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June 29, 2018</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33,055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Shares Issued</w:t>
            </w:r>
          </w:p>
        </w:tc>
        <w:tc>
          <w:tcPr>
            <w:tcW w:w="3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401,101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 Note 11 for further information on base and supplemental dividends.</w:t>
      </w:r>
    </w:p>
    <w:p>
      <w:pPr>
        <w:spacing w:after="0" w:line="225"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On August 4, 2015, the Company's Board approved a stock repurchase plan, the Company 10b5-1 Plan, to acquire up to $50 million in the aggregate of the Company’s common stock at prices just below the Company’s net asset value per share over an initial six month period, in accordance with the guidelines specified in Rule 10b-18 and Rule 10b5-1 of the Exchange Act, and has continued to authorize extensions of the plan termination date prior to its expiration since that time.</w:t>
      </w:r>
    </w:p>
    <w:p>
      <w:pPr>
        <w:spacing w:after="0" w:line="187"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On May 2, 2019, the Board authorized an amendment to the Company 10b5-1 Plan to revise the market prices at which the agent will repurchase shares of the Company’s common stock on its behalf and extend the termination date to November 30, 2019.</w:t>
      </w:r>
    </w:p>
    <w:p>
      <w:pPr>
        <w:spacing w:after="0" w:line="170" w:lineRule="exact"/>
        <w:rPr>
          <w:sz w:val="20"/>
          <w:szCs w:val="20"/>
          <w:color w:val="auto"/>
        </w:rPr>
      </w:pPr>
    </w:p>
    <w:p>
      <w:pPr>
        <w:ind w:right="20" w:firstLine="259"/>
        <w:spacing w:after="0" w:line="289" w:lineRule="auto"/>
        <w:rPr>
          <w:sz w:val="20"/>
          <w:szCs w:val="20"/>
          <w:color w:val="auto"/>
        </w:rPr>
      </w:pPr>
      <w:r>
        <w:rPr>
          <w:rFonts w:ascii="Arial" w:cs="Arial" w:eastAsia="Arial" w:hAnsi="Arial"/>
          <w:sz w:val="16"/>
          <w:szCs w:val="16"/>
          <w:color w:val="auto"/>
        </w:rPr>
        <w:t>The Company 10b5-1 Plan is designed to allow the Company to repurchase its common stock at times when it otherwise might be prevented from doing so under insider trading laws. The Company 10b5-1 Plan, as amended, requires Goldman Sachs &amp; Co. LLC, as agent, to repurchase shares of common stock on the Company’s behalf when the market price per share is just below 1.05x the most recently reported net asset value per share in the Company’s public financial statements or publicly announced by the Company, less the amount of any supplemental dividend that has been publicly announced by the Company but that has yet to be reflected in the net asset value per share most recently reported in public financial statements (including any updates, corrections or adjustments publicly announced by the Company to any such net asset value per share or supplemental dividend). Under the Company 10b5-1 Plan, the agent will increase the volume of purchases made as the price of the Company’s common stock declines, subject to volume restrictions. The timing and amount of any stock repurchases depend on the terms and conditions of the Company 10b5-1 Plan, the market price of the common stock and trading volumes, and no assurance can be given that any particular amount of common stock will be repurchased.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2" w:name="page43"/>
    <w:bookmarkEnd w:id="42"/>
    <w:p>
      <w:pPr>
        <w:ind w:right="300" w:firstLine="259"/>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color w:val="auto"/>
        </w:rPr>
        <w:t>Unless otherwise extended or terminated by the Board, the Company 10b5-1 Plan will be in effect through the earlier of the termination date or such time as the current approved repurchase amount of up to $50 million has been fully utilized, subject to certain conditions.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During the three and six months ended June 30, 2019 and 2018, no shares were repurchased under the Company 10b5-1 Plan.</w:t>
      </w:r>
    </w:p>
    <w:p>
      <w:pPr>
        <w:spacing w:after="0" w:line="200" w:lineRule="exact"/>
        <w:rPr>
          <w:sz w:val="20"/>
          <w:szCs w:val="20"/>
          <w:color w:val="auto"/>
        </w:rPr>
      </w:pPr>
    </w:p>
    <w:p>
      <w:pPr>
        <w:spacing w:after="0" w:line="210" w:lineRule="exact"/>
        <w:rPr>
          <w:sz w:val="20"/>
          <w:szCs w:val="20"/>
          <w:color w:val="auto"/>
        </w:rPr>
      </w:pPr>
    </w:p>
    <w:p>
      <w:pPr>
        <w:ind w:left="280" w:hanging="272"/>
        <w:spacing w:after="0"/>
        <w:tabs>
          <w:tab w:leader="none" w:pos="2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2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common share:</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ind w:left="540"/>
              <w:spacing w:after="0"/>
              <w:rPr>
                <w:sz w:val="20"/>
                <w:szCs w:val="20"/>
                <w:color w:val="auto"/>
              </w:rPr>
            </w:pPr>
            <w:r>
              <w:rPr>
                <w:rFonts w:ascii="Arial" w:cs="Arial" w:eastAsia="Arial" w:hAnsi="Arial"/>
                <w:sz w:val="14"/>
                <w:szCs w:val="14"/>
                <w:b w:val="1"/>
                <w:bCs w:val="1"/>
                <w:color w:val="auto"/>
              </w:rPr>
              <w:t>Six Months Ended</w:t>
            </w:r>
          </w:p>
        </w:tc>
      </w:tr>
      <w:tr>
        <w:trPr>
          <w:trHeight w:val="156"/>
        </w:trPr>
        <w:tc>
          <w:tcPr>
            <w:tcW w:w="2520" w:type="dxa"/>
            <w:vAlign w:val="bottom"/>
            <w:tcBorders>
              <w:bottom w:val="single" w:sz="8" w:color="CFF0FC"/>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94"/>
              </w:rPr>
              <w:t>June 30, 2019</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w w:val="92"/>
              </w:rPr>
              <w:t>June 30, 2018</w:t>
            </w:r>
          </w:p>
        </w:tc>
        <w:tc>
          <w:tcPr>
            <w:tcW w:w="18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94"/>
              </w:rPr>
              <w:t>June 30, 2019</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w w:val="92"/>
              </w:rPr>
              <w:t>June 30, 2018</w:t>
            </w:r>
          </w:p>
        </w:tc>
        <w:tc>
          <w:tcPr>
            <w:tcW w:w="60" w:type="dxa"/>
            <w:vAlign w:val="bottom"/>
            <w:tcBorders>
              <w:bottom w:val="single" w:sz="8" w:color="CFF0FC"/>
            </w:tcBorders>
          </w:tcPr>
          <w:p>
            <w:pPr>
              <w:spacing w:after="0"/>
              <w:rPr>
                <w:sz w:val="13"/>
                <w:szCs w:val="13"/>
                <w:color w:val="auto"/>
              </w:rPr>
            </w:pPr>
          </w:p>
        </w:tc>
      </w:tr>
      <w:tr>
        <w:trPr>
          <w:trHeight w:val="209"/>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Increase in net assets resulting</w:t>
            </w: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2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from operations</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47,795</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33,569</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86,541</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67,405</w:t>
            </w:r>
          </w:p>
        </w:tc>
        <w:tc>
          <w:tcPr>
            <w:tcW w:w="60" w:type="dxa"/>
            <w:vAlign w:val="bottom"/>
            <w:shd w:val="clear" w:color="auto" w:fill="CFF0FC"/>
          </w:tcPr>
          <w:p>
            <w:pPr>
              <w:spacing w:after="0"/>
              <w:rPr>
                <w:sz w:val="20"/>
                <w:szCs w:val="20"/>
                <w:color w:val="auto"/>
              </w:rPr>
            </w:pPr>
          </w:p>
        </w:tc>
      </w:tr>
      <w:tr>
        <w:trPr>
          <w:trHeight w:val="215"/>
        </w:trPr>
        <w:tc>
          <w:tcPr>
            <w:tcW w:w="2520" w:type="dxa"/>
            <w:vAlign w:val="bottom"/>
          </w:tcPr>
          <w:p>
            <w:pPr>
              <w:spacing w:after="0"/>
              <w:rPr>
                <w:sz w:val="20"/>
                <w:szCs w:val="20"/>
                <w:color w:val="auto"/>
              </w:rPr>
            </w:pPr>
            <w:r>
              <w:rPr>
                <w:rFonts w:ascii="Arial" w:cs="Arial" w:eastAsia="Arial" w:hAnsi="Arial"/>
                <w:sz w:val="18"/>
                <w:szCs w:val="18"/>
                <w:color w:val="auto"/>
              </w:rPr>
              <w:t>Weighted average shares of</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520" w:type="dxa"/>
            <w:vAlign w:val="bottom"/>
          </w:tcPr>
          <w:p>
            <w:pPr>
              <w:ind w:left="140"/>
              <w:spacing w:after="0"/>
              <w:rPr>
                <w:sz w:val="20"/>
                <w:szCs w:val="20"/>
                <w:color w:val="auto"/>
              </w:rPr>
            </w:pPr>
            <w:r>
              <w:rPr>
                <w:rFonts w:ascii="Arial" w:cs="Arial" w:eastAsia="Arial" w:hAnsi="Arial"/>
                <w:sz w:val="18"/>
                <w:szCs w:val="18"/>
                <w:color w:val="auto"/>
              </w:rPr>
              <w:t>common stock outstanding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52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65,982,373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64,758,752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65,789,976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62,810,429</w:t>
            </w:r>
          </w:p>
        </w:tc>
        <w:tc>
          <w:tcPr>
            <w:tcW w:w="60" w:type="dxa"/>
            <w:vAlign w:val="bottom"/>
          </w:tcPr>
          <w:p>
            <w:pPr>
              <w:spacing w:after="0"/>
              <w:rPr>
                <w:sz w:val="20"/>
                <w:szCs w:val="20"/>
                <w:color w:val="auto"/>
              </w:rPr>
            </w:pPr>
          </w:p>
        </w:tc>
      </w:tr>
      <w:tr>
        <w:trPr>
          <w:trHeight w:val="215"/>
        </w:trPr>
        <w:tc>
          <w:tcPr>
            <w:tcW w:w="2520" w:type="dxa"/>
            <w:vAlign w:val="bottom"/>
            <w:shd w:val="clear" w:color="auto" w:fill="CFF0FC"/>
          </w:tcPr>
          <w:p>
            <w:pPr>
              <w:spacing w:after="0"/>
              <w:rPr>
                <w:sz w:val="20"/>
                <w:szCs w:val="20"/>
                <w:color w:val="auto"/>
              </w:rPr>
            </w:pPr>
            <w:r>
              <w:rPr>
                <w:rFonts w:ascii="Arial" w:cs="Arial" w:eastAsia="Arial" w:hAnsi="Arial"/>
                <w:sz w:val="18"/>
                <w:szCs w:val="18"/>
                <w:color w:val="auto"/>
              </w:rPr>
              <w:t>Earnings per common share</w:t>
            </w:r>
          </w:p>
        </w:tc>
        <w:tc>
          <w:tcPr>
            <w:tcW w:w="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25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0.72</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0.52</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FF0FC"/>
          </w:tcPr>
          <w:p>
            <w:pPr>
              <w:spacing w:after="0"/>
              <w:rPr>
                <w:sz w:val="20"/>
                <w:szCs w:val="20"/>
                <w:color w:val="auto"/>
              </w:rPr>
            </w:pPr>
          </w:p>
        </w:tc>
      </w:tr>
    </w:tbl>
    <w:p>
      <w:pPr>
        <w:spacing w:after="0" w:line="242"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For the purpose of calculating diluted earnings per common share, the average closing price of the Company’s common stock for the three and six months ended June 30, 2019 was less than the estimated adjusted conversion price for the Convertible Notes outstanding as of June 30, 2019. Therefore, for all periods presented in the consolidated financial statements, the underlying shares for the intrinsic value of the embedded options in the Convertible Notes have no impact on the computation of diluted earnings per common share.</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right="180" w:firstLine="259"/>
        <w:spacing w:after="0" w:line="308" w:lineRule="auto"/>
        <w:rPr>
          <w:sz w:val="20"/>
          <w:szCs w:val="20"/>
          <w:color w:val="auto"/>
        </w:rPr>
      </w:pPr>
      <w:r>
        <w:rPr>
          <w:rFonts w:ascii="Arial" w:cs="Arial" w:eastAsia="Arial" w:hAnsi="Arial"/>
          <w:sz w:val="17"/>
          <w:szCs w:val="17"/>
          <w:color w:val="auto"/>
        </w:rPr>
        <w:t>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dividends declared during the six months ended June 30, 2019 and 2018:</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60" w:type="dxa"/>
            <w:vAlign w:val="bottom"/>
            <w:gridSpan w:val="3"/>
          </w:tcPr>
          <w:p>
            <w:pPr>
              <w:jc w:val="center"/>
              <w:ind w:left="117"/>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Date Declared</w:t>
            </w:r>
          </w:p>
        </w:tc>
        <w:tc>
          <w:tcPr>
            <w:tcW w:w="3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3"/>
          </w:tcPr>
          <w:p>
            <w:pPr>
              <w:jc w:val="center"/>
              <w:ind w:left="117"/>
              <w:spacing w:after="0"/>
              <w:rPr>
                <w:sz w:val="20"/>
                <w:szCs w:val="20"/>
                <w:color w:val="auto"/>
              </w:rPr>
            </w:pPr>
            <w:r>
              <w:rPr>
                <w:rFonts w:ascii="Arial" w:cs="Arial" w:eastAsia="Arial" w:hAnsi="Arial"/>
                <w:sz w:val="14"/>
                <w:szCs w:val="14"/>
                <w:b w:val="1"/>
                <w:bCs w:val="1"/>
                <w:color w:val="auto"/>
                <w:w w:val="90"/>
              </w:rPr>
              <w:t>June 30, 2019</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4"/>
              </w:rPr>
              <w:t>Dividend</w:t>
            </w:r>
          </w:p>
        </w:tc>
        <w:tc>
          <w:tcPr>
            <w:tcW w:w="1840" w:type="dxa"/>
            <w:vAlign w:val="bottom"/>
            <w:gridSpan w:val="2"/>
          </w:tcPr>
          <w:p>
            <w:pPr>
              <w:ind w:left="480"/>
              <w:spacing w:after="0" w:line="155" w:lineRule="exact"/>
              <w:rPr>
                <w:sz w:val="20"/>
                <w:szCs w:val="20"/>
                <w:color w:val="auto"/>
              </w:rPr>
            </w:pPr>
            <w:r>
              <w:rPr>
                <w:rFonts w:ascii="Arial" w:cs="Arial" w:eastAsia="Arial" w:hAnsi="Arial"/>
                <w:sz w:val="14"/>
                <w:szCs w:val="14"/>
                <w:b w:val="1"/>
                <w:bCs w:val="1"/>
                <w:color w:val="auto"/>
              </w:rPr>
              <w:t>Record Date</w:t>
            </w:r>
          </w:p>
        </w:tc>
        <w:tc>
          <w:tcPr>
            <w:tcW w:w="1820" w:type="dxa"/>
            <w:vAlign w:val="bottom"/>
          </w:tcPr>
          <w:p>
            <w:pPr>
              <w:jc w:val="right"/>
              <w:ind w:right="414"/>
              <w:spacing w:after="0" w:line="155"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3"/>
                <w:szCs w:val="13"/>
                <w:color w:val="auto"/>
              </w:rPr>
            </w:pPr>
          </w:p>
        </w:tc>
        <w:tc>
          <w:tcPr>
            <w:tcW w:w="12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20, 2019</w:t>
            </w:r>
          </w:p>
        </w:tc>
        <w:tc>
          <w:tcPr>
            <w:tcW w:w="3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Supplemental</w:t>
            </w:r>
          </w:p>
        </w:tc>
        <w:tc>
          <w:tcPr>
            <w:tcW w:w="10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28, 2019</w:t>
            </w:r>
          </w:p>
        </w:tc>
        <w:tc>
          <w:tcPr>
            <w:tcW w:w="10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29, 2019</w:t>
            </w:r>
          </w:p>
        </w:tc>
        <w:tc>
          <w:tcPr>
            <w:tcW w:w="1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February 20, 2019</w:t>
            </w:r>
          </w:p>
        </w:tc>
        <w:tc>
          <w:tcPr>
            <w:tcW w:w="360" w:type="dxa"/>
            <w:vAlign w:val="bottom"/>
          </w:tcPr>
          <w:p>
            <w:pPr>
              <w:spacing w:after="0"/>
              <w:rPr>
                <w:sz w:val="19"/>
                <w:szCs w:val="19"/>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Base</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March 15, 2019</w:t>
            </w:r>
          </w:p>
        </w:tc>
        <w:tc>
          <w:tcPr>
            <w:tcW w:w="1820" w:type="dxa"/>
            <w:vAlign w:val="bottom"/>
          </w:tcPr>
          <w:p>
            <w:pPr>
              <w:jc w:val="right"/>
              <w:spacing w:after="0"/>
              <w:rPr>
                <w:sz w:val="20"/>
                <w:szCs w:val="20"/>
                <w:color w:val="auto"/>
              </w:rPr>
            </w:pPr>
            <w:r>
              <w:rPr>
                <w:rFonts w:ascii="Arial" w:cs="Arial" w:eastAsia="Arial" w:hAnsi="Arial"/>
                <w:sz w:val="18"/>
                <w:szCs w:val="18"/>
                <w:color w:val="auto"/>
              </w:rPr>
              <w:t>April 15, 2019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May 2, 2019</w:t>
            </w:r>
          </w:p>
        </w:tc>
        <w:tc>
          <w:tcPr>
            <w:tcW w:w="1480" w:type="dxa"/>
            <w:vAlign w:val="bottom"/>
            <w:gridSpan w:val="3"/>
            <w:shd w:val="clear" w:color="auto" w:fill="CFF0FC"/>
          </w:tcPr>
          <w:p>
            <w:pPr>
              <w:jc w:val="center"/>
              <w:ind w:left="150"/>
              <w:spacing w:after="0"/>
              <w:rPr>
                <w:sz w:val="20"/>
                <w:szCs w:val="20"/>
                <w:color w:val="auto"/>
              </w:rPr>
            </w:pPr>
            <w:r>
              <w:rPr>
                <w:rFonts w:ascii="Arial" w:cs="Arial" w:eastAsia="Arial" w:hAnsi="Arial"/>
                <w:sz w:val="18"/>
                <w:szCs w:val="18"/>
                <w:color w:val="auto"/>
                <w:w w:val="90"/>
              </w:rPr>
              <w:t>Supplemental</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May 31, 2019</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June 28, 2019</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May 2, 2019</w:t>
            </w:r>
          </w:p>
        </w:tc>
        <w:tc>
          <w:tcPr>
            <w:tcW w:w="36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gridSpan w:val="2"/>
          </w:tcPr>
          <w:p>
            <w:pPr>
              <w:jc w:val="center"/>
              <w:ind w:right="120"/>
              <w:spacing w:after="0"/>
              <w:rPr>
                <w:sz w:val="20"/>
                <w:szCs w:val="20"/>
                <w:color w:val="auto"/>
              </w:rPr>
            </w:pPr>
            <w:r>
              <w:rPr>
                <w:rFonts w:ascii="Arial" w:cs="Arial" w:eastAsia="Arial" w:hAnsi="Arial"/>
                <w:sz w:val="18"/>
                <w:szCs w:val="18"/>
                <w:color w:val="auto"/>
                <w:w w:val="87"/>
              </w:rPr>
              <w:t>Base</w:t>
            </w:r>
          </w:p>
        </w:tc>
        <w:tc>
          <w:tcPr>
            <w:tcW w:w="18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June 14, 2019</w:t>
            </w:r>
          </w:p>
        </w:tc>
        <w:tc>
          <w:tcPr>
            <w:tcW w:w="18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July 15, 2019</w:t>
            </w: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5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3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60" w:type="dxa"/>
            <w:vAlign w:val="bottom"/>
            <w:gridSpan w:val="3"/>
            <w:vMerge w:val="restart"/>
          </w:tcPr>
          <w:p>
            <w:pPr>
              <w:jc w:val="center"/>
              <w:ind w:left="117"/>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11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72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Date Declared</w:t>
            </w:r>
          </w:p>
        </w:tc>
        <w:tc>
          <w:tcPr>
            <w:tcW w:w="3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3"/>
          </w:tcPr>
          <w:p>
            <w:pPr>
              <w:jc w:val="center"/>
              <w:ind w:left="117"/>
              <w:spacing w:after="0"/>
              <w:rPr>
                <w:sz w:val="20"/>
                <w:szCs w:val="20"/>
                <w:color w:val="auto"/>
              </w:rPr>
            </w:pPr>
            <w:r>
              <w:rPr>
                <w:rFonts w:ascii="Arial" w:cs="Arial" w:eastAsia="Arial" w:hAnsi="Arial"/>
                <w:sz w:val="14"/>
                <w:szCs w:val="14"/>
                <w:b w:val="1"/>
                <w:bCs w:val="1"/>
                <w:color w:val="auto"/>
                <w:w w:val="90"/>
              </w:rPr>
              <w:t>June 30, 2018</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4"/>
              </w:rPr>
              <w:t>Dividend</w:t>
            </w:r>
          </w:p>
        </w:tc>
        <w:tc>
          <w:tcPr>
            <w:tcW w:w="1840" w:type="dxa"/>
            <w:vAlign w:val="bottom"/>
            <w:gridSpan w:val="2"/>
          </w:tcPr>
          <w:p>
            <w:pPr>
              <w:ind w:left="480"/>
              <w:spacing w:after="0" w:line="155" w:lineRule="exact"/>
              <w:rPr>
                <w:sz w:val="20"/>
                <w:szCs w:val="20"/>
                <w:color w:val="auto"/>
              </w:rPr>
            </w:pPr>
            <w:r>
              <w:rPr>
                <w:rFonts w:ascii="Arial" w:cs="Arial" w:eastAsia="Arial" w:hAnsi="Arial"/>
                <w:sz w:val="14"/>
                <w:szCs w:val="14"/>
                <w:b w:val="1"/>
                <w:bCs w:val="1"/>
                <w:color w:val="auto"/>
              </w:rPr>
              <w:t>Record Date</w:t>
            </w:r>
          </w:p>
        </w:tc>
        <w:tc>
          <w:tcPr>
            <w:tcW w:w="1820" w:type="dxa"/>
            <w:vAlign w:val="bottom"/>
          </w:tcPr>
          <w:p>
            <w:pPr>
              <w:jc w:val="right"/>
              <w:ind w:right="414"/>
              <w:spacing w:after="0" w:line="155" w:lineRule="exact"/>
              <w:rPr>
                <w:sz w:val="20"/>
                <w:szCs w:val="20"/>
                <w:color w:val="auto"/>
              </w:rPr>
            </w:pPr>
            <w:r>
              <w:rPr>
                <w:rFonts w:ascii="Arial" w:cs="Arial" w:eastAsia="Arial" w:hAnsi="Arial"/>
                <w:sz w:val="14"/>
                <w:szCs w:val="14"/>
                <w:b w:val="1"/>
                <w:bCs w:val="1"/>
                <w:color w:val="auto"/>
              </w:rPr>
              <w:t>Payment Date</w:t>
            </w:r>
          </w:p>
        </w:tc>
        <w:tc>
          <w:tcPr>
            <w:tcW w:w="100" w:type="dxa"/>
            <w:vAlign w:val="bottom"/>
          </w:tcPr>
          <w:p>
            <w:pPr>
              <w:spacing w:after="0"/>
              <w:rPr>
                <w:sz w:val="13"/>
                <w:szCs w:val="13"/>
                <w:color w:val="auto"/>
              </w:rPr>
            </w:pPr>
          </w:p>
        </w:tc>
        <w:tc>
          <w:tcPr>
            <w:tcW w:w="12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4"/>
              </w:rPr>
              <w:t>Dividend per Share</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February 21, 2018</w:t>
            </w:r>
          </w:p>
        </w:tc>
        <w:tc>
          <w:tcPr>
            <w:tcW w:w="3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Supplemental</w:t>
            </w:r>
          </w:p>
        </w:tc>
        <w:tc>
          <w:tcPr>
            <w:tcW w:w="10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February 28, 2018</w:t>
            </w:r>
          </w:p>
        </w:tc>
        <w:tc>
          <w:tcPr>
            <w:tcW w:w="100" w:type="dxa"/>
            <w:vAlign w:val="bottom"/>
            <w:tcBorders>
              <w:top w:val="single" w:sz="8" w:color="CFF0FC"/>
            </w:tcBorders>
            <w:shd w:val="clear" w:color="auto" w:fill="CFF0FC"/>
          </w:tcPr>
          <w:p>
            <w:pPr>
              <w:spacing w:after="0"/>
              <w:rPr>
                <w:sz w:val="19"/>
                <w:szCs w:val="19"/>
                <w:color w:val="auto"/>
              </w:rPr>
            </w:pP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March 30, 2018</w:t>
            </w:r>
          </w:p>
        </w:tc>
        <w:tc>
          <w:tcPr>
            <w:tcW w:w="10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February 21, 2018</w:t>
            </w:r>
          </w:p>
        </w:tc>
        <w:tc>
          <w:tcPr>
            <w:tcW w:w="360" w:type="dxa"/>
            <w:vAlign w:val="bottom"/>
          </w:tcPr>
          <w:p>
            <w:pPr>
              <w:spacing w:after="0"/>
              <w:rPr>
                <w:sz w:val="19"/>
                <w:szCs w:val="19"/>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Base</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March 15, 2018</w:t>
            </w:r>
          </w:p>
        </w:tc>
        <w:tc>
          <w:tcPr>
            <w:tcW w:w="1820" w:type="dxa"/>
            <w:vAlign w:val="bottom"/>
          </w:tcPr>
          <w:p>
            <w:pPr>
              <w:jc w:val="right"/>
              <w:spacing w:after="0"/>
              <w:rPr>
                <w:sz w:val="20"/>
                <w:szCs w:val="20"/>
                <w:color w:val="auto"/>
              </w:rPr>
            </w:pPr>
            <w:r>
              <w:rPr>
                <w:rFonts w:ascii="Arial" w:cs="Arial" w:eastAsia="Arial" w:hAnsi="Arial"/>
                <w:sz w:val="18"/>
                <w:szCs w:val="18"/>
                <w:color w:val="auto"/>
              </w:rPr>
              <w:t>April 13, 2018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May 3, 2018</w:t>
            </w:r>
          </w:p>
        </w:tc>
        <w:tc>
          <w:tcPr>
            <w:tcW w:w="1480" w:type="dxa"/>
            <w:vAlign w:val="bottom"/>
            <w:gridSpan w:val="3"/>
            <w:shd w:val="clear" w:color="auto" w:fill="CFF0FC"/>
          </w:tcPr>
          <w:p>
            <w:pPr>
              <w:jc w:val="center"/>
              <w:ind w:left="150"/>
              <w:spacing w:after="0"/>
              <w:rPr>
                <w:sz w:val="20"/>
                <w:szCs w:val="20"/>
                <w:color w:val="auto"/>
              </w:rPr>
            </w:pPr>
            <w:r>
              <w:rPr>
                <w:rFonts w:ascii="Arial" w:cs="Arial" w:eastAsia="Arial" w:hAnsi="Arial"/>
                <w:sz w:val="18"/>
                <w:szCs w:val="18"/>
                <w:color w:val="auto"/>
                <w:w w:val="90"/>
              </w:rPr>
              <w:t>Supplemental</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May 31, 2018</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June 29, 2018</w:t>
            </w: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May 3, 2018</w:t>
            </w:r>
          </w:p>
        </w:tc>
        <w:tc>
          <w:tcPr>
            <w:tcW w:w="36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gridSpan w:val="2"/>
          </w:tcPr>
          <w:p>
            <w:pPr>
              <w:jc w:val="center"/>
              <w:ind w:right="120"/>
              <w:spacing w:after="0"/>
              <w:rPr>
                <w:sz w:val="20"/>
                <w:szCs w:val="20"/>
                <w:color w:val="auto"/>
              </w:rPr>
            </w:pPr>
            <w:r>
              <w:rPr>
                <w:rFonts w:ascii="Arial" w:cs="Arial" w:eastAsia="Arial" w:hAnsi="Arial"/>
                <w:sz w:val="18"/>
                <w:szCs w:val="18"/>
                <w:color w:val="auto"/>
                <w:w w:val="87"/>
              </w:rPr>
              <w:t>Base</w:t>
            </w:r>
          </w:p>
        </w:tc>
        <w:tc>
          <w:tcPr>
            <w:tcW w:w="184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June 15, 2018</w:t>
            </w:r>
          </w:p>
        </w:tc>
        <w:tc>
          <w:tcPr>
            <w:tcW w:w="18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July 13, 2018</w:t>
            </w:r>
          </w:p>
        </w:tc>
        <w:tc>
          <w:tcPr>
            <w:tcW w:w="10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5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Dividends Declared</w:t>
            </w:r>
          </w:p>
        </w:tc>
        <w:tc>
          <w:tcPr>
            <w:tcW w:w="3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8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0.87</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vMerge w:val="restart"/>
          </w:tcPr>
          <w:p>
            <w:pPr>
              <w:jc w:val="right"/>
              <w:ind w:right="1057"/>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43" w:name="page44"/>
    <w:bookmarkEnd w:id="43"/>
    <w:p>
      <w:pPr>
        <w:ind w:right="280" w:firstLine="259"/>
        <w:spacing w:after="0" w:line="277" w:lineRule="auto"/>
        <w:rPr>
          <w:sz w:val="20"/>
          <w:szCs w:val="20"/>
          <w:color w:val="auto"/>
        </w:rPr>
      </w:pPr>
      <w:r>
        <w:rPr>
          <w:rFonts w:ascii="Arial" w:cs="Arial" w:eastAsia="Arial" w:hAnsi="Arial"/>
          <w:sz w:val="18"/>
          <w:szCs w:val="18"/>
          <w:color w:val="auto"/>
        </w:rPr>
        <w:t>The dividends declared during the three and six months ended June 30, 2019 and 2018 were derived from net investment income, determined on a tax basis.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Highlights</w:t>
      </w:r>
    </w:p>
    <w:p>
      <w:pPr>
        <w:spacing w:after="0" w:line="121" w:lineRule="exact"/>
        <w:rPr>
          <w:sz w:val="20"/>
          <w:szCs w:val="20"/>
          <w:color w:val="auto"/>
        </w:rPr>
      </w:pPr>
    </w:p>
    <w:p>
      <w:pPr>
        <w:ind w:right="400" w:firstLine="259"/>
        <w:spacing w:after="0" w:line="277"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one share of common stock outstanding during the six months ended June 30, 2019 and 2018.</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5"/>
                <w:szCs w:val="15"/>
                <w:b w:val="1"/>
                <w:bCs w:val="1"/>
                <w:color w:val="auto"/>
              </w:rPr>
              <w:t>(7)</w:t>
            </w:r>
          </w:p>
        </w:tc>
        <w:tc>
          <w:tcPr>
            <w:tcW w:w="9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2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16.25</w:t>
            </w:r>
          </w:p>
        </w:tc>
        <w:tc>
          <w:tcPr>
            <w:tcW w:w="260" w:type="dxa"/>
            <w:vAlign w:val="bottom"/>
          </w:tcPr>
          <w:p>
            <w:pPr>
              <w:spacing w:after="0"/>
              <w:rPr>
                <w:sz w:val="19"/>
                <w:szCs w:val="19"/>
                <w:color w:val="auto"/>
              </w:rPr>
            </w:pP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16.09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 xml:space="preserve">Net investment income </w:t>
            </w:r>
            <w:r>
              <w:rPr>
                <w:rFonts w:ascii="Arial" w:cs="Arial" w:eastAsia="Arial" w:hAnsi="Arial"/>
                <w:sz w:val="15"/>
                <w:szCs w:val="15"/>
                <w:color w:val="auto"/>
              </w:rPr>
              <w:t>(1)</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0.88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Net realized and unrealized</w:t>
            </w: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gain </w:t>
            </w:r>
            <w:r>
              <w:rPr>
                <w:rFonts w:ascii="Arial" w:cs="Arial" w:eastAsia="Arial" w:hAnsi="Arial"/>
                <w:sz w:val="15"/>
                <w:szCs w:val="15"/>
                <w:color w:val="auto"/>
              </w:rPr>
              <w:t>(1)</w:t>
            </w: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ind w:left="240"/>
              <w:spacing w:after="0"/>
              <w:rPr>
                <w:sz w:val="20"/>
                <w:szCs w:val="20"/>
                <w:color w:val="auto"/>
              </w:rPr>
            </w:pPr>
            <w:r>
              <w:rPr>
                <w:rFonts w:ascii="Arial" w:cs="Arial" w:eastAsia="Arial" w:hAnsi="Arial"/>
                <w:sz w:val="18"/>
                <w:szCs w:val="18"/>
                <w:color w:val="auto"/>
              </w:rPr>
              <w:t>Total from operations</w:t>
            </w:r>
          </w:p>
        </w:tc>
        <w:tc>
          <w:tcPr>
            <w:tcW w:w="9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net of</w:t>
            </w: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offering costs </w:t>
            </w:r>
            <w:r>
              <w:rPr>
                <w:rFonts w:ascii="Arial" w:cs="Arial" w:eastAsia="Arial" w:hAnsi="Arial"/>
                <w:sz w:val="15"/>
                <w:szCs w:val="15"/>
                <w:color w:val="auto"/>
              </w:rPr>
              <w:t>(2)</w:t>
            </w: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Dividends declared from net</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15"/>
                <w:szCs w:val="15"/>
                <w:color w:val="auto"/>
              </w:rPr>
              <w:t>(2)</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increase in net</w:t>
            </w:r>
          </w:p>
        </w:tc>
        <w:tc>
          <w:tcPr>
            <w:tcW w:w="9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assets</w:t>
            </w:r>
          </w:p>
        </w:tc>
        <w:tc>
          <w:tcPr>
            <w:tcW w:w="96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0.43</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Net Asset Value, End of Period</w:t>
            </w:r>
          </w:p>
        </w:tc>
        <w:tc>
          <w:tcPr>
            <w:tcW w:w="96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16.68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16.36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Per share market value at end of</w:t>
            </w:r>
          </w:p>
        </w:tc>
        <w:tc>
          <w:tcPr>
            <w:tcW w:w="9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period</w:t>
            </w:r>
          </w:p>
        </w:tc>
        <w:tc>
          <w:tcPr>
            <w:tcW w:w="12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26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17.94</w:t>
            </w: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 xml:space="preserve">Total return based on market value </w:t>
            </w:r>
            <w:r>
              <w:rPr>
                <w:rFonts w:ascii="Arial" w:cs="Arial" w:eastAsia="Arial" w:hAnsi="Arial"/>
                <w:sz w:val="15"/>
                <w:szCs w:val="15"/>
                <w:color w:val="auto"/>
              </w:rPr>
              <w:t>(3)</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Total return based on net asset</w:t>
            </w: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value </w:t>
            </w:r>
            <w:r>
              <w:rPr>
                <w:rFonts w:ascii="Arial" w:cs="Arial" w:eastAsia="Arial" w:hAnsi="Arial"/>
                <w:sz w:val="15"/>
                <w:szCs w:val="15"/>
                <w:color w:val="auto"/>
              </w:rPr>
              <w:t>(4)</w:t>
            </w: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Shares Outstanding, End of Period</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66,038,290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64,920,526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Ratios / Supplemental Data </w:t>
            </w:r>
            <w:r>
              <w:rPr>
                <w:rFonts w:ascii="Arial" w:cs="Arial" w:eastAsia="Arial" w:hAnsi="Arial"/>
                <w:sz w:val="15"/>
                <w:szCs w:val="15"/>
                <w:b w:val="1"/>
                <w:bCs w:val="1"/>
                <w:color w:val="auto"/>
              </w:rPr>
              <w:t>(5)</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Ratio of net expenses to average</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 xml:space="preserve">net assets </w:t>
            </w:r>
            <w:r>
              <w:rPr>
                <w:rFonts w:ascii="Arial" w:cs="Arial" w:eastAsia="Arial" w:hAnsi="Arial"/>
                <w:sz w:val="15"/>
                <w:szCs w:val="15"/>
                <w:color w:val="auto"/>
              </w:rPr>
              <w:t>(6)</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gridSpan w:val="2"/>
          </w:tcPr>
          <w:p>
            <w:pPr>
              <w:jc w:val="right"/>
              <w:ind w:right="8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Ratio of net investment income</w:t>
            </w: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 average net assets</w:t>
            </w: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10.70%</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Portfolio turnover</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18.28%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gridSpan w:val="2"/>
          </w:tcPr>
          <w:p>
            <w:pPr>
              <w:jc w:val="right"/>
              <w:ind w:right="80"/>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Net assets, end of period</w:t>
            </w:r>
          </w:p>
        </w:tc>
        <w:tc>
          <w:tcPr>
            <w:tcW w:w="120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1,101,643</w:t>
            </w:r>
          </w:p>
        </w:tc>
        <w:tc>
          <w:tcPr>
            <w:tcW w:w="2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1,062,042</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520" w:right="140" w:hanging="512"/>
        <w:spacing w:after="0" w:line="250"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ind w:left="520" w:right="500" w:hanging="512"/>
        <w:spacing w:after="0" w:line="250"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ratios reflect an annualized amount.</w:t>
      </w:r>
    </w:p>
    <w:p>
      <w:pPr>
        <w:spacing w:after="0" w:line="9" w:lineRule="exact"/>
        <w:rPr>
          <w:rFonts w:ascii="Arial" w:cs="Arial" w:eastAsia="Arial" w:hAnsi="Arial"/>
          <w:sz w:val="18"/>
          <w:szCs w:val="18"/>
          <w:color w:val="auto"/>
        </w:rPr>
      </w:pPr>
    </w:p>
    <w:p>
      <w:pPr>
        <w:ind w:left="520" w:hanging="512"/>
        <w:spacing w:after="0" w:line="250"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ratio of net expenses to average net assets in the table above reflects the Adviser’s waivers of its right to receive a portion of the Management Fee and Incentive Fees with respect to the Company’s ownership of shares of common stock of Triangle Capital Corp. Excluding the effects of waivers, the ratio of net expenses to average net assets would have been 11.07% for the six months ended June 30, 2018. The Adviser did not waive any Management Fees or Incentive Fees for the six months ended June 30, 2019.</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Table may not sum due to rounding.</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82" w:right="3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The Company’s management has evaluated subsequent events through the date of issuance of the consolidated financial statements included herein. There have been no subsequent events that occurred during such period that would require disclosure in this Form 10-Q or would be required to be recognized in the consolidated financial statements as of and for the three and six months ended June 30, 2019.</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100" w:firstLine="259"/>
        <w:spacing w:after="0" w:line="264"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 Looking Statements” set forth on page 3 of this Quarterly Report on Form 10-Q.</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480" w:firstLine="259"/>
        <w:spacing w:after="0" w:line="259"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that were previously used to support our asset-backed credit facility, and TSL MR, LLC, a Delaware limited liability company, in which we hold certain investments.</w:t>
      </w:r>
    </w:p>
    <w:p>
      <w:pPr>
        <w:spacing w:after="0" w:line="187"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62" w:lineRule="exact"/>
        <w:rPr>
          <w:sz w:val="20"/>
          <w:szCs w:val="20"/>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17" w:lineRule="exact"/>
        <w:rPr>
          <w:rFonts w:ascii="Arial" w:cs="Arial" w:eastAsia="Arial" w:hAnsi="Arial"/>
          <w:sz w:val="18"/>
          <w:szCs w:val="18"/>
          <w:color w:val="auto"/>
        </w:rPr>
      </w:pPr>
    </w:p>
    <w:p>
      <w:pPr>
        <w:ind w:left="520" w:right="520" w:hanging="255"/>
        <w:spacing w:after="0" w:line="277"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225" w:lineRule="exact"/>
        <w:rPr>
          <w:sz w:val="20"/>
          <w:szCs w:val="20"/>
          <w:color w:val="auto"/>
        </w:rPr>
      </w:pPr>
    </w:p>
    <w:p>
      <w:pPr>
        <w:ind w:right="60" w:firstLine="259"/>
        <w:spacing w:after="0" w:line="291" w:lineRule="auto"/>
        <w:rPr>
          <w:sz w:val="20"/>
          <w:szCs w:val="20"/>
          <w:color w:val="auto"/>
        </w:rPr>
      </w:pPr>
      <w:r>
        <w:rPr>
          <w:rFonts w:ascii="Arial" w:cs="Arial" w:eastAsia="Arial" w:hAnsi="Arial"/>
          <w:sz w:val="16"/>
          <w:szCs w:val="16"/>
          <w:color w:val="auto"/>
        </w:rPr>
        <w:t>On August 4, 2015, our Board authorized us to enter into a stock repurchase plan, the Company 10b5-1 Plan, to acquire up to $50 million in the aggregate of our common stock at prices just below our net asset value per share over an initial six month period, in accordance with the guidelines specified in Rule</w:t>
      </w:r>
    </w:p>
    <w:p>
      <w:pPr>
        <w:jc w:val="both"/>
        <w:spacing w:after="0" w:line="277" w:lineRule="auto"/>
        <w:rPr>
          <w:sz w:val="20"/>
          <w:szCs w:val="20"/>
          <w:color w:val="auto"/>
        </w:rPr>
      </w:pPr>
      <w:r>
        <w:rPr>
          <w:rFonts w:ascii="Arial" w:cs="Arial" w:eastAsia="Arial" w:hAnsi="Arial"/>
          <w:sz w:val="17"/>
          <w:szCs w:val="17"/>
          <w:color w:val="auto"/>
        </w:rPr>
        <w:t>10b-18 and Rule 10b5-1 of the Exchange Act, and has continued to authorize extensions of the plan termination date prior to its expiration since that time. We put the Company 10b5-1 Plan in place because we believe that if our common stock is trading below our then-current net asset value per share, it is in the best interest of our stockholders for us to reinvest in our existing portfolio and increase our leverage ratio through share repurchases.</w:t>
      </w:r>
    </w:p>
    <w:p>
      <w:pPr>
        <w:spacing w:after="0" w:line="173" w:lineRule="exact"/>
        <w:rPr>
          <w:sz w:val="20"/>
          <w:szCs w:val="20"/>
          <w:color w:val="auto"/>
        </w:rPr>
      </w:pPr>
    </w:p>
    <w:p>
      <w:pPr>
        <w:jc w:val="both"/>
        <w:ind w:right="20" w:firstLine="259"/>
        <w:spacing w:after="0" w:line="277" w:lineRule="auto"/>
        <w:rPr>
          <w:sz w:val="20"/>
          <w:szCs w:val="20"/>
          <w:color w:val="auto"/>
        </w:rPr>
      </w:pPr>
      <w:r>
        <w:rPr>
          <w:rFonts w:ascii="Arial" w:cs="Arial" w:eastAsia="Arial" w:hAnsi="Arial"/>
          <w:sz w:val="18"/>
          <w:szCs w:val="18"/>
          <w:color w:val="auto"/>
        </w:rPr>
        <w:t>On May 2, 2019, the Board authorized an amendment to the Company 10b5-1 Plan to revise the market prices at which the agent will repurchase shares of our common stock on its behalf and extend the termination date to November 30, 2019.</w:t>
      </w:r>
    </w:p>
    <w:p>
      <w:pPr>
        <w:spacing w:after="0" w:line="170" w:lineRule="exact"/>
        <w:rPr>
          <w:sz w:val="20"/>
          <w:szCs w:val="20"/>
          <w:color w:val="auto"/>
        </w:rPr>
      </w:pPr>
    </w:p>
    <w:p>
      <w:pPr>
        <w:ind w:right="100" w:firstLine="259"/>
        <w:spacing w:after="0" w:line="270" w:lineRule="auto"/>
        <w:rPr>
          <w:sz w:val="20"/>
          <w:szCs w:val="20"/>
          <w:color w:val="auto"/>
        </w:rPr>
      </w:pPr>
      <w:r>
        <w:rPr>
          <w:rFonts w:ascii="Arial" w:cs="Arial" w:eastAsia="Arial" w:hAnsi="Arial"/>
          <w:sz w:val="17"/>
          <w:szCs w:val="17"/>
          <w:color w:val="auto"/>
        </w:rPr>
        <w:t>The Company 10b5-1 Plan is designed to allow us to repurchase our common stock at times when we otherwise might be prevented from doing so under insider trading laws. The Company 10b5-1 Plan, as amended, requires Goldman Sachs &amp; Co. LLC, as agent, to repurchase shares of common stock on our behalf when the market price per share is just below 1.05x the most recently reported net asset value per share in our public financial statements or publicly announced by us, less the amount of any supplemental dividend that we have publicly announced but that has yet to be reflected in the net asset value per share most recently reported in public financial statements (including any updates, corrections or adjustments publicly announced by us to any such net asset value per share or supplemental dividend). Under the Company 10b5-1 Plan, the agent will increase the volume of purchases made as the price of our common stock declines, subject to volume restrictions. The timing and amount of any stock repurchases depend on the terms and conditions of the Company 10b5-1 Plan, the market price of the common stock and trading volumes, and no assurance can be given that any particular amount of common stock will be repurchased.</w:t>
      </w:r>
    </w:p>
    <w:p>
      <w:pPr>
        <w:spacing w:after="0" w:line="182"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color w:val="auto"/>
        </w:rPr>
        <w:t>Unless otherwise extended or terminated by the Board, the Company 10b5-1 Plan will be in effect through the earlier of the termination date or such time as the current approved repurchase amount of up to $50 million has been fully utilized, subject to certain conditions.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100" w:firstLine="259"/>
        <w:spacing w:after="0" w:line="276"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June 30, 2019, we have originated more than $11.2 billion aggregate principal amount of investments and retained approximately $5.7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6" w:name="page47"/>
    <w:bookmarkEnd w:id="46"/>
    <w:p>
      <w:pPr>
        <w:ind w:right="80" w:firstLine="259"/>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June 30, 2019, our core portfolio companies, which excludes certain investments that fall outside of our typical borrower profile and represent 79.1% of our total investments based on fair value, had weighted average annual revenue of $107.8 million and weighted average annual EBITDA of $32.6 million.</w:t>
      </w:r>
    </w:p>
    <w:p>
      <w:pPr>
        <w:spacing w:after="0" w:line="18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right="160" w:firstLine="259"/>
        <w:spacing w:after="0" w:line="264" w:lineRule="auto"/>
        <w:rPr>
          <w:sz w:val="20"/>
          <w:szCs w:val="20"/>
          <w:color w:val="auto"/>
        </w:rPr>
      </w:pPr>
      <w:r>
        <w:rPr>
          <w:rFonts w:ascii="Arial" w:cs="Arial" w:eastAsia="Arial" w:hAnsi="Arial"/>
          <w:sz w:val="18"/>
          <w:szCs w:val="18"/>
          <w:color w:val="auto"/>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81" w:lineRule="exact"/>
        <w:rPr>
          <w:sz w:val="20"/>
          <w:szCs w:val="20"/>
          <w:color w:val="auto"/>
        </w:rPr>
      </w:pPr>
    </w:p>
    <w:p>
      <w:pPr>
        <w:ind w:right="220" w:firstLine="259"/>
        <w:spacing w:after="0" w:line="308" w:lineRule="auto"/>
        <w:rPr>
          <w:sz w:val="20"/>
          <w:szCs w:val="20"/>
          <w:color w:val="auto"/>
        </w:rPr>
      </w:pPr>
      <w:r>
        <w:rPr>
          <w:rFonts w:ascii="Arial" w:cs="Arial" w:eastAsia="Arial" w:hAnsi="Arial"/>
          <w:sz w:val="17"/>
          <w:szCs w:val="17"/>
          <w:color w:val="auto"/>
        </w:rPr>
        <w:t>The companies in which we invest use our capital to support organic growth, acquisitions, market or product expansion and recapitalizations (including restructurings). As of June 30, 2019, the largest single investment based on fair value represented 4.2% of our total investment portfolio.</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2019, the average investment size in each of our portfolio companies was approximately $36.8 million based on fair value.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i w:val="1"/>
          <w:iCs w:val="1"/>
          <w:color w:val="auto"/>
        </w:rPr>
        <w:t xml:space="preserve">Business and sector selection. </w:t>
      </w:r>
      <w:r>
        <w:rPr>
          <w:rFonts w:ascii="Arial" w:cs="Arial" w:eastAsia="Arial" w:hAnsi="Arial"/>
          <w:sz w:val="18"/>
          <w:szCs w:val="18"/>
          <w:color w:val="auto"/>
        </w:rPr>
        <w:t>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7"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June 30, 2019, the largest industry represented 19.8% of our total investment portfolio based on fair value.</w:t>
      </w:r>
    </w:p>
    <w:p>
      <w:pPr>
        <w:spacing w:after="0" w:line="225" w:lineRule="exact"/>
        <w:rPr>
          <w:sz w:val="20"/>
          <w:szCs w:val="20"/>
          <w:color w:val="auto"/>
        </w:rPr>
      </w:pPr>
    </w:p>
    <w:p>
      <w:pPr>
        <w:ind w:firstLine="259"/>
        <w:spacing w:after="0" w:line="272" w:lineRule="auto"/>
        <w:rPr>
          <w:sz w:val="20"/>
          <w:szCs w:val="20"/>
          <w:color w:val="auto"/>
        </w:rPr>
      </w:pPr>
      <w:r>
        <w:rPr>
          <w:rFonts w:ascii="Arial" w:cs="Arial" w:eastAsia="Arial" w:hAnsi="Arial"/>
          <w:sz w:val="17"/>
          <w:szCs w:val="17"/>
          <w:i w:val="1"/>
          <w:iCs w:val="1"/>
          <w:color w:val="auto"/>
        </w:rPr>
        <w:t xml:space="preserve">Investment Structuring. </w:t>
      </w:r>
      <w:r>
        <w:rPr>
          <w:rFonts w:ascii="Arial" w:cs="Arial" w:eastAsia="Arial" w:hAnsi="Arial"/>
          <w:sz w:val="17"/>
          <w:szCs w:val="17"/>
          <w:color w:val="auto"/>
        </w:rPr>
        <w:t>We focus on investing at the top of the capital structure and protecting that position. As of June 30, 2019, approximately 97.6% of</w:t>
      </w:r>
      <w:r>
        <w:rPr>
          <w:rFonts w:ascii="Arial" w:cs="Arial" w:eastAsia="Arial" w:hAnsi="Arial"/>
          <w:sz w:val="17"/>
          <w:szCs w:val="17"/>
          <w:i w:val="1"/>
          <w:iCs w:val="1"/>
          <w:color w:val="auto"/>
        </w:rPr>
        <w:t xml:space="preserve"> </w:t>
      </w:r>
      <w:r>
        <w:rPr>
          <w:rFonts w:ascii="Arial" w:cs="Arial" w:eastAsia="Arial" w:hAnsi="Arial"/>
          <w:sz w:val="17"/>
          <w:szCs w:val="17"/>
          <w:color w:val="auto"/>
        </w:rPr>
        <w:t>our portfolio was invested in secured debt, including 97.3%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June 30, 2019, the weighted average term on new investment commitments in new portfolio companies was 4.9 years.</w:t>
      </w:r>
    </w:p>
    <w:p>
      <w:pPr>
        <w:spacing w:after="0" w:line="178"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jc w:val="both"/>
        <w:ind w:right="220" w:firstLine="259"/>
        <w:spacing w:after="0" w:line="276" w:lineRule="auto"/>
        <w:rPr>
          <w:sz w:val="20"/>
          <w:szCs w:val="20"/>
          <w:color w:val="auto"/>
        </w:rPr>
      </w:pPr>
      <w:r>
        <w:rPr>
          <w:rFonts w:ascii="Arial" w:cs="Arial" w:eastAsia="Arial" w:hAnsi="Arial"/>
          <w:sz w:val="17"/>
          <w:szCs w:val="17"/>
          <w:i w:val="1"/>
          <w:iCs w:val="1"/>
          <w:color w:val="auto"/>
        </w:rPr>
        <w:t xml:space="preserve">Risk Mitigation. </w:t>
      </w:r>
      <w:r>
        <w:rPr>
          <w:rFonts w:ascii="Arial" w:cs="Arial" w:eastAsia="Arial" w:hAnsi="Arial"/>
          <w:sz w:val="17"/>
          <w:szCs w:val="17"/>
          <w:color w:val="auto"/>
        </w:rPr>
        <w:t>We seek to mitigate non-credit-related risk on our returns in several ways, including call protection provisions to protect future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As of June 30, 2019, we had call protection on 87.0% of our debt investments based on fair value, with weighted average call prices of 106.0% for the first year, 103.5% for the second year and 101.4% for the third year, in each case from the date of the initial investment. As of June 30, 2019, 99.4% of our debt investments based on fair value bore interest at floating rates (when including investment specific hedges), with 94.7% of these subject to interest rate floors, which we believe helps act as a portfolio-wide hedge against inflation.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Relationship with our Adviser and TSSP</w:t>
      </w:r>
    </w:p>
    <w:p>
      <w:pPr>
        <w:spacing w:after="0" w:line="117"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TPG Sixth Street Partners, LLC, or TSSP.</w:t>
      </w:r>
    </w:p>
    <w:p>
      <w:pPr>
        <w:spacing w:after="0" w:line="193" w:lineRule="exact"/>
        <w:rPr>
          <w:sz w:val="20"/>
          <w:szCs w:val="20"/>
          <w:color w:val="auto"/>
        </w:rPr>
      </w:pPr>
    </w:p>
    <w:p>
      <w:pPr>
        <w:ind w:right="20" w:firstLine="259"/>
        <w:spacing w:after="0" w:line="289" w:lineRule="auto"/>
        <w:rPr>
          <w:sz w:val="20"/>
          <w:szCs w:val="20"/>
          <w:color w:val="auto"/>
        </w:rPr>
      </w:pPr>
      <w:r>
        <w:rPr>
          <w:rFonts w:ascii="Arial" w:cs="Arial" w:eastAsia="Arial" w:hAnsi="Arial"/>
          <w:sz w:val="16"/>
          <w:szCs w:val="16"/>
          <w:color w:val="auto"/>
        </w:rPr>
        <w:t>TSSP is a global finance and investment firm with over $31 billion of assets under management as of March 31, 2019. TSSP is in a strategic partnership with TPG, the global alternative asset firm. TSSP’s core platforms include TPG Specialty Lending, TSL Europe, which is aimed at European middle-market loan originations, TSSP Adjacent Opportunities, which has the flexibility to invest across all of TSSP’s private credit market investments, TSSP Opportunities Partners, which focuses on actively managed opportunistic investments across the credit cycle, TPG Institutional Credit Partners, which is a “public-side” credit investment platform focused on investment opportunities in broadly syndicated leveraged loan markets, and TSSP Capital Solutions, which provides financing solutions to growing companies. TSSP has a long-term oriented, highly flexible capital base that allows it to invest across industries, geographies, capital structures and asset classes. TSSP has extensive experience with highly complex, global public and private investments executed through primary originations, secondary market purchases and restructurings, and has a team of over 225 investment and operating professionals. As of June 30, 2019, thirty three (33) of these personnel are dedicated to our business, including twenty five (25) investment professionals.</w:t>
      </w:r>
    </w:p>
    <w:p>
      <w:pPr>
        <w:spacing w:after="0" w:line="167" w:lineRule="exact"/>
        <w:rPr>
          <w:sz w:val="20"/>
          <w:szCs w:val="20"/>
          <w:color w:val="auto"/>
        </w:rPr>
      </w:pPr>
    </w:p>
    <w:p>
      <w:pPr>
        <w:ind w:right="40" w:firstLine="259"/>
        <w:spacing w:after="0" w:line="273" w:lineRule="auto"/>
        <w:rPr>
          <w:sz w:val="20"/>
          <w:szCs w:val="20"/>
          <w:color w:val="auto"/>
        </w:rPr>
      </w:pPr>
      <w:r>
        <w:rPr>
          <w:rFonts w:ascii="Arial" w:cs="Arial" w:eastAsia="Arial" w:hAnsi="Arial"/>
          <w:sz w:val="17"/>
          <w:szCs w:val="17"/>
          <w:color w:val="auto"/>
        </w:rPr>
        <w:t>Our Adviser consults with TSSP in connection with a substantial number of our investments. The TSSP platform provides us with a breadth of large and scalable investment resources. We believe we benefit from TSSP’s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78" w:lineRule="exact"/>
        <w:rPr>
          <w:sz w:val="20"/>
          <w:szCs w:val="20"/>
          <w:color w:val="auto"/>
        </w:rPr>
      </w:pPr>
    </w:p>
    <w:p>
      <w:pPr>
        <w:jc w:val="both"/>
        <w:ind w:right="140" w:firstLine="259"/>
        <w:spacing w:after="0" w:line="259"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ind w:right="120" w:firstLine="259"/>
        <w:spacing w:after="0" w:line="259" w:lineRule="auto"/>
        <w:rPr>
          <w:sz w:val="20"/>
          <w:szCs w:val="20"/>
          <w:color w:val="auto"/>
        </w:rPr>
      </w:pPr>
      <w:r>
        <w:rPr>
          <w:rFonts w:ascii="Arial" w:cs="Arial" w:eastAsia="Arial" w:hAnsi="Arial"/>
          <w:sz w:val="18"/>
          <w:szCs w:val="18"/>
          <w:color w:val="auto"/>
        </w:rPr>
        <w:t>We believe our ability to co-invest with TSSP affiliates is particularly useful where we identify larger capital commitments than otherwise would be appropriate for us. We expect that with the ability to co-invest with TSSP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7" w:lineRule="exact"/>
        <w:rPr>
          <w:sz w:val="20"/>
          <w:szCs w:val="20"/>
          <w:color w:val="auto"/>
        </w:rPr>
      </w:pPr>
    </w:p>
    <w:p>
      <w:pPr>
        <w:jc w:val="both"/>
        <w:ind w:right="180" w:firstLine="259"/>
        <w:spacing w:after="0" w:line="312"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7"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220" w:firstLine="259"/>
        <w:spacing w:after="0" w:line="312" w:lineRule="auto"/>
        <w:rPr>
          <w:sz w:val="20"/>
          <w:szCs w:val="20"/>
          <w:color w:val="auto"/>
        </w:rPr>
      </w:pPr>
      <w:r>
        <w:rPr>
          <w:rFonts w:ascii="Arial" w:cs="Arial" w:eastAsia="Arial" w:hAnsi="Arial"/>
          <w:sz w:val="16"/>
          <w:szCs w:val="16"/>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47" w:lineRule="exact"/>
        <w:rPr>
          <w:sz w:val="20"/>
          <w:szCs w:val="20"/>
          <w:color w:val="auto"/>
        </w:rPr>
      </w:pPr>
    </w:p>
    <w:p>
      <w:pPr>
        <w:ind w:right="440" w:firstLine="259"/>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six years, and, as of June 30, 2019, 99.4% of these investments based on fair value bore interest at a floating rate (when including investment specific hedges), with 94.7% of these subject to interest rate floors. Interest on debt investments is generally payable quarterly or semiannually. Some of our debt investments provide for deferred interest payments or PIK interest. For the three and six months ended June 30, 2019, 3.1% and 3.2% respectively of our total investment income was comprised of PIK interest.</w:t>
      </w:r>
    </w:p>
    <w:p>
      <w:pPr>
        <w:spacing w:after="0" w:line="193" w:lineRule="exact"/>
        <w:rPr>
          <w:sz w:val="20"/>
          <w:szCs w:val="20"/>
          <w:color w:val="auto"/>
        </w:rPr>
      </w:pPr>
    </w:p>
    <w:p>
      <w:pPr>
        <w:ind w:right="20" w:firstLine="259"/>
        <w:spacing w:after="0" w:line="271" w:lineRule="auto"/>
        <w:rPr>
          <w:sz w:val="20"/>
          <w:szCs w:val="20"/>
          <w:color w:val="auto"/>
        </w:rPr>
      </w:pPr>
      <w:r>
        <w:rPr>
          <w:rFonts w:ascii="Arial" w:cs="Arial" w:eastAsia="Arial" w:hAnsi="Arial"/>
          <w:sz w:val="17"/>
          <w:szCs w:val="17"/>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2023 Notes and Convertible Notes, after taking into account the effect of the interest rate swaps we have entered into in connection with the Convertible Notes and 2023 Notes, all bear interest at floating rates. Macro trends in base interest rates like LIBOR may affect our net investment income over the long term. However, because we generally originate loans to a small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79" w:lineRule="exact"/>
        <w:rPr>
          <w:sz w:val="20"/>
          <w:szCs w:val="20"/>
          <w:color w:val="auto"/>
        </w:rPr>
      </w:pPr>
    </w:p>
    <w:p>
      <w:pPr>
        <w:ind w:right="200" w:firstLine="259"/>
        <w:spacing w:after="0" w:line="297" w:lineRule="auto"/>
        <w:rPr>
          <w:sz w:val="20"/>
          <w:szCs w:val="20"/>
          <w:color w:val="auto"/>
        </w:rPr>
      </w:pPr>
      <w:r>
        <w:rPr>
          <w:rFonts w:ascii="Arial" w:cs="Arial" w:eastAsia="Arial" w:hAnsi="Arial"/>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58"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repayments may fluctuate significantly.</w:t>
      </w:r>
    </w:p>
    <w:p>
      <w:pPr>
        <w:spacing w:after="0" w:line="188" w:lineRule="exact"/>
        <w:rPr>
          <w:sz w:val="20"/>
          <w:szCs w:val="20"/>
          <w:color w:val="auto"/>
        </w:rPr>
      </w:pPr>
    </w:p>
    <w:p>
      <w:pPr>
        <w:ind w:right="300" w:firstLine="259"/>
        <w:spacing w:after="0" w:line="277" w:lineRule="auto"/>
        <w:rPr>
          <w:sz w:val="20"/>
          <w:szCs w:val="20"/>
          <w:color w:val="auto"/>
        </w:rPr>
      </w:pPr>
      <w:r>
        <w:rPr>
          <w:rFonts w:ascii="Arial" w:cs="Arial" w:eastAsia="Arial" w:hAnsi="Arial"/>
          <w:sz w:val="18"/>
          <w:szCs w:val="18"/>
          <w:color w:val="auto"/>
        </w:rPr>
        <w:t>Dividend income on common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right="140" w:firstLine="259"/>
        <w:spacing w:after="0" w:line="264"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73" w:lineRule="exact"/>
        <w:rPr>
          <w:sz w:val="20"/>
          <w:szCs w:val="20"/>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color w:val="auto"/>
        </w:rPr>
      </w:pPr>
    </w:p>
    <w:p>
      <w:pPr>
        <w:ind w:left="520" w:right="460" w:hanging="255"/>
        <w:spacing w:after="0" w:line="264"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3"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17" w:lineRule="exact"/>
        <w:rPr>
          <w:rFonts w:ascii="Arial" w:cs="Arial" w:eastAsia="Arial" w:hAnsi="Arial"/>
          <w:sz w:val="18"/>
          <w:szCs w:val="18"/>
          <w:color w:val="auto"/>
        </w:rPr>
      </w:pPr>
    </w:p>
    <w:p>
      <w:pPr>
        <w:ind w:left="520" w:hanging="255"/>
        <w:spacing w:after="0" w:line="257" w:lineRule="auto"/>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provide operational and administrative services to us pursuant to the Administration Agreement (based on the percentage of time those individuals devote, on an estimated basis, to our business and affairs);</w:t>
      </w:r>
    </w:p>
    <w:p>
      <w:pPr>
        <w:spacing w:after="0" w:line="80"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Adviser’s allocable share of costs incurred in providing significant managerial assistance to those portfolio companies that request it;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17" w:lineRule="exact"/>
        <w:rPr>
          <w:rFonts w:ascii="Arial" w:cs="Arial" w:eastAsia="Arial" w:hAnsi="Arial"/>
          <w:sz w:val="18"/>
          <w:szCs w:val="18"/>
          <w:color w:val="auto"/>
        </w:rPr>
      </w:pPr>
    </w:p>
    <w:p>
      <w:pPr>
        <w:ind w:left="520" w:right="320" w:hanging="255"/>
        <w:spacing w:after="0" w:line="342" w:lineRule="auto"/>
        <w:tabs>
          <w:tab w:leader="none" w:pos="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340" w:firstLine="259"/>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93" w:lineRule="exact"/>
        <w:rPr>
          <w:sz w:val="20"/>
          <w:szCs w:val="20"/>
          <w:color w:val="auto"/>
        </w:rPr>
      </w:pPr>
    </w:p>
    <w:p>
      <w:pPr>
        <w:ind w:right="80" w:firstLine="259"/>
        <w:spacing w:after="0" w:line="290" w:lineRule="auto"/>
        <w:rPr>
          <w:sz w:val="20"/>
          <w:szCs w:val="20"/>
          <w:color w:val="auto"/>
        </w:rPr>
      </w:pPr>
      <w:r>
        <w:rPr>
          <w:rFonts w:ascii="Arial" w:cs="Arial" w:eastAsia="Arial" w:hAnsi="Arial"/>
          <w:sz w:val="16"/>
          <w:szCs w:val="16"/>
          <w:color w:val="auto"/>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increase our maximum debt-to-equity ratio from an effective level of one-to-one to two-to-one. 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70" w:lineRule="exact"/>
        <w:rPr>
          <w:sz w:val="20"/>
          <w:szCs w:val="20"/>
          <w:color w:val="auto"/>
        </w:rPr>
      </w:pPr>
    </w:p>
    <w:p>
      <w:pPr>
        <w:ind w:firstLine="259"/>
        <w:spacing w:after="0" w:line="259" w:lineRule="auto"/>
        <w:rPr>
          <w:sz w:val="20"/>
          <w:szCs w:val="20"/>
          <w:color w:val="auto"/>
        </w:rPr>
      </w:pPr>
      <w:r>
        <w:rPr>
          <w:rFonts w:ascii="Arial" w:cs="Arial" w:eastAsia="Arial" w:hAnsi="Arial"/>
          <w:sz w:val="18"/>
          <w:szCs w:val="18"/>
          <w:color w:val="auto"/>
        </w:rPr>
        <w:t>The limited number of dedicated providers of capital to middle-market companies, combined with increases in required capital levels for regulated financial institutions, reduces the capacity of traditional lenders to serve middle-market companies. We believe that the limited availability of capital creates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87"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81" w:lineRule="exact"/>
        <w:rPr>
          <w:sz w:val="20"/>
          <w:szCs w:val="20"/>
          <w:color w:val="auto"/>
        </w:rPr>
      </w:pPr>
    </w:p>
    <w:p>
      <w:pPr>
        <w:ind w:right="180" w:firstLine="259"/>
        <w:spacing w:after="0" w:line="302"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40" w:firstLine="259"/>
        <w:spacing w:after="0" w:line="286" w:lineRule="auto"/>
        <w:rPr>
          <w:sz w:val="20"/>
          <w:szCs w:val="20"/>
          <w:color w:val="auto"/>
        </w:rPr>
      </w:pPr>
      <w:r>
        <w:rPr>
          <w:rFonts w:ascii="Arial" w:cs="Arial" w:eastAsia="Arial" w:hAnsi="Arial"/>
          <w:sz w:val="17"/>
          <w:szCs w:val="17"/>
          <w:color w:val="auto"/>
        </w:rPr>
        <w:t>As of June 30, 2019, our portfolio based on fair value consisted of 97.3% first-lien debt investments, 0.3% second-lien debt investments, 0.1% mezzanine debt investments, and 2.3% equity and other investments. As of December 31, 2018, our portfolio based on fair value consisted of 96.9% first-lien debt investments, 0.2% second-lien debt investments, 0.2% mezzanine debt investments, and 2.7% equity and other investments.</w:t>
      </w:r>
    </w:p>
    <w:p>
      <w:pPr>
        <w:spacing w:after="0" w:line="166" w:lineRule="exact"/>
        <w:rPr>
          <w:sz w:val="20"/>
          <w:szCs w:val="20"/>
          <w:color w:val="auto"/>
        </w:rPr>
      </w:pPr>
    </w:p>
    <w:p>
      <w:pPr>
        <w:ind w:right="460" w:firstLine="259"/>
        <w:spacing w:after="0" w:line="312" w:lineRule="auto"/>
        <w:rPr>
          <w:sz w:val="20"/>
          <w:szCs w:val="20"/>
          <w:color w:val="auto"/>
        </w:rPr>
      </w:pPr>
      <w:r>
        <w:rPr>
          <w:rFonts w:ascii="Arial" w:cs="Arial" w:eastAsia="Arial" w:hAnsi="Arial"/>
          <w:sz w:val="16"/>
          <w:szCs w:val="16"/>
          <w:color w:val="auto"/>
        </w:rPr>
        <w:t>As of June 30, 2019 and December 31, 2018, our weighted average total yield of debt and income-producing securities at fair value (which includes interest income and amortization of fees and discounts) was 11.2% and 11.6%, respectively, and our weighted average total yield of debt and income-producing securities at amortized cost (which includes interest income and amortization of fees and discounts) was 11.4% and 11.7%, respectively.</w:t>
      </w:r>
    </w:p>
    <w:p>
      <w:pPr>
        <w:spacing w:after="0" w:line="147" w:lineRule="exact"/>
        <w:rPr>
          <w:sz w:val="20"/>
          <w:szCs w:val="20"/>
          <w:color w:val="auto"/>
        </w:rPr>
      </w:pPr>
    </w:p>
    <w:p>
      <w:pPr>
        <w:ind w:right="40" w:firstLine="259"/>
        <w:spacing w:after="0" w:line="277" w:lineRule="auto"/>
        <w:rPr>
          <w:sz w:val="20"/>
          <w:szCs w:val="20"/>
          <w:color w:val="auto"/>
        </w:rPr>
      </w:pPr>
      <w:r>
        <w:rPr>
          <w:rFonts w:ascii="Arial" w:cs="Arial" w:eastAsia="Arial" w:hAnsi="Arial"/>
          <w:sz w:val="18"/>
          <w:szCs w:val="18"/>
          <w:color w:val="auto"/>
        </w:rPr>
        <w:t>As of June 30, 2019 and December 31, 2018, we had investments in 56 and 46 portfolio companies, respectively, with an aggregate fair value of $2,060.5 million and $1,706.0 million, respectively.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51" w:name="page52"/>
    <w:bookmarkEnd w:id="51"/>
    <w:p>
      <w:pPr>
        <w:ind w:right="80" w:firstLine="259"/>
        <w:spacing w:after="0" w:line="308" w:lineRule="auto"/>
        <w:rPr>
          <w:sz w:val="20"/>
          <w:szCs w:val="20"/>
          <w:color w:val="auto"/>
        </w:rPr>
      </w:pPr>
      <w:r>
        <w:rPr>
          <w:rFonts w:ascii="Arial" w:cs="Arial" w:eastAsia="Arial" w:hAnsi="Arial"/>
          <w:sz w:val="17"/>
          <w:szCs w:val="17"/>
          <w:color w:val="auto"/>
        </w:rPr>
        <w:t>For the three months ended June 30, 2019, the principal amount of new investments funded was $344.0 million in twelve new portfolio companies and two existing portfolio companies. For this period, we had $128.1 million aggregate principal amount in exits and repayments.</w:t>
      </w:r>
    </w:p>
    <w:p>
      <w:pPr>
        <w:spacing w:after="0" w:line="147"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For the three months ended June 30, 2018, the principal amount of new investments funded was $221.6 million in four new portfolio companies and six existing portfolio companies. For this period, we had $182.9 million aggregate principal amount in exits and repayments.</w:t>
      </w:r>
    </w:p>
    <w:p>
      <w:pPr>
        <w:spacing w:after="0" w:line="170" w:lineRule="exact"/>
        <w:rPr>
          <w:sz w:val="20"/>
          <w:szCs w:val="20"/>
          <w:color w:val="auto"/>
        </w:rPr>
      </w:pPr>
    </w:p>
    <w:p>
      <w:pPr>
        <w:ind w:right="400" w:firstLine="259"/>
        <w:spacing w:after="0" w:line="277" w:lineRule="auto"/>
        <w:rPr>
          <w:sz w:val="20"/>
          <w:szCs w:val="20"/>
          <w:color w:val="auto"/>
        </w:rPr>
      </w:pPr>
      <w:r>
        <w:rPr>
          <w:rFonts w:ascii="Arial" w:cs="Arial" w:eastAsia="Arial" w:hAnsi="Arial"/>
          <w:sz w:val="18"/>
          <w:szCs w:val="18"/>
          <w:color w:val="auto"/>
        </w:rPr>
        <w:t>Our investment activity for the three months ended June 30, 2019 and 2018 is presented below (information presented herein is at par value unless otherwise indicated).</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5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452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92"/>
              </w:rPr>
              <w:t>June 30, 2019</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w w:val="92"/>
              </w:rPr>
              <w:t>June 30, 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7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40"/>
              <w:spacing w:after="0"/>
              <w:rPr>
                <w:sz w:val="20"/>
                <w:szCs w:val="20"/>
                <w:color w:val="auto"/>
              </w:rPr>
            </w:pPr>
            <w:r>
              <w:rPr>
                <w:rFonts w:ascii="Arial" w:cs="Arial" w:eastAsia="Arial" w:hAnsi="Arial"/>
                <w:sz w:val="18"/>
                <w:szCs w:val="18"/>
                <w:color w:val="auto"/>
              </w:rPr>
              <w:t>Gross originations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1,495.4</w:t>
            </w:r>
          </w:p>
        </w:tc>
        <w:tc>
          <w:tcPr>
            <w:tcW w:w="2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944.4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Syndications/sell downs</w:t>
            </w:r>
          </w:p>
        </w:tc>
        <w:tc>
          <w:tcPr>
            <w:tcW w:w="7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1,099.2</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500"/>
              <w:spacing w:after="0"/>
              <w:rPr>
                <w:sz w:val="20"/>
                <w:szCs w:val="20"/>
                <w:color w:val="auto"/>
              </w:rPr>
            </w:pPr>
            <w:r>
              <w:rPr>
                <w:rFonts w:ascii="Arial" w:cs="Arial" w:eastAsia="Arial" w:hAnsi="Arial"/>
                <w:sz w:val="18"/>
                <w:szCs w:val="18"/>
                <w:color w:val="auto"/>
              </w:rPr>
              <w:t>Total new investment commitments</w:t>
            </w:r>
          </w:p>
        </w:tc>
        <w:tc>
          <w:tcPr>
            <w:tcW w:w="7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396.2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265.1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340.0</w:t>
            </w:r>
          </w:p>
        </w:tc>
        <w:tc>
          <w:tcPr>
            <w:tcW w:w="2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215.5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240"/>
              <w:spacing w:after="0"/>
              <w:rPr>
                <w:sz w:val="20"/>
                <w:szCs w:val="20"/>
                <w:color w:val="auto"/>
              </w:rPr>
            </w:pPr>
            <w:r>
              <w:rPr>
                <w:rFonts w:ascii="Arial" w:cs="Arial" w:eastAsia="Arial" w:hAnsi="Arial"/>
                <w:sz w:val="18"/>
                <w:szCs w:val="18"/>
                <w:color w:val="auto"/>
              </w:rPr>
              <w:t>Mezzanine</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7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500"/>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344.0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240"/>
              <w:spacing w:after="0"/>
              <w:rPr>
                <w:sz w:val="20"/>
                <w:szCs w:val="20"/>
                <w:color w:val="auto"/>
              </w:rPr>
            </w:pPr>
            <w:r>
              <w:rPr>
                <w:rFonts w:ascii="Arial" w:cs="Arial" w:eastAsia="Arial" w:hAnsi="Arial"/>
                <w:sz w:val="18"/>
                <w:szCs w:val="18"/>
                <w:color w:val="auto"/>
              </w:rPr>
              <w:t>First-lien</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126.8</w:t>
            </w:r>
          </w:p>
        </w:tc>
        <w:tc>
          <w:tcPr>
            <w:tcW w:w="2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180.7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Second-lien</w:t>
            </w: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240"/>
              <w:spacing w:after="0"/>
              <w:rPr>
                <w:sz w:val="20"/>
                <w:szCs w:val="20"/>
                <w:color w:val="auto"/>
              </w:rPr>
            </w:pPr>
            <w:r>
              <w:rPr>
                <w:rFonts w:ascii="Arial" w:cs="Arial" w:eastAsia="Arial" w:hAnsi="Arial"/>
                <w:sz w:val="18"/>
                <w:szCs w:val="18"/>
                <w:color w:val="auto"/>
              </w:rPr>
              <w:t>Mezzanine</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w:t>
            </w:r>
          </w:p>
        </w:tc>
        <w:tc>
          <w:tcPr>
            <w:tcW w:w="7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52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w:t>
            </w: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52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2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 in new portfolio companies</w:t>
            </w: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52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20" w:type="dxa"/>
            <w:vAlign w:val="bottom"/>
          </w:tcPr>
          <w:p>
            <w:pPr>
              <w:ind w:left="140"/>
              <w:spacing w:after="0"/>
              <w:rPr>
                <w:sz w:val="20"/>
                <w:szCs w:val="20"/>
                <w:color w:val="auto"/>
              </w:rPr>
            </w:pPr>
            <w:r>
              <w:rPr>
                <w:rFonts w:ascii="Arial" w:cs="Arial" w:eastAsia="Arial" w:hAnsi="Arial"/>
                <w:sz w:val="18"/>
                <w:szCs w:val="18"/>
                <w:b w:val="1"/>
                <w:bCs w:val="1"/>
                <w:color w:val="auto"/>
              </w:rPr>
              <w:t xml:space="preserve">at floating rates </w:t>
            </w:r>
            <w:r>
              <w:rPr>
                <w:rFonts w:ascii="Arial" w:cs="Arial" w:eastAsia="Arial" w:hAnsi="Arial"/>
                <w:sz w:val="15"/>
                <w:szCs w:val="15"/>
                <w:b w:val="1"/>
                <w:bCs w:val="1"/>
                <w:color w:val="auto"/>
              </w:rPr>
              <w:t>(1)</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98.0%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1"/>
        </w:trPr>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452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2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1"/>
        </w:trPr>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w:t>
            </w: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floating rate investment commitments</w:t>
            </w: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8.3%</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1"/>
        </w:trPr>
        <w:tc>
          <w:tcPr>
            <w:tcW w:w="452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20" w:type="dxa"/>
            <w:vAlign w:val="bottom"/>
          </w:tcPr>
          <w:p>
            <w:pPr>
              <w:ind w:left="140"/>
              <w:spacing w:after="0"/>
              <w:rPr>
                <w:sz w:val="20"/>
                <w:szCs w:val="20"/>
                <w:color w:val="auto"/>
              </w:rPr>
            </w:pPr>
            <w:r>
              <w:rPr>
                <w:rFonts w:ascii="Arial" w:cs="Arial" w:eastAsia="Arial" w:hAnsi="Arial"/>
                <w:sz w:val="18"/>
                <w:szCs w:val="18"/>
                <w:b w:val="1"/>
                <w:bCs w:val="1"/>
                <w:color w:val="auto"/>
              </w:rPr>
              <w:t>sold or paid down</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20" w:right="220" w:hanging="512"/>
        <w:spacing w:after="0" w:line="277"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two fixed rate investments for the three months ended June 30, 2019, for which we entered into interest rate swap agreements to swap to floating rates.</w:t>
      </w:r>
    </w:p>
    <w:p>
      <w:pPr>
        <w:spacing w:after="0" w:line="3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557" w:right="439" w:bottom="1440" w:gutter="0" w:footer="0" w:header="0"/>
        </w:sectPr>
      </w:pPr>
    </w:p>
    <w:bookmarkStart w:id="52" w:name="page53"/>
    <w:bookmarkEnd w:id="52"/>
    <w:p>
      <w:pPr>
        <w:ind w:left="260"/>
        <w:spacing w:after="0"/>
        <w:rPr>
          <w:sz w:val="20"/>
          <w:szCs w:val="20"/>
          <w:color w:val="auto"/>
        </w:rPr>
      </w:pPr>
      <w:r>
        <w:rPr>
          <w:rFonts w:ascii="Arial" w:cs="Arial" w:eastAsia="Arial" w:hAnsi="Arial"/>
          <w:sz w:val="18"/>
          <w:szCs w:val="18"/>
          <w:color w:val="auto"/>
        </w:rPr>
        <w:t>As of June 30, 2019 and December 31, 2018, our investments consisted of the following:</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3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4"/>
          </w:tcPr>
          <w:p>
            <w:pPr>
              <w:jc w:val="right"/>
              <w:ind w:right="853"/>
              <w:spacing w:after="0"/>
              <w:rPr>
                <w:sz w:val="20"/>
                <w:szCs w:val="20"/>
                <w:color w:val="auto"/>
              </w:rPr>
            </w:pPr>
            <w:r>
              <w:rPr>
                <w:rFonts w:ascii="Arial" w:cs="Arial" w:eastAsia="Arial" w:hAnsi="Arial"/>
                <w:sz w:val="14"/>
                <w:szCs w:val="14"/>
                <w:b w:val="1"/>
                <w:bCs w:val="1"/>
                <w:color w:val="auto"/>
              </w:rPr>
              <w:t>June 30, 2019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5"/>
          </w:tcPr>
          <w:p>
            <w:pPr>
              <w:ind w:left="58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6"/>
        </w:trPr>
        <w:tc>
          <w:tcPr>
            <w:tcW w:w="3300" w:type="dxa"/>
            <w:vAlign w:val="bottom"/>
            <w:tcBorders>
              <w:bottom w:val="single" w:sz="8" w:color="CFF0FC"/>
            </w:tcBorders>
            <w:vMerge w:val="continue"/>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Fair Value</w:t>
            </w:r>
          </w:p>
        </w:tc>
        <w:tc>
          <w:tcPr>
            <w:tcW w:w="22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3"/>
              <w:spacing w:after="0" w:line="155" w:lineRule="exact"/>
              <w:rPr>
                <w:sz w:val="20"/>
                <w:szCs w:val="20"/>
                <w:color w:val="auto"/>
              </w:rPr>
            </w:pPr>
            <w:r>
              <w:rPr>
                <w:rFonts w:ascii="Arial" w:cs="Arial" w:eastAsia="Arial" w:hAnsi="Arial"/>
                <w:sz w:val="14"/>
                <w:szCs w:val="14"/>
                <w:b w:val="1"/>
                <w:bCs w:val="1"/>
                <w:color w:val="auto"/>
                <w:w w:val="94"/>
              </w:rPr>
              <w:t>Amortized Cost</w:t>
            </w:r>
          </w:p>
        </w:tc>
        <w:tc>
          <w:tcPr>
            <w:tcW w:w="2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Fair Value</w:t>
            </w:r>
          </w:p>
        </w:tc>
        <w:tc>
          <w:tcPr>
            <w:tcW w:w="22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First-lien debt investments</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1,975.3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Mezzanine debt investments</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Equity and other investments</w:t>
            </w:r>
          </w:p>
        </w:tc>
        <w:tc>
          <w:tcPr>
            <w:tcW w:w="1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2,060.5</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2,050.3</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1,706.0</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tables show the fair value and amortized cost of our performing and non-accrual investments as of June 30, 2019 and December 31, 2018:</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7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60" w:type="dxa"/>
            <w:vAlign w:val="bottom"/>
            <w:gridSpan w:val="6"/>
          </w:tcPr>
          <w:p>
            <w:pPr>
              <w:ind w:left="820"/>
              <w:spacing w:after="0"/>
              <w:rPr>
                <w:sz w:val="20"/>
                <w:szCs w:val="20"/>
                <w:color w:val="auto"/>
              </w:rPr>
            </w:pPr>
            <w:r>
              <w:rPr>
                <w:rFonts w:ascii="Arial" w:cs="Arial" w:eastAsia="Arial" w:hAnsi="Arial"/>
                <w:sz w:val="14"/>
                <w:szCs w:val="14"/>
                <w:b w:val="1"/>
                <w:bCs w:val="1"/>
                <w:color w:val="auto"/>
              </w:rPr>
              <w:t>June 30, 2019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6"/>
        </w:trPr>
        <w:tc>
          <w:tcPr>
            <w:tcW w:w="2700" w:type="dxa"/>
            <w:vAlign w:val="bottom"/>
            <w:tcBorders>
              <w:bottom w:val="single" w:sz="8" w:color="CFF0FC"/>
            </w:tcBorders>
            <w:vMerge w:val="continue"/>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Percentage</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6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1,706.0</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16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6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1,706.0</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70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7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3"/>
          </w:tcPr>
          <w:p>
            <w:pPr>
              <w:ind w:left="800"/>
              <w:spacing w:after="0"/>
              <w:rPr>
                <w:sz w:val="20"/>
                <w:szCs w:val="20"/>
                <w:color w:val="auto"/>
              </w:rPr>
            </w:pPr>
            <w:r>
              <w:rPr>
                <w:rFonts w:ascii="Arial" w:cs="Arial" w:eastAsia="Arial" w:hAnsi="Arial"/>
                <w:sz w:val="14"/>
                <w:szCs w:val="14"/>
                <w:b w:val="1"/>
                <w:bCs w:val="1"/>
                <w:color w:val="auto"/>
                <w:w w:val="90"/>
              </w:rPr>
              <w:t>June 30, 2019</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56"/>
        </w:trPr>
        <w:tc>
          <w:tcPr>
            <w:tcW w:w="2700" w:type="dxa"/>
            <w:vAlign w:val="bottom"/>
            <w:tcBorders>
              <w:bottom w:val="single" w:sz="8" w:color="CFF0FC"/>
            </w:tcBorders>
            <w:vMerge w:val="continue"/>
          </w:tcPr>
          <w:p>
            <w:pPr>
              <w:spacing w:after="0"/>
              <w:rPr>
                <w:sz w:val="13"/>
                <w:szCs w:val="13"/>
                <w:color w:val="auto"/>
              </w:rPr>
            </w:pPr>
          </w:p>
        </w:tc>
        <w:tc>
          <w:tcPr>
            <w:tcW w:w="1600" w:type="dxa"/>
            <w:vAlign w:val="bottom"/>
            <w:tcBorders>
              <w:bottom w:val="single" w:sz="8" w:color="CFF0FC"/>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w w:val="87"/>
              </w:rPr>
              <w:t>Percentage</w:t>
            </w:r>
          </w:p>
        </w:tc>
        <w:tc>
          <w:tcPr>
            <w:tcW w:w="260" w:type="dxa"/>
            <w:vAlign w:val="bottom"/>
            <w:tcBorders>
              <w:bottom w:val="single" w:sz="8" w:color="CFF0FC"/>
            </w:tcBorders>
            <w:gridSpan w:val="2"/>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w w:val="92"/>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16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1,716.4</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16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gridSpan w:val="2"/>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6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1,716.4</w:t>
            </w:r>
          </w:p>
        </w:tc>
        <w:tc>
          <w:tcPr>
            <w:tcW w:w="2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70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right="20" w:hanging="512"/>
        <w:spacing w:after="0" w:line="276" w:lineRule="auto"/>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3" w:lineRule="exact"/>
        <w:rPr>
          <w:sz w:val="20"/>
          <w:szCs w:val="20"/>
          <w:color w:val="auto"/>
        </w:rPr>
      </w:pPr>
    </w:p>
    <w:p>
      <w:pPr>
        <w:ind w:right="520" w:firstLine="259"/>
        <w:spacing w:after="0" w:line="277" w:lineRule="auto"/>
        <w:rPr>
          <w:sz w:val="20"/>
          <w:szCs w:val="20"/>
          <w:color w:val="auto"/>
        </w:rPr>
      </w:pPr>
      <w:r>
        <w:rPr>
          <w:rFonts w:ascii="Arial" w:cs="Arial" w:eastAsia="Arial" w:hAnsi="Arial"/>
          <w:sz w:val="18"/>
          <w:szCs w:val="18"/>
          <w:color w:val="auto"/>
        </w:rPr>
        <w:t>The weighted average yields and interest rates of our performing debt investments at fair value as of June 30, 2019 and December 31, 2018 were as follows:</w:t>
      </w:r>
    </w:p>
    <w:p>
      <w:pPr>
        <w:spacing w:after="0" w:line="243"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 2019</w:t>
            </w:r>
          </w:p>
        </w:tc>
        <w:tc>
          <w:tcPr>
            <w:tcW w:w="15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December 31, 2018</w:t>
            </w:r>
          </w:p>
        </w:tc>
      </w:tr>
      <w:tr>
        <w:trPr>
          <w:trHeight w:val="209"/>
        </w:trPr>
        <w:tc>
          <w:tcPr>
            <w:tcW w:w="4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total yield of debt and income</w:t>
            </w:r>
          </w:p>
        </w:tc>
        <w:tc>
          <w:tcPr>
            <w:tcW w:w="140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30"/>
        </w:trPr>
        <w:tc>
          <w:tcPr>
            <w:tcW w:w="4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producing securities </w:t>
            </w:r>
            <w:r>
              <w:rPr>
                <w:rFonts w:ascii="Arial" w:cs="Arial" w:eastAsia="Arial" w:hAnsi="Arial"/>
                <w:sz w:val="15"/>
                <w:szCs w:val="15"/>
                <w:color w:val="auto"/>
              </w:rPr>
              <w:t>(1)</w:t>
            </w:r>
          </w:p>
        </w:tc>
        <w:tc>
          <w:tcPr>
            <w:tcW w:w="1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11.2%</w:t>
            </w: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11.6%</w:t>
            </w:r>
          </w:p>
        </w:tc>
      </w:tr>
      <w:tr>
        <w:trPr>
          <w:trHeight w:val="215"/>
        </w:trPr>
        <w:tc>
          <w:tcPr>
            <w:tcW w:w="4660" w:type="dxa"/>
            <w:vAlign w:val="bottom"/>
          </w:tcPr>
          <w:p>
            <w:pPr>
              <w:spacing w:after="0"/>
              <w:rPr>
                <w:sz w:val="20"/>
                <w:szCs w:val="20"/>
                <w:color w:val="auto"/>
              </w:rPr>
            </w:pPr>
            <w:r>
              <w:rPr>
                <w:rFonts w:ascii="Arial" w:cs="Arial" w:eastAsia="Arial" w:hAnsi="Arial"/>
                <w:sz w:val="18"/>
                <w:szCs w:val="18"/>
                <w:color w:val="auto"/>
              </w:rPr>
              <w:t>Weighted average interest rate of debt and income</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660" w:type="dxa"/>
            <w:vAlign w:val="bottom"/>
          </w:tcPr>
          <w:p>
            <w:pPr>
              <w:ind w:left="140"/>
              <w:spacing w:after="0"/>
              <w:rPr>
                <w:sz w:val="20"/>
                <w:szCs w:val="20"/>
                <w:color w:val="auto"/>
              </w:rPr>
            </w:pPr>
            <w:r>
              <w:rPr>
                <w:rFonts w:ascii="Arial" w:cs="Arial" w:eastAsia="Arial" w:hAnsi="Arial"/>
                <w:sz w:val="18"/>
                <w:szCs w:val="18"/>
                <w:color w:val="auto"/>
              </w:rPr>
              <w:t>producing securities</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10.7%</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r>
      <w:tr>
        <w:trPr>
          <w:trHeight w:val="215"/>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spread over LIBOR of all floating</w:t>
            </w: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4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 xml:space="preserve">rate investments </w:t>
            </w:r>
            <w:r>
              <w:rPr>
                <w:rFonts w:ascii="Arial" w:cs="Arial" w:eastAsia="Arial" w:hAnsi="Arial"/>
                <w:sz w:val="15"/>
                <w:szCs w:val="15"/>
                <w:color w:val="auto"/>
              </w:rPr>
              <w:t>(2)</w:t>
            </w:r>
          </w:p>
        </w:tc>
        <w:tc>
          <w:tcPr>
            <w:tcW w:w="1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8.4%</w:t>
            </w: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w:t>
            </w:r>
          </w:p>
        </w:tc>
      </w:tr>
    </w:tbl>
    <w:p>
      <w:pPr>
        <w:spacing w:after="0" w:line="242"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Weighted average total portfolio yield at fair value was 10.9% at June 30, 2019 and 11.3% at December 31, 2018.</w:t>
      </w:r>
    </w:p>
    <w:p>
      <w:pPr>
        <w:spacing w:after="0" w:line="49" w:lineRule="exact"/>
        <w:rPr>
          <w:rFonts w:ascii="Arial" w:cs="Arial" w:eastAsia="Arial" w:hAnsi="Arial"/>
          <w:sz w:val="18"/>
          <w:szCs w:val="18"/>
          <w:color w:val="auto"/>
        </w:rPr>
      </w:pPr>
    </w:p>
    <w:p>
      <w:pPr>
        <w:ind w:left="520" w:hanging="51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fixed rate investments for which we entered into interest rate swap agreements to swap to floating rates.</w:t>
      </w:r>
    </w:p>
    <w:p>
      <w:pPr>
        <w:spacing w:after="0" w:line="225"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73" w:lineRule="exact"/>
        <w:rPr>
          <w:sz w:val="20"/>
          <w:szCs w:val="20"/>
          <w:color w:val="auto"/>
        </w:rPr>
      </w:pPr>
    </w:p>
    <w:p>
      <w:pPr>
        <w:ind w:left="520" w:hanging="255"/>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17" w:lineRule="exact"/>
        <w:rPr>
          <w:rFonts w:ascii="Arial" w:cs="Arial" w:eastAsia="Arial" w:hAnsi="Arial"/>
          <w:sz w:val="18"/>
          <w:szCs w:val="18"/>
          <w:color w:val="auto"/>
        </w:rPr>
      </w:pPr>
    </w:p>
    <w:p>
      <w:pPr>
        <w:ind w:left="520" w:right="220" w:hanging="255"/>
        <w:spacing w:after="0" w:line="277"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53" w:name="page54"/>
    <w:bookmarkEnd w:id="53"/>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240" w:firstLine="259"/>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3" w:lineRule="exact"/>
        <w:rPr>
          <w:sz w:val="20"/>
          <w:szCs w:val="20"/>
          <w:color w:val="auto"/>
        </w:rPr>
      </w:pPr>
    </w:p>
    <w:p>
      <w:pPr>
        <w:jc w:val="both"/>
        <w:ind w:left="520" w:right="820" w:hanging="255"/>
        <w:spacing w:after="0" w:line="264"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73" w:lineRule="exact"/>
        <w:rPr>
          <w:rFonts w:ascii="Arial" w:cs="Arial" w:eastAsia="Arial" w:hAnsi="Arial"/>
          <w:sz w:val="18"/>
          <w:szCs w:val="18"/>
          <w:color w:val="auto"/>
        </w:rPr>
      </w:pPr>
    </w:p>
    <w:p>
      <w:pPr>
        <w:ind w:left="520" w:right="300" w:hanging="255"/>
        <w:spacing w:after="0" w:line="264"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73" w:lineRule="exact"/>
        <w:rPr>
          <w:rFonts w:ascii="Arial" w:cs="Arial" w:eastAsia="Arial" w:hAnsi="Arial"/>
          <w:sz w:val="18"/>
          <w:szCs w:val="18"/>
          <w:color w:val="auto"/>
        </w:rPr>
      </w:pPr>
    </w:p>
    <w:p>
      <w:pPr>
        <w:ind w:left="520" w:right="380" w:hanging="255"/>
        <w:spacing w:after="0" w:line="264"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73" w:lineRule="exact"/>
        <w:rPr>
          <w:rFonts w:ascii="Arial" w:cs="Arial" w:eastAsia="Arial" w:hAnsi="Arial"/>
          <w:sz w:val="18"/>
          <w:szCs w:val="18"/>
          <w:color w:val="auto"/>
        </w:rPr>
      </w:pPr>
    </w:p>
    <w:p>
      <w:pPr>
        <w:ind w:left="520" w:right="160" w:hanging="255"/>
        <w:spacing w:after="0" w:line="255"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85" w:lineRule="exact"/>
        <w:rPr>
          <w:rFonts w:ascii="Arial" w:cs="Arial" w:eastAsia="Arial" w:hAnsi="Arial"/>
          <w:sz w:val="18"/>
          <w:szCs w:val="18"/>
          <w:color w:val="auto"/>
        </w:rPr>
      </w:pPr>
    </w:p>
    <w:p>
      <w:pPr>
        <w:ind w:left="520" w:right="40" w:hanging="255"/>
        <w:spacing w:after="0" w:line="279" w:lineRule="auto"/>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71" w:lineRule="exact"/>
        <w:rPr>
          <w:sz w:val="20"/>
          <w:szCs w:val="20"/>
          <w:color w:val="auto"/>
        </w:rPr>
      </w:pPr>
    </w:p>
    <w:p>
      <w:pPr>
        <w:ind w:right="480" w:firstLine="259"/>
        <w:spacing w:after="0" w:line="286" w:lineRule="auto"/>
        <w:rPr>
          <w:sz w:val="20"/>
          <w:szCs w:val="20"/>
          <w:color w:val="auto"/>
        </w:rPr>
      </w:pPr>
      <w:r>
        <w:rPr>
          <w:rFonts w:ascii="Arial" w:cs="Arial" w:eastAsia="Arial" w:hAnsi="Arial"/>
          <w:sz w:val="17"/>
          <w:szCs w:val="17"/>
          <w:color w:val="auto"/>
        </w:rPr>
        <w:t>The following table shows the distribution of our investments on the 1 to 5 investment performance rating scale at fair value as of June 30, 2019 and December 31, 2018. Investment performance ratings are accurate only as of those dates and may change due to subsequent developments relating to a portfolio company’s business or financial condition, market conditions or developments, and other factors.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Investment</w:t>
            </w:r>
          </w:p>
        </w:tc>
        <w:tc>
          <w:tcPr>
            <w:tcW w:w="3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ind w:left="1400"/>
              <w:spacing w:after="0"/>
              <w:rPr>
                <w:sz w:val="20"/>
                <w:szCs w:val="20"/>
                <w:color w:val="auto"/>
              </w:rPr>
            </w:pPr>
            <w:r>
              <w:rPr>
                <w:rFonts w:ascii="Arial" w:cs="Arial" w:eastAsia="Arial" w:hAnsi="Arial"/>
                <w:sz w:val="14"/>
                <w:szCs w:val="14"/>
                <w:b w:val="1"/>
                <w:bCs w:val="1"/>
                <w:color w:val="auto"/>
              </w:rPr>
              <w:t>June 30, 2019</w:t>
            </w:r>
          </w:p>
        </w:tc>
        <w:tc>
          <w:tcPr>
            <w:tcW w:w="1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3"/>
          </w:tcPr>
          <w:p>
            <w:pPr>
              <w:ind w:left="1240"/>
              <w:spacing w:after="0"/>
              <w:rPr>
                <w:sz w:val="20"/>
                <w:szCs w:val="20"/>
                <w:color w:val="auto"/>
              </w:rPr>
            </w:pPr>
            <w:r>
              <w:rPr>
                <w:rFonts w:ascii="Arial" w:cs="Arial" w:eastAsia="Arial" w:hAnsi="Arial"/>
                <w:sz w:val="14"/>
                <w:szCs w:val="14"/>
                <w:b w:val="1"/>
                <w:bCs w:val="1"/>
                <w:color w:val="auto"/>
                <w:w w:val="95"/>
              </w:rPr>
              <w:t>December 31, 2018</w:t>
            </w:r>
          </w:p>
        </w:tc>
        <w:tc>
          <w:tcPr>
            <w:tcW w:w="1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3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380" w:type="dxa"/>
            <w:vAlign w:val="bottom"/>
            <w:gridSpan w:val="3"/>
          </w:tcPr>
          <w:p>
            <w:pPr>
              <w:jc w:val="center"/>
              <w:ind w:right="1040"/>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60" w:type="dxa"/>
            <w:vAlign w:val="bottom"/>
            <w:gridSpan w:val="3"/>
          </w:tcPr>
          <w:p>
            <w:pPr>
              <w:jc w:val="center"/>
              <w:ind w:right="1120"/>
              <w:spacing w:after="0" w:line="147" w:lineRule="exact"/>
              <w:rPr>
                <w:sz w:val="20"/>
                <w:szCs w:val="20"/>
                <w:color w:val="auto"/>
              </w:rPr>
            </w:pPr>
            <w:r>
              <w:rPr>
                <w:rFonts w:ascii="Arial" w:cs="Arial" w:eastAsia="Arial" w:hAnsi="Arial"/>
                <w:sz w:val="14"/>
                <w:szCs w:val="14"/>
                <w:b w:val="1"/>
                <w:bCs w:val="1"/>
                <w:color w:val="auto"/>
                <w:w w:val="91"/>
              </w:rPr>
              <w:t>Investments at</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Performance</w:t>
            </w:r>
          </w:p>
        </w:tc>
        <w:tc>
          <w:tcPr>
            <w:tcW w:w="320" w:type="dxa"/>
            <w:vAlign w:val="bottom"/>
          </w:tcPr>
          <w:p>
            <w:pPr>
              <w:spacing w:after="0"/>
              <w:rPr>
                <w:sz w:val="14"/>
                <w:szCs w:val="14"/>
                <w:color w:val="auto"/>
              </w:rPr>
            </w:pPr>
          </w:p>
        </w:tc>
        <w:tc>
          <w:tcPr>
            <w:tcW w:w="2380" w:type="dxa"/>
            <w:vAlign w:val="bottom"/>
            <w:gridSpan w:val="3"/>
          </w:tcPr>
          <w:p>
            <w:pPr>
              <w:jc w:val="center"/>
              <w:ind w:right="1060"/>
              <w:spacing w:after="0"/>
              <w:rPr>
                <w:sz w:val="20"/>
                <w:szCs w:val="20"/>
                <w:color w:val="auto"/>
              </w:rPr>
            </w:pPr>
            <w:r>
              <w:rPr>
                <w:rFonts w:ascii="Arial" w:cs="Arial" w:eastAsia="Arial" w:hAnsi="Arial"/>
                <w:sz w:val="14"/>
                <w:szCs w:val="14"/>
                <w:b w:val="1"/>
                <w:bCs w:val="1"/>
                <w:color w:val="auto"/>
                <w:w w:val="95"/>
              </w:rPr>
              <w:t>Fair Value</w:t>
            </w:r>
          </w:p>
        </w:tc>
        <w:tc>
          <w:tcPr>
            <w:tcW w:w="18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Percentage of</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gridSpan w:val="3"/>
          </w:tcPr>
          <w:p>
            <w:pPr>
              <w:jc w:val="center"/>
              <w:ind w:right="1140"/>
              <w:spacing w:after="0"/>
              <w:rPr>
                <w:sz w:val="20"/>
                <w:szCs w:val="20"/>
                <w:color w:val="auto"/>
              </w:rPr>
            </w:pPr>
            <w:r>
              <w:rPr>
                <w:rFonts w:ascii="Arial" w:cs="Arial" w:eastAsia="Arial" w:hAnsi="Arial"/>
                <w:sz w:val="14"/>
                <w:szCs w:val="14"/>
                <w:b w:val="1"/>
                <w:bCs w:val="1"/>
                <w:color w:val="auto"/>
                <w:w w:val="95"/>
              </w:rPr>
              <w:t>Fair Value</w:t>
            </w:r>
          </w:p>
        </w:tc>
        <w:tc>
          <w:tcPr>
            <w:tcW w:w="16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7"/>
              </w:rPr>
              <w:t>Percentage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w:t>
            </w:r>
          </w:p>
        </w:tc>
        <w:tc>
          <w:tcPr>
            <w:tcW w:w="3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93"/>
              </w:rPr>
              <w:t>($ in millions)</w:t>
            </w:r>
          </w:p>
        </w:tc>
        <w:tc>
          <w:tcPr>
            <w:tcW w:w="32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Total Portfolio</w:t>
            </w:r>
          </w:p>
        </w:tc>
        <w:tc>
          <w:tcPr>
            <w:tcW w:w="2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93"/>
              </w:rPr>
              <w:t>($ in millions)</w:t>
            </w:r>
          </w:p>
        </w:tc>
        <w:tc>
          <w:tcPr>
            <w:tcW w:w="32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96"/>
              </w:rPr>
              <w:t>Total Portfolio</w:t>
            </w:r>
          </w:p>
        </w:tc>
        <w:tc>
          <w:tcPr>
            <w:tcW w:w="18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8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rPr>
              <w:t>1</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1,735.4</w:t>
            </w: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1,531.4</w:t>
            </w: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80" w:type="dxa"/>
            <w:vAlign w:val="bottom"/>
          </w:tcPr>
          <w:p>
            <w:pPr>
              <w:jc w:val="right"/>
              <w:ind w:right="816"/>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273.6</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118.1</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rPr>
              <w:t>3</w:t>
            </w: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3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80" w:type="dxa"/>
            <w:vAlign w:val="bottom"/>
          </w:tcPr>
          <w:p>
            <w:pPr>
              <w:jc w:val="right"/>
              <w:ind w:right="816"/>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8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6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rPr>
              <w:t>5</w:t>
            </w:r>
          </w:p>
        </w:tc>
        <w:tc>
          <w:tcPr>
            <w:tcW w:w="3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Total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2,060.5</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1,706.0</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1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tcPr>
          <w:p>
            <w:pPr>
              <w:jc w:val="right"/>
              <w:ind w:right="694"/>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results for the three and six months ended June 30, 2019 and 2018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60" w:type="dxa"/>
            <w:vAlign w:val="bottom"/>
          </w:tcPr>
          <w:p>
            <w:pPr>
              <w:spacing w:after="0"/>
              <w:rPr>
                <w:sz w:val="11"/>
                <w:szCs w:val="11"/>
                <w:color w:val="auto"/>
              </w:rPr>
            </w:pPr>
          </w:p>
        </w:tc>
        <w:tc>
          <w:tcPr>
            <w:tcW w:w="4680" w:type="dxa"/>
            <w:vAlign w:val="bottom"/>
            <w:gridSpan w:val="2"/>
            <w:vMerge w:val="restart"/>
          </w:tcPr>
          <w:p>
            <w:pPr>
              <w:ind w:left="1360"/>
              <w:spacing w:after="0"/>
              <w:rPr>
                <w:sz w:val="20"/>
                <w:szCs w:val="20"/>
                <w:color w:val="auto"/>
              </w:rPr>
            </w:pPr>
            <w:r>
              <w:rPr>
                <w:rFonts w:ascii="Arial" w:cs="Arial" w:eastAsia="Arial" w:hAnsi="Arial"/>
                <w:sz w:val="14"/>
                <w:szCs w:val="14"/>
                <w:color w:val="auto"/>
              </w:rPr>
              <w:t>($ in millions)</w:t>
            </w:r>
          </w:p>
        </w:tc>
        <w:tc>
          <w:tcPr>
            <w:tcW w:w="3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55"/>
              <w:spacing w:after="0" w:line="133" w:lineRule="exact"/>
              <w:rPr>
                <w:sz w:val="20"/>
                <w:szCs w:val="20"/>
                <w:color w:val="auto"/>
              </w:rPr>
            </w:pPr>
            <w:r>
              <w:rPr>
                <w:rFonts w:ascii="Arial" w:cs="Arial" w:eastAsia="Arial" w:hAnsi="Arial"/>
                <w:sz w:val="14"/>
                <w:szCs w:val="14"/>
                <w:b w:val="1"/>
                <w:bCs w:val="1"/>
                <w:color w:val="auto"/>
                <w:w w:val="92"/>
              </w:rPr>
              <w:t>June 30,</w:t>
            </w: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54"/>
              <w:spacing w:after="0" w:line="133" w:lineRule="exact"/>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rPr>
              <w:t>June 30,</w:t>
            </w: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54"/>
              <w:spacing w:after="0" w:line="133" w:lineRule="exact"/>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60" w:type="dxa"/>
            <w:vAlign w:val="bottom"/>
          </w:tcPr>
          <w:p>
            <w:pPr>
              <w:spacing w:after="0"/>
              <w:rPr>
                <w:sz w:val="9"/>
                <w:szCs w:val="9"/>
                <w:color w:val="auto"/>
              </w:rPr>
            </w:pPr>
          </w:p>
        </w:tc>
        <w:tc>
          <w:tcPr>
            <w:tcW w:w="468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3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3320" w:type="dxa"/>
            <w:vAlign w:val="bottom"/>
            <w:tcBorders>
              <w:bottom w:val="single" w:sz="8" w:color="CFF0FC"/>
            </w:tcBorders>
          </w:tcPr>
          <w:p>
            <w:pPr>
              <w:spacing w:after="0"/>
              <w:rPr>
                <w:sz w:val="5"/>
                <w:szCs w:val="5"/>
                <w:color w:val="auto"/>
              </w:rPr>
            </w:pPr>
          </w:p>
        </w:tc>
        <w:tc>
          <w:tcPr>
            <w:tcW w:w="320" w:type="dxa"/>
            <w:vAlign w:val="bottom"/>
            <w:tcBorders>
              <w:bottom w:val="single" w:sz="8" w:color="CFF0FC"/>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380" w:type="dxa"/>
            <w:vAlign w:val="bottom"/>
            <w:tcBorders>
              <w:bottom w:val="single" w:sz="8" w:color="CFF0FC"/>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220" w:type="dxa"/>
            <w:vAlign w:val="bottom"/>
            <w:tcBorders>
              <w:bottom w:val="single" w:sz="8" w:color="CFF0FC"/>
            </w:tcBorders>
          </w:tcPr>
          <w:p>
            <w:pPr>
              <w:spacing w:after="0"/>
              <w:rPr>
                <w:sz w:val="5"/>
                <w:szCs w:val="5"/>
                <w:color w:val="auto"/>
              </w:rPr>
            </w:pPr>
          </w:p>
        </w:tc>
        <w:tc>
          <w:tcPr>
            <w:tcW w:w="160" w:type="dxa"/>
            <w:vAlign w:val="bottom"/>
            <w:tcBorders>
              <w:bottom w:val="single" w:sz="8" w:color="CFF0FC"/>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380" w:type="dxa"/>
            <w:vAlign w:val="bottom"/>
            <w:tcBorders>
              <w:bottom w:val="single" w:sz="8" w:color="CFF0FC"/>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Total investment income</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Net expenses</w:t>
            </w:r>
          </w:p>
        </w:tc>
        <w:tc>
          <w:tcPr>
            <w:tcW w:w="3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3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3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 before income</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taxes</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320" w:type="dxa"/>
            <w:vAlign w:val="bottom"/>
          </w:tcPr>
          <w:p>
            <w:pPr>
              <w:ind w:left="240"/>
              <w:spacing w:after="0"/>
              <w:rPr>
                <w:sz w:val="20"/>
                <w:szCs w:val="20"/>
                <w:color w:val="auto"/>
              </w:rPr>
            </w:pPr>
            <w:r>
              <w:rPr>
                <w:rFonts w:ascii="Arial" w:cs="Arial" w:eastAsia="Arial" w:hAnsi="Arial"/>
                <w:sz w:val="18"/>
                <w:szCs w:val="18"/>
                <w:color w:val="auto"/>
              </w:rPr>
              <w:t>Less: Income taxes, including excise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3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taxes</w:t>
            </w:r>
          </w:p>
        </w:tc>
        <w:tc>
          <w:tcPr>
            <w:tcW w:w="3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investment income</w:t>
            </w: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 xml:space="preserve">Net realized gains (losses) </w:t>
            </w:r>
            <w:r>
              <w:rPr>
                <w:rFonts w:ascii="Arial" w:cs="Arial" w:eastAsia="Arial" w:hAnsi="Arial"/>
                <w:sz w:val="15"/>
                <w:szCs w:val="15"/>
                <w:color w:val="auto"/>
              </w:rPr>
              <w:t>(1)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change in unrealized gains </w:t>
            </w:r>
            <w:r>
              <w:rPr>
                <w:rFonts w:ascii="Arial" w:cs="Arial" w:eastAsia="Arial" w:hAnsi="Arial"/>
                <w:sz w:val="15"/>
                <w:szCs w:val="15"/>
                <w:color w:val="auto"/>
              </w:rPr>
              <w:t>(1)</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3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3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320" w:type="dxa"/>
            <w:vAlign w:val="bottom"/>
          </w:tcPr>
          <w:p>
            <w:pPr>
              <w:ind w:left="240"/>
              <w:spacing w:after="0" w:line="205" w:lineRule="exact"/>
              <w:rPr>
                <w:sz w:val="20"/>
                <w:szCs w:val="20"/>
                <w:color w:val="auto"/>
              </w:rPr>
            </w:pPr>
            <w:r>
              <w:rPr>
                <w:rFonts w:ascii="Arial" w:cs="Arial" w:eastAsia="Arial" w:hAnsi="Arial"/>
                <w:sz w:val="18"/>
                <w:szCs w:val="18"/>
                <w:b w:val="1"/>
                <w:bCs w:val="1"/>
                <w:color w:val="auto"/>
              </w:rPr>
              <w:t>Net increase in net assets resulting</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320" w:type="dxa"/>
            <w:vAlign w:val="bottom"/>
          </w:tcPr>
          <w:p>
            <w:pPr>
              <w:ind w:left="380"/>
              <w:spacing w:after="0"/>
              <w:rPr>
                <w:sz w:val="20"/>
                <w:szCs w:val="20"/>
                <w:color w:val="auto"/>
              </w:rPr>
            </w:pPr>
            <w:r>
              <w:rPr>
                <w:rFonts w:ascii="Arial" w:cs="Arial" w:eastAsia="Arial" w:hAnsi="Arial"/>
                <w:sz w:val="18"/>
                <w:szCs w:val="18"/>
                <w:b w:val="1"/>
                <w:bCs w:val="1"/>
                <w:color w:val="auto"/>
              </w:rPr>
              <w:t>from operations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86.5</w:t>
            </w:r>
          </w:p>
        </w:tc>
        <w:tc>
          <w:tcPr>
            <w:tcW w:w="3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Arial" w:cs="Arial" w:eastAsia="Arial" w:hAnsi="Arial"/>
                <w:sz w:val="18"/>
                <w:szCs w:val="18"/>
                <w:color w:val="auto"/>
                <w:w w:val="90"/>
              </w:rPr>
              <w:t>(1)</w:t>
            </w:r>
          </w:p>
        </w:tc>
        <w:tc>
          <w:tcPr>
            <w:tcW w:w="4680" w:type="dxa"/>
            <w:vAlign w:val="bottom"/>
            <w:gridSpan w:val="2"/>
            <w:vMerge w:val="restart"/>
          </w:tcPr>
          <w:p>
            <w:pPr>
              <w:ind w:left="160"/>
              <w:spacing w:after="0"/>
              <w:rPr>
                <w:sz w:val="20"/>
                <w:szCs w:val="20"/>
                <w:color w:val="auto"/>
              </w:rPr>
            </w:pPr>
            <w:r>
              <w:rPr>
                <w:rFonts w:ascii="Arial" w:cs="Arial" w:eastAsia="Arial" w:hAnsi="Arial"/>
                <w:sz w:val="18"/>
                <w:szCs w:val="18"/>
                <w:color w:val="auto"/>
              </w:rPr>
              <w:t>Includes foreign exchange hedging activity.</w:t>
            </w: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 w:type="dxa"/>
            <w:vAlign w:val="bottom"/>
            <w:vMerge w:val="continue"/>
          </w:tcPr>
          <w:p>
            <w:pPr>
              <w:spacing w:after="0"/>
              <w:rPr>
                <w:sz w:val="24"/>
                <w:szCs w:val="24"/>
                <w:color w:val="auto"/>
              </w:rPr>
            </w:pPr>
          </w:p>
        </w:tc>
        <w:tc>
          <w:tcPr>
            <w:tcW w:w="46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57"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2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80" w:type="dxa"/>
            <w:vAlign w:val="bottom"/>
            <w:gridSpan w:val="6"/>
          </w:tcPr>
          <w:p>
            <w:pPr>
              <w:ind w:lef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
        </w:trPr>
        <w:tc>
          <w:tcPr>
            <w:tcW w:w="29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9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58"/>
              <w:spacing w:after="0" w:line="133" w:lineRule="exact"/>
              <w:rPr>
                <w:sz w:val="20"/>
                <w:szCs w:val="20"/>
                <w:color w:val="auto"/>
              </w:rPr>
            </w:pPr>
            <w:r>
              <w:rPr>
                <w:rFonts w:ascii="Arial" w:cs="Arial" w:eastAsia="Arial" w:hAnsi="Arial"/>
                <w:sz w:val="14"/>
                <w:szCs w:val="14"/>
                <w:b w:val="1"/>
                <w:bCs w:val="1"/>
                <w:color w:val="auto"/>
                <w:w w:val="92"/>
              </w:rPr>
              <w:t>June 30,</w:t>
            </w: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56"/>
              <w:spacing w:after="0" w:line="133" w:lineRule="exact"/>
              <w:rPr>
                <w:sz w:val="20"/>
                <w:szCs w:val="20"/>
                <w:color w:val="auto"/>
              </w:rPr>
            </w:pPr>
            <w:r>
              <w:rPr>
                <w:rFonts w:ascii="Arial" w:cs="Arial" w:eastAsia="Arial" w:hAnsi="Arial"/>
                <w:sz w:val="14"/>
                <w:szCs w:val="14"/>
                <w:b w:val="1"/>
                <w:bCs w:val="1"/>
                <w:color w:val="auto"/>
                <w:w w:val="92"/>
              </w:rPr>
              <w:t>June 30,</w:t>
            </w: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rPr>
              <w:t>June 30,</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56"/>
              <w:spacing w:after="0" w:line="133" w:lineRule="exact"/>
              <w:rPr>
                <w:sz w:val="20"/>
                <w:szCs w:val="20"/>
                <w:color w:val="auto"/>
              </w:rPr>
            </w:pPr>
            <w:r>
              <w:rPr>
                <w:rFonts w:ascii="Arial" w:cs="Arial" w:eastAsia="Arial" w:hAnsi="Arial"/>
                <w:sz w:val="14"/>
                <w:szCs w:val="14"/>
                <w:b w:val="1"/>
                <w:bCs w:val="1"/>
                <w:color w:val="auto"/>
                <w:w w:val="89"/>
              </w:rPr>
              <w:t>June 30,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90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Interest from investments</w:t>
            </w: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3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Dividend income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7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3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00" w:type="dxa"/>
            <w:vAlign w:val="bottom"/>
          </w:tcPr>
          <w:p>
            <w:pPr>
              <w:ind w:left="240"/>
              <w:spacing w:after="0"/>
              <w:rPr>
                <w:sz w:val="20"/>
                <w:szCs w:val="20"/>
                <w:color w:val="auto"/>
              </w:rPr>
            </w:pPr>
            <w:r>
              <w:rPr>
                <w:rFonts w:ascii="Arial" w:cs="Arial" w:eastAsia="Arial" w:hAnsi="Arial"/>
                <w:sz w:val="18"/>
                <w:szCs w:val="18"/>
                <w:b w:val="1"/>
                <w:bCs w:val="1"/>
                <w:color w:val="auto"/>
              </w:rPr>
              <w:t>Total investment income</w:t>
            </w:r>
          </w:p>
        </w:tc>
        <w:tc>
          <w:tcPr>
            <w:tcW w:w="7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259"/>
        <w:spacing w:after="0" w:line="287" w:lineRule="auto"/>
        <w:rPr>
          <w:sz w:val="20"/>
          <w:szCs w:val="20"/>
          <w:color w:val="auto"/>
        </w:rPr>
      </w:pPr>
      <w:r>
        <w:rPr>
          <w:rFonts w:ascii="Arial" w:cs="Arial" w:eastAsia="Arial" w:hAnsi="Arial"/>
          <w:sz w:val="16"/>
          <w:szCs w:val="16"/>
          <w:color w:val="auto"/>
        </w:rPr>
        <w:t>Interest from investments, which includes amortization of upfront fees and prepayment fees, decreased from $63.1 million for the three months ended June 30, 2018 to $60.5 million for the three months ended June 30, 2019. The decrease in interest from investments was primarily a result of a decrease in accelerated amortization of upfront fees and prepayment fees, while the average size of our investment portfolio was $1.9 billion for both the three months ended June 30, 2018 and 2019. Accelerated amortization of upfront fees, which were primarily from unscheduled paydowns, decreased from $4.6 million for the three months ended June 30, 2018 to $2.5 million for the three months ended June 30, 2019. Prepayment fees decreased from $3.0 million for the three months ended June 30, 2018 to $2.4 million for the three months ended June 30, 2019. The accelerated amortization of upfront fees and prepayment fees primarily resulted from full paydowns on three portfolio investments, a partial realization on one portfolio investment and earning prepayment fees on three portfolio investments during the three months ended June 30, 2018. The accelerated amortization of upfront fees and prepayment fees primarily resulted from full paydowns on four portfolio investments, one partial paydown and earning prepayment fees on two portfolio investments during the three months ended June 30, 2019. Dividend income was less than $0.1 million for the three months ended June 30, 2018 and the three months ended June 30, 2019. Other income decreased from $3.3 million for the three months ended June 30, 2018 to $1.9 million for the three months ended June 30, 2019, primarily due to lower syndication fees during the three months ended June 30, 2019 compared to the same period in 2018.</w:t>
      </w:r>
    </w:p>
    <w:p>
      <w:pPr>
        <w:spacing w:after="0" w:line="209" w:lineRule="exact"/>
        <w:rPr>
          <w:sz w:val="20"/>
          <w:szCs w:val="20"/>
          <w:color w:val="auto"/>
        </w:rPr>
      </w:pPr>
    </w:p>
    <w:p>
      <w:pPr>
        <w:ind w:right="20" w:firstLine="259"/>
        <w:spacing w:after="0" w:line="269" w:lineRule="auto"/>
        <w:rPr>
          <w:sz w:val="20"/>
          <w:szCs w:val="20"/>
          <w:color w:val="auto"/>
        </w:rPr>
      </w:pPr>
      <w:r>
        <w:rPr>
          <w:rFonts w:ascii="Arial" w:cs="Arial" w:eastAsia="Arial" w:hAnsi="Arial"/>
          <w:sz w:val="17"/>
          <w:szCs w:val="17"/>
          <w:color w:val="auto"/>
        </w:rPr>
        <w:t>Interest from investments, which includes amortization of upfront fees and prepayment fees, decreased from $114.8 million for the six months ended June 30, 2018 to $110.8 million for the six months ended June 30, 2019. The decrease in interest from investments was primarily a result of a decrease in accelerated amortization of upfront fees and prepayment fees, while the average size of our investment portfolio was $1.9 billion for both the six months ended June 30, 2018 and 2019. Accelerated amortization of upfront fees, which were primarily from unscheduled paydowns, decreased from $5.9 million for the six months ended June 30, 2018 to $2.8 million for the six months ended June 30, 2019; and prepayment fees decreased from $6.7 million for the six months ended June 30, 2018 to $3.0 million for the six months ended June 30, 2019. The accelerated amortization of upfront fees and prepayment fees primarily resulted from full paydowns on six portfolio investments, a partial paydown on one portfolio investment, a partial realization on one portfolio investment, and earning prepayment fees on eight portfolio investments during the six months ended June 30, 2018 and full paydowns on five portfolio investments, one partial paydown and earning prepayment fees on three portfolio investment during the six months ended June 30, 2019. Other income decreased from $9.2 million for the six months ended June 30, 2018 to $4.1 million for the six months ended June 30, 2019, primarily due to higher syndication, amendment and commitment fees earned during the first half of 2018.</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 expenses for the three and six months ended June 30, 2019 and 2018 were as follows: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9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20" w:type="dxa"/>
            <w:vAlign w:val="bottom"/>
          </w:tcPr>
          <w:p>
            <w:pPr>
              <w:spacing w:after="0"/>
              <w:rPr>
                <w:sz w:val="14"/>
                <w:szCs w:val="14"/>
                <w:color w:val="auto"/>
              </w:rPr>
            </w:pPr>
          </w:p>
        </w:tc>
        <w:tc>
          <w:tcPr>
            <w:tcW w:w="20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72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3"/>
        </w:trPr>
        <w:tc>
          <w:tcPr>
            <w:tcW w:w="3980" w:type="dxa"/>
            <w:vAlign w:val="bottom"/>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rPr>
              <w:t>June 30,</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74"/>
              <w:spacing w:after="0" w:line="133" w:lineRule="exact"/>
              <w:rPr>
                <w:sz w:val="20"/>
                <w:szCs w:val="20"/>
                <w:color w:val="auto"/>
              </w:rPr>
            </w:pPr>
            <w:r>
              <w:rPr>
                <w:rFonts w:ascii="Arial" w:cs="Arial" w:eastAsia="Arial" w:hAnsi="Arial"/>
                <w:sz w:val="14"/>
                <w:szCs w:val="14"/>
                <w:b w:val="1"/>
                <w:bCs w:val="1"/>
                <w:color w:val="auto"/>
                <w:w w:val="92"/>
              </w:rPr>
              <w:t>June 30,</w:t>
            </w:r>
          </w:p>
        </w:tc>
        <w:tc>
          <w:tcPr>
            <w:tcW w:w="3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rPr>
              <w:t>June 30,</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74"/>
              <w:spacing w:after="0" w:line="133" w:lineRule="exact"/>
              <w:rPr>
                <w:sz w:val="20"/>
                <w:szCs w:val="20"/>
                <w:color w:val="auto"/>
              </w:rPr>
            </w:pPr>
            <w:r>
              <w:rPr>
                <w:rFonts w:ascii="Arial" w:cs="Arial" w:eastAsia="Arial" w:hAnsi="Arial"/>
                <w:sz w:val="14"/>
                <w:szCs w:val="14"/>
                <w:b w:val="1"/>
                <w:bCs w:val="1"/>
                <w:color w:val="auto"/>
                <w:w w:val="92"/>
              </w:rPr>
              <w:t>June 30,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related to pre-incentive fee</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investment income (net of waivers)</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80" w:type="dxa"/>
            <w:vAlign w:val="bottom"/>
          </w:tcPr>
          <w:p>
            <w:pPr>
              <w:spacing w:after="0"/>
              <w:rPr>
                <w:sz w:val="20"/>
                <w:szCs w:val="20"/>
                <w:color w:val="auto"/>
              </w:rPr>
            </w:pPr>
            <w:r>
              <w:rPr>
                <w:rFonts w:ascii="Arial" w:cs="Arial" w:eastAsia="Arial" w:hAnsi="Arial"/>
                <w:sz w:val="18"/>
                <w:szCs w:val="18"/>
                <w:color w:val="auto"/>
              </w:rPr>
              <w:t>Incentive fees related to realized/unrealized</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140"/>
              <w:spacing w:after="0"/>
              <w:rPr>
                <w:sz w:val="20"/>
                <w:szCs w:val="20"/>
                <w:color w:val="auto"/>
              </w:rPr>
            </w:pPr>
            <w:r>
              <w:rPr>
                <w:rFonts w:ascii="Arial" w:cs="Arial" w:eastAsia="Arial" w:hAnsi="Arial"/>
                <w:sz w:val="18"/>
                <w:szCs w:val="18"/>
                <w:color w:val="auto"/>
              </w:rPr>
              <w:t>capital gains</w:t>
            </w:r>
          </w:p>
        </w:tc>
        <w:tc>
          <w:tcPr>
            <w:tcW w:w="1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Directors fees</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w:t>
            </w: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b w:val="1"/>
                <w:bCs w:val="1"/>
                <w:color w:val="auto"/>
              </w:rPr>
              <w:t>Net Expenses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3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jc w:val="both"/>
        <w:ind w:right="120" w:firstLine="259"/>
        <w:spacing w:after="0" w:line="259" w:lineRule="auto"/>
        <w:rPr>
          <w:sz w:val="20"/>
          <w:szCs w:val="20"/>
          <w:color w:val="auto"/>
        </w:rPr>
      </w:pPr>
      <w:r>
        <w:rPr>
          <w:rFonts w:ascii="Arial" w:cs="Arial" w:eastAsia="Arial" w:hAnsi="Arial"/>
          <w:sz w:val="18"/>
          <w:szCs w:val="18"/>
          <w:color w:val="auto"/>
        </w:rPr>
        <w:t>Interest expense, including other debt financing expenses, increased from $11.2 million for the three months ended June 30, 2018 to $12.7 million for the three months ended June 30, 2019. This increase was primarily due to an increase in the average interest rate on our debt outstanding from the three months ended June 30, 2018 to the three months ended June 30, 2019. The average interest rate on our debt outstanding increased from 4.1% for three months ended June 30, 2018 to 4.6% for the three months ended June 30, 2019.</w:t>
      </w:r>
    </w:p>
    <w:p>
      <w:pPr>
        <w:spacing w:after="0" w:line="187"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Interest expense, including other debt financing expenses, increased from $20.2 million for the six months ended June 30, 2018 to $23.1 million for the six months ended June 30, 2019. This increase was primarily due to an increase in the average interest rate on our debt outstanding from 3.9% for the six months ended June 30, 2018 to 4.7% for the six months ended June 30, 2019.</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Management Fees (net of waivers) increased from $7.3 million for the three months ended June 30, 2018 to $7.4 million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June 30, 2019 due to an increase in assets for the three months ended June 30, 2019 compared to the same period in 2018. The Adviser did not waive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Management Fees for the three months ended June 30, 2019 or 2018.</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Management Fees (net of waivers) was $14.0 million for both the six months ended June 30, 2018 and 2019. Management Fees (gross of waivers)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$14.0 million for both the six months ended June 30, 2018 and 2019 due to average total assets remaining $2.0 billion for both the six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2018 and 2019. Management Fees waived were less than $0.1 million for the six months ended June 30, 2018, consisting solely of Management Fees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attributable to our ownership of shares of common stock in the TCAP Shares. The Adviser did not waive any Management Fees for the six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2019.</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Any waived Management Fees are not subject to recoupment by the Adviser.</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Incentive Fees (net of waivers) related to pre-Incentive Fee net investment income decreased from $7.7 million for the three months ended June 30, 2018 to $6.6 million for the three months ended June 30, 2019. This decrease resulted from a decrease in investment income resulting from lower interest and other income for the three months ended June 30, 2019. The Adviser did not waive any Incentive Fees related to pre-Incentive Fee net investment income for the three months ended June 30, 2019 or 2018. There were no Incentive Fees related to capital gains and losses for each of the three months ended June 30, 2019 and 2018 due to cumulative realized losses on our investments.</w:t>
      </w:r>
    </w:p>
    <w:p>
      <w:pPr>
        <w:spacing w:after="0" w:line="188" w:lineRule="exact"/>
        <w:rPr>
          <w:sz w:val="20"/>
          <w:szCs w:val="20"/>
          <w:color w:val="auto"/>
        </w:rPr>
      </w:pPr>
    </w:p>
    <w:p>
      <w:pPr>
        <w:ind w:right="40" w:firstLine="259"/>
        <w:spacing w:after="0" w:line="293" w:lineRule="auto"/>
        <w:rPr>
          <w:sz w:val="20"/>
          <w:szCs w:val="20"/>
          <w:color w:val="auto"/>
        </w:rPr>
      </w:pPr>
      <w:r>
        <w:rPr>
          <w:rFonts w:ascii="Arial" w:cs="Arial" w:eastAsia="Arial" w:hAnsi="Arial"/>
          <w:sz w:val="16"/>
          <w:szCs w:val="16"/>
          <w:color w:val="auto"/>
        </w:rPr>
        <w:t>Incentive Fees (net of waivers) related to pre-Incentive Fee net investment income decreased from $14.3 million for the six months ended June 30, 2018 to $12.3 million for the six months ended June 30, 2019. This decrease resulted from a decrease in pre-incentive fee net investment income resulting from lower accelerated amortization and prepayment fees for six months ended June 30, 2019. For the six months ended June 30, 2018, Incentive Fees related to pre-Incentive Fee net investment income of less than $0.1 million were waived, consisting solely of Incentive Fees attributable to our ownership of the TCAP Shares. There were no Incentive Fees related to pre-Incentive Fee net investment income waived for the six months ended June 30, 2019. There were no Incentive Fees related to capital gains and losses for the six months ended June 30, 2019 and 2018 due to cumulative realized losses on our investments.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Any waived Incentive Fees are not subject to recoupment by the Adviser.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6" w:name="page57"/>
    <w:bookmarkEnd w:id="56"/>
    <w:p>
      <w:pPr>
        <w:ind w:left="260"/>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ind w:firstLine="259"/>
        <w:spacing w:after="0" w:line="264" w:lineRule="auto"/>
        <w:rPr>
          <w:sz w:val="20"/>
          <w:szCs w:val="20"/>
          <w:color w:val="auto"/>
        </w:rPr>
      </w:pPr>
      <w:r>
        <w:rPr>
          <w:rFonts w:ascii="Arial" w:cs="Arial" w:eastAsia="Arial" w:hAnsi="Arial"/>
          <w:sz w:val="18"/>
          <w:szCs w:val="18"/>
          <w:color w:val="auto"/>
        </w:rPr>
        <w:t>Professional fees increased from $1.6 million for the three months ended June 30, 2018 to $1.9 million for the three months ended June 30, 2019 primarily due to expenses related to the Company’s Special Meeting of Shareholders. Other general and administrative fees increased from $1.3 million for the three months ended June 30, 2018 to $1.6 million for the three months ended June 30, 2019.</w:t>
      </w:r>
    </w:p>
    <w:p>
      <w:pPr>
        <w:spacing w:after="0" w:line="181" w:lineRule="exact"/>
        <w:rPr>
          <w:sz w:val="20"/>
          <w:szCs w:val="20"/>
          <w:color w:val="auto"/>
        </w:rPr>
      </w:pPr>
    </w:p>
    <w:p>
      <w:pPr>
        <w:ind w:right="220" w:firstLine="259"/>
        <w:spacing w:after="0" w:line="259" w:lineRule="auto"/>
        <w:rPr>
          <w:sz w:val="20"/>
          <w:szCs w:val="20"/>
          <w:color w:val="auto"/>
        </w:rPr>
      </w:pPr>
      <w:r>
        <w:rPr>
          <w:rFonts w:ascii="Arial" w:cs="Arial" w:eastAsia="Arial" w:hAnsi="Arial"/>
          <w:sz w:val="18"/>
          <w:szCs w:val="18"/>
          <w:color w:val="auto"/>
        </w:rPr>
        <w:t>Professional fees decreased from $3.7 million for the six months ended June 30, 2018 to $3.2 million for the six months ended June 30, 2019 primarily due to the recognition of remaining non-recurring expenses associated with the initial shelf registration statement that were previously recorded as deferred financing costs during the six months ended June 30, 2018. Other general and administrative fees increased from $2.6 million for the six months ended June 30, 2018 to $3.0 million for the six months ended June 30, 2019.</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140" w:firstLine="259"/>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right="60" w:firstLine="259"/>
        <w:spacing w:after="0" w:line="259" w:lineRule="auto"/>
        <w:rPr>
          <w:sz w:val="20"/>
          <w:szCs w:val="20"/>
          <w:color w:val="auto"/>
        </w:rPr>
      </w:pPr>
      <w:r>
        <w:rPr>
          <w:rFonts w:ascii="Arial" w:cs="Arial" w:eastAsia="Arial" w:hAnsi="Arial"/>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For the three and six months ended June 30, 2019, we recorded a net expense of $1.0 million and $1.3 million, respectively, for U.S. federal excise tax.</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six months ended June 30, 2018, we recorded a net expense of $0.9 million and $1.7 million, respectively, for U.S. federal excise tax.</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net realized and unrealized gains (losses) for the three and six months ended June 30, 2019 and 2018:</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160" w:type="dxa"/>
            <w:vAlign w:val="bottom"/>
            <w:gridSpan w:val="2"/>
            <w:vMerge w:val="restart"/>
          </w:tcPr>
          <w:p>
            <w:pPr>
              <w:spacing w:after="0"/>
              <w:rPr>
                <w:sz w:val="20"/>
                <w:szCs w:val="20"/>
                <w:color w:val="auto"/>
              </w:rPr>
            </w:pPr>
            <w:r>
              <w:rPr>
                <w:rFonts w:ascii="Arial" w:cs="Arial" w:eastAsia="Arial" w:hAnsi="Arial"/>
                <w:sz w:val="14"/>
                <w:szCs w:val="14"/>
                <w:color w:val="auto"/>
              </w:rPr>
              <w:t>($ in millions)</w:t>
            </w:r>
          </w:p>
        </w:tc>
        <w:tc>
          <w:tcPr>
            <w:tcW w:w="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1060" w:type="dxa"/>
            <w:vAlign w:val="bottom"/>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w w:val="94"/>
              </w:rPr>
              <w:t>June 30, 2019</w:t>
            </w:r>
          </w:p>
        </w:tc>
        <w:tc>
          <w:tcPr>
            <w:tcW w:w="80" w:type="dxa"/>
            <w:vAlign w:val="bottom"/>
          </w:tcPr>
          <w:p>
            <w:pPr>
              <w:spacing w:after="0"/>
              <w:rPr>
                <w:sz w:val="13"/>
                <w:szCs w:val="13"/>
                <w:color w:val="auto"/>
              </w:rPr>
            </w:pPr>
          </w:p>
        </w:tc>
        <w:tc>
          <w:tcPr>
            <w:tcW w:w="9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June 30, 2018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tcPr>
          <w:p>
            <w:pPr>
              <w:jc w:val="right"/>
              <w:ind w:right="260"/>
              <w:spacing w:after="0" w:line="155" w:lineRule="exact"/>
              <w:rPr>
                <w:sz w:val="20"/>
                <w:szCs w:val="20"/>
                <w:color w:val="auto"/>
              </w:rPr>
            </w:pPr>
            <w:r>
              <w:rPr>
                <w:rFonts w:ascii="Arial" w:cs="Arial" w:eastAsia="Arial" w:hAnsi="Arial"/>
                <w:sz w:val="14"/>
                <w:szCs w:val="14"/>
                <w:b w:val="1"/>
                <w:bCs w:val="1"/>
                <w:color w:val="auto"/>
                <w:w w:val="92"/>
              </w:rPr>
              <w:t>June 30, 2019</w:t>
            </w: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June 30, 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realized gains (losses) on investments</w:t>
            </w:r>
          </w:p>
        </w:tc>
        <w:tc>
          <w:tcPr>
            <w:tcW w:w="54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vMerge w:val="continue"/>
            <w:shd w:val="clear" w:color="auto" w:fill="CFF0FC"/>
          </w:tcPr>
          <w:p>
            <w:pPr>
              <w:spacing w:after="0"/>
              <w:rPr>
                <w:sz w:val="19"/>
                <w:szCs w:val="19"/>
                <w:color w:val="auto"/>
              </w:rPr>
            </w:pPr>
          </w:p>
        </w:tc>
        <w:tc>
          <w:tcPr>
            <w:tcW w:w="54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540" w:type="dxa"/>
            <w:vAlign w:val="bottom"/>
            <w:shd w:val="clear" w:color="auto" w:fill="CFF0FC"/>
          </w:tcPr>
          <w:p>
            <w:pPr>
              <w:jc w:val="right"/>
              <w:ind w:right="386"/>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w:t>
            </w:r>
          </w:p>
        </w:tc>
        <w:tc>
          <w:tcPr>
            <w:tcW w:w="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right w:val="single" w:sz="8" w:color="CFF0FC"/>
            </w:tcBorders>
            <w:shd w:val="clear" w:color="auto" w:fill="CFF0FC"/>
          </w:tcPr>
          <w:p>
            <w:pPr>
              <w:spacing w:after="0"/>
              <w:rPr>
                <w:sz w:val="19"/>
                <w:szCs w:val="19"/>
                <w:color w:val="auto"/>
              </w:rPr>
            </w:pP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Net realized gains (losses) on foreign currency</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ind w:left="120"/>
              <w:spacing w:after="0"/>
              <w:rPr>
                <w:sz w:val="20"/>
                <w:szCs w:val="20"/>
                <w:color w:val="auto"/>
              </w:rPr>
            </w:pPr>
            <w:r>
              <w:rPr>
                <w:rFonts w:ascii="Arial" w:cs="Arial" w:eastAsia="Arial" w:hAnsi="Arial"/>
                <w:sz w:val="18"/>
                <w:szCs w:val="18"/>
                <w:color w:val="auto"/>
              </w:rPr>
              <w:t>transactions</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5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Net realized gains (losses) on foreign currency</w:t>
            </w: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investments</w:t>
            </w:r>
          </w:p>
        </w:tc>
        <w:tc>
          <w:tcPr>
            <w:tcW w:w="5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(0.1)</w:t>
            </w:r>
          </w:p>
        </w:tc>
        <w:tc>
          <w:tcPr>
            <w:tcW w:w="52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realized gains on foreign currency borrowings</w:t>
            </w:r>
          </w:p>
        </w:tc>
        <w:tc>
          <w:tcPr>
            <w:tcW w:w="5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realized gains (losses)</w:t>
            </w:r>
          </w:p>
        </w:tc>
        <w:tc>
          <w:tcPr>
            <w:tcW w:w="5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6"/>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80" w:type="dxa"/>
            <w:vAlign w:val="bottom"/>
            <w:tcBorders>
              <w:right w:val="single" w:sz="8" w:color="CFF0FC"/>
            </w:tcBorders>
            <w:shd w:val="clear" w:color="auto" w:fill="CFF0FC"/>
          </w:tcPr>
          <w:p>
            <w:pPr>
              <w:spacing w:after="0"/>
              <w:rPr>
                <w:sz w:val="19"/>
                <w:szCs w:val="19"/>
                <w:color w:val="auto"/>
              </w:rPr>
            </w:pP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Change in unrealized gains on investments</w:t>
            </w:r>
          </w:p>
        </w:tc>
        <w:tc>
          <w:tcPr>
            <w:tcW w:w="780" w:type="dxa"/>
            <w:vAlign w:val="bottom"/>
            <w:gridSpan w:val="2"/>
            <w:shd w:val="clear" w:color="auto" w:fill="CFF0FC"/>
          </w:tcPr>
          <w:p>
            <w:pPr>
              <w:jc w:val="right"/>
              <w:ind w:right="86"/>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386"/>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6"/>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180" w:type="dxa"/>
            <w:vAlign w:val="bottom"/>
            <w:tcBorders>
              <w:right w:val="single" w:sz="8" w:color="CFF0FC"/>
            </w:tcBorders>
            <w:shd w:val="clear" w:color="auto" w:fill="CFF0FC"/>
          </w:tcPr>
          <w:p>
            <w:pPr>
              <w:spacing w:after="0"/>
              <w:rPr>
                <w:sz w:val="19"/>
                <w:szCs w:val="19"/>
                <w:color w:val="auto"/>
              </w:rPr>
            </w:pP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Change in unrealized losses on investments</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52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(29.1)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4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Net Change in Unrealized Gains (Losses) on</w:t>
            </w:r>
          </w:p>
        </w:tc>
        <w:tc>
          <w:tcPr>
            <w:tcW w:w="5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right w:val="single" w:sz="8" w:color="CFF0FC"/>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Investments</w:t>
            </w:r>
          </w:p>
        </w:tc>
        <w:tc>
          <w:tcPr>
            <w:tcW w:w="780" w:type="dxa"/>
            <w:vAlign w:val="bottom"/>
            <w:gridSpan w:val="2"/>
            <w:shd w:val="clear" w:color="auto" w:fill="CFF0FC"/>
          </w:tcPr>
          <w:p>
            <w:pPr>
              <w:jc w:val="right"/>
              <w:ind w:right="86"/>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386"/>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06"/>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80" w:type="dxa"/>
            <w:vAlign w:val="bottom"/>
            <w:tcBorders>
              <w:right w:val="single" w:sz="8" w:color="CFF0FC"/>
            </w:tcBorders>
            <w:shd w:val="clear" w:color="auto" w:fill="CFF0FC"/>
          </w:tcPr>
          <w:p>
            <w:pPr>
              <w:spacing w:after="0"/>
              <w:rPr>
                <w:sz w:val="20"/>
                <w:szCs w:val="20"/>
                <w:color w:val="auto"/>
              </w:rPr>
            </w:pP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Unrealized gains (losses) on foreign currency</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ind w:left="120"/>
              <w:spacing w:after="0"/>
              <w:rPr>
                <w:sz w:val="20"/>
                <w:szCs w:val="20"/>
                <w:color w:val="auto"/>
              </w:rPr>
            </w:pPr>
            <w:r>
              <w:rPr>
                <w:rFonts w:ascii="Arial" w:cs="Arial" w:eastAsia="Arial" w:hAnsi="Arial"/>
                <w:sz w:val="18"/>
                <w:szCs w:val="18"/>
                <w:color w:val="auto"/>
              </w:rPr>
              <w:t>borrowings</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on foreign currency cash and</w:t>
            </w: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forward contracts</w:t>
            </w:r>
          </w:p>
        </w:tc>
        <w:tc>
          <w:tcPr>
            <w:tcW w:w="5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80" w:type="dxa"/>
            <w:vAlign w:val="bottom"/>
            <w:tcBorders>
              <w:right w:val="single" w:sz="8" w:color="CFF0FC"/>
            </w:tcBorders>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Unrealized gains (losses) on interest rate swaps</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4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Net Change in Unrealized Gains (Losses) on</w:t>
            </w:r>
          </w:p>
        </w:tc>
        <w:tc>
          <w:tcPr>
            <w:tcW w:w="5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right w:val="single" w:sz="8" w:color="CFF0FC"/>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Foreign Currency Transactions and Interest</w:t>
            </w:r>
          </w:p>
        </w:tc>
        <w:tc>
          <w:tcPr>
            <w:tcW w:w="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Rate Swaps</w:t>
            </w:r>
          </w:p>
        </w:tc>
        <w:tc>
          <w:tcPr>
            <w:tcW w:w="780" w:type="dxa"/>
            <w:vAlign w:val="bottom"/>
            <w:gridSpan w:val="2"/>
            <w:shd w:val="clear" w:color="auto" w:fill="CFF0FC"/>
          </w:tcPr>
          <w:p>
            <w:pPr>
              <w:jc w:val="right"/>
              <w:ind w:right="86"/>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386"/>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06"/>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80" w:type="dxa"/>
            <w:vAlign w:val="bottom"/>
            <w:tcBorders>
              <w:right w:val="single" w:sz="8" w:color="CFF0FC"/>
            </w:tcBorders>
            <w:shd w:val="clear" w:color="auto" w:fill="CFF0FC"/>
          </w:tcPr>
          <w:p>
            <w:pPr>
              <w:spacing w:after="0"/>
              <w:rPr>
                <w:sz w:val="20"/>
                <w:szCs w:val="20"/>
                <w:color w:val="auto"/>
              </w:rPr>
            </w:pP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160" w:type="dxa"/>
            <w:vAlign w:val="bottom"/>
            <w:gridSpan w:val="2"/>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Change in Unrealized Gains</w:t>
            </w: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8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80" w:firstLine="259"/>
        <w:spacing w:after="0" w:line="273" w:lineRule="auto"/>
        <w:rPr>
          <w:sz w:val="20"/>
          <w:szCs w:val="20"/>
          <w:color w:val="auto"/>
        </w:rPr>
      </w:pPr>
      <w:r>
        <w:rPr>
          <w:rFonts w:ascii="Arial" w:cs="Arial" w:eastAsia="Arial" w:hAnsi="Arial"/>
          <w:sz w:val="17"/>
          <w:szCs w:val="17"/>
          <w:color w:val="auto"/>
        </w:rPr>
        <w:t>For the three and six months ended June 30, 2019 we had net realized gains on investments of $0.3 million and $1.0 million, respectively. For the three and six months ended June 30, 2019 we had net realized losses of less than $0.1 million and $0.1 million, respectively, on foreign currency transactions, primarily as a result of translating foreign currency related to our non-USD denominated investments. For the three and six months ended June 30, 2019 we had net realized gains of less than $0.1 million and net realized losses of $0.1 million, respectively, on foreign currency investments. For both the three and six months ended June 30, 2019 and 2018 we had net realized gains of less than $0.1 million on foreign currency borrowings. The net realized gains on foreign currency borrowings were a result of payments on our revolving credit facility.</w:t>
      </w:r>
    </w:p>
    <w:p>
      <w:pPr>
        <w:spacing w:after="0" w:line="178" w:lineRule="exact"/>
        <w:rPr>
          <w:sz w:val="20"/>
          <w:szCs w:val="20"/>
          <w:color w:val="auto"/>
        </w:rPr>
      </w:pPr>
    </w:p>
    <w:p>
      <w:pPr>
        <w:ind w:right="60" w:firstLine="259"/>
        <w:spacing w:after="0" w:line="273" w:lineRule="auto"/>
        <w:rPr>
          <w:sz w:val="20"/>
          <w:szCs w:val="20"/>
          <w:color w:val="auto"/>
        </w:rPr>
      </w:pPr>
      <w:r>
        <w:rPr>
          <w:rFonts w:ascii="Arial" w:cs="Arial" w:eastAsia="Arial" w:hAnsi="Arial"/>
          <w:sz w:val="17"/>
          <w:szCs w:val="17"/>
          <w:color w:val="auto"/>
        </w:rPr>
        <w:t>For the three months ended June 30, 2019 we had $20.2 million in unrealized gains on 27 portfolio company investments, which was offset by $9.1 million in unrealized losses on 33 portfolio company investments. Unrealized gains resulted from an increase in fair value, primarily due to positive credit-related adjustments. Unrealized losses primarily resulted from some instances of negative credit-related adjustments. For the six months ended June 30, 2019 we had $32.5 million in unrealized gains on 38 portfolio company investments, which was offset by $11.9 million in unrealized losses on 23 portfolio company investments. Unrealized gains resulted from an increase in fair value, primarily due to a tightening spread environment and positive credit-related adjustments. Unrealized losses primarily resulted from some instances of negative credit-related adjustments.</w:t>
      </w:r>
    </w:p>
    <w:p>
      <w:pPr>
        <w:spacing w:after="0" w:line="178"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For the three and six months ended June 30, 2019, we had unrealized losses on foreign currency borrowings of $0.8 million and $2.2 million, respectively, as a result of fluctuations in the AUD, CAD and EUR exchange rates. For both the three and six months ended June 30, 2019 we had unrealized gains on foreign currency cash and forward contracts of less than $0.1 million. For the three and six months ended June 30, 2019 we had unrealized gains on interest rate swaps of $6.1 million and $9.5 million, respectively, on interest rate swaps due to fluctuations in interest rates and the periodic settlement of interest rate swaps.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58" w:name="page59"/>
    <w:bookmarkEnd w:id="58"/>
    <w:p>
      <w:pPr>
        <w:ind w:firstLine="259"/>
        <w:spacing w:after="0" w:line="255" w:lineRule="auto"/>
        <w:rPr>
          <w:sz w:val="20"/>
          <w:szCs w:val="20"/>
          <w:color w:val="auto"/>
        </w:rPr>
      </w:pPr>
      <w:r>
        <w:rPr>
          <w:rFonts w:ascii="Arial" w:cs="Arial" w:eastAsia="Arial" w:hAnsi="Arial"/>
          <w:sz w:val="18"/>
          <w:szCs w:val="18"/>
          <w:color w:val="auto"/>
        </w:rPr>
        <w:t>For the three and six months ended June 30, 2018 we had net realized losses on investments of $9.1 million and $6.5 million, respectively. For the three and six months ended June 30, 2018, we had net realized losses of less than $0.1 million and net realized gains of $0.1 million, respectively, on foreign currency transactions, primarily as a result of translating foreign currency related to our non-USD denominated investments. For the three and six months ended June 30, 2018, we had net realized losses of $0.1 million and net realized gains of less than $0.1 million, respectively, on foreign currency investments. For the three and six months ended June 30, 2018, we had net realized gains of less than $0.1 million and $0.1 million, respectively, on foreign currency borrowings. The net realized gains on foreign currency borrowings and foreign currency investments for the three and six months ended June 30, 2018 were a result of a partial realization on one investment.</w:t>
      </w:r>
    </w:p>
    <w:p>
      <w:pPr>
        <w:spacing w:after="0" w:line="189" w:lineRule="exact"/>
        <w:rPr>
          <w:sz w:val="20"/>
          <w:szCs w:val="20"/>
          <w:color w:val="auto"/>
        </w:rPr>
      </w:pPr>
    </w:p>
    <w:p>
      <w:pPr>
        <w:ind w:right="80" w:firstLine="259"/>
        <w:spacing w:after="0" w:line="276" w:lineRule="auto"/>
        <w:rPr>
          <w:sz w:val="20"/>
          <w:szCs w:val="20"/>
          <w:color w:val="auto"/>
        </w:rPr>
      </w:pPr>
      <w:r>
        <w:rPr>
          <w:rFonts w:ascii="Arial" w:cs="Arial" w:eastAsia="Arial" w:hAnsi="Arial"/>
          <w:sz w:val="17"/>
          <w:szCs w:val="17"/>
          <w:color w:val="auto"/>
        </w:rPr>
        <w:t>For the three months ended June 30, 2018 we had $30.9 million in unrealized gains on 27 portfolio company investments, which was offset by $27.6 million in unrealized losses on 26 portfolio company investments. For the six months ended June 30, 2018 we had $37.4 million in unrealized gains on 33 portfolio company investments, which was offset by $29.1 million in unrealized losses on 25 portfolio company investments. Unrealized gains resulted from an increase in fair value, primarily due to positive credit-related adjustments offset by widening of credit spreads. Unrealized losses primarily resulted from the reversal of prior period unrealized gains and in some instances negative credit-related adjustments.</w:t>
      </w:r>
    </w:p>
    <w:p>
      <w:pPr>
        <w:spacing w:after="0" w:line="173"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For the three and six months ended June 30, 2018, we had unrealized gains on foreign currency borrowings of $4.9 million and $3.9 million, respectively, as a result of fluctuations in the EUR and AUD exchange rates. For both the three and six months ended June 30, 2018, we had unrealized losses on foreign currency cash and forward contracts of less than $0.1 million. For the three and six months ended June 30, 2018, we had unrealized losses on interest rate swaps of $1.7 million and $6.0 million, respectively, on interest rate swaps due to fluctuations in interest rates and the periodic settlement of interest rate swaps.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Gross Internal Rate of Return</w:t>
      </w:r>
    </w:p>
    <w:p>
      <w:pPr>
        <w:spacing w:after="0" w:line="117" w:lineRule="exact"/>
        <w:rPr>
          <w:sz w:val="20"/>
          <w:szCs w:val="20"/>
          <w:color w:val="auto"/>
        </w:rPr>
      </w:pPr>
    </w:p>
    <w:p>
      <w:pPr>
        <w:jc w:val="both"/>
        <w:ind w:right="140" w:firstLine="259"/>
        <w:spacing w:after="0" w:line="286" w:lineRule="auto"/>
        <w:rPr>
          <w:sz w:val="20"/>
          <w:szCs w:val="20"/>
          <w:color w:val="auto"/>
        </w:rPr>
      </w:pPr>
      <w:r>
        <w:rPr>
          <w:rFonts w:ascii="Arial" w:cs="Arial" w:eastAsia="Arial" w:hAnsi="Arial"/>
          <w:sz w:val="17"/>
          <w:szCs w:val="17"/>
          <w:color w:val="auto"/>
        </w:rPr>
        <w:t>Since we began investing in 2011 through June 30, 2019, weighted by capital invested, our exited investments have generated an average realized gross internal rate of return to us of 18.7% (based on total capital invested of $3.6 billion and total proceeds from these exited investments of $4.4 billion). Eighty nine percent of these exited investments resulted in a realized gross internal rate of return to us of 10% or greater.</w:t>
      </w:r>
    </w:p>
    <w:p>
      <w:pPr>
        <w:spacing w:after="0" w:line="166"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1" w:lineRule="exact"/>
        <w:rPr>
          <w:sz w:val="20"/>
          <w:szCs w:val="20"/>
          <w:color w:val="auto"/>
        </w:rPr>
      </w:pPr>
    </w:p>
    <w:p>
      <w:pPr>
        <w:ind w:right="40" w:firstLine="259"/>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right="180" w:firstLine="259"/>
        <w:spacing w:after="0" w:line="277" w:lineRule="auto"/>
        <w:rPr>
          <w:sz w:val="20"/>
          <w:szCs w:val="20"/>
          <w:color w:val="auto"/>
        </w:rPr>
      </w:pPr>
      <w:r>
        <w:rPr>
          <w:rFonts w:ascii="Arial" w:cs="Arial" w:eastAsia="Arial" w:hAnsi="Arial"/>
          <w:sz w:val="18"/>
          <w:szCs w:val="18"/>
          <w:color w:val="auto"/>
        </w:rPr>
        <w:t>Average gross IRR is the average of the gross IRR for each of our exited investments (each calculated as described above), weighted by the total capital invested for each of those investments.</w:t>
      </w:r>
    </w:p>
    <w:p>
      <w:pPr>
        <w:spacing w:after="0" w:line="170"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Average gross IRR on our exited investments reflects only invested and realized cash amounts as described above, and does not reflect any unrealized gains or losses in our portfolio.</w:t>
      </w:r>
    </w:p>
    <w:p>
      <w:pPr>
        <w:spacing w:after="0" w:line="170" w:lineRule="exact"/>
        <w:rPr>
          <w:sz w:val="20"/>
          <w:szCs w:val="20"/>
          <w:color w:val="auto"/>
        </w:rPr>
      </w:pPr>
    </w:p>
    <w:p>
      <w:pPr>
        <w:ind w:right="80" w:firstLine="259"/>
        <w:spacing w:after="0" w:line="286" w:lineRule="auto"/>
        <w:rPr>
          <w:sz w:val="20"/>
          <w:szCs w:val="20"/>
          <w:color w:val="auto"/>
        </w:rPr>
      </w:pPr>
      <w:r>
        <w:rPr>
          <w:rFonts w:ascii="Arial" w:cs="Arial" w:eastAsia="Arial" w:hAnsi="Arial"/>
          <w:sz w:val="17"/>
          <w:szCs w:val="17"/>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66" w:lineRule="exact"/>
        <w:rPr>
          <w:sz w:val="20"/>
          <w:szCs w:val="20"/>
          <w:color w:val="auto"/>
        </w:rPr>
      </w:pPr>
    </w:p>
    <w:p>
      <w:pPr>
        <w:jc w:val="both"/>
        <w:ind w:right="60" w:firstLine="259"/>
        <w:spacing w:after="0" w:line="312"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47" w:lineRule="exact"/>
        <w:rPr>
          <w:sz w:val="20"/>
          <w:szCs w:val="20"/>
          <w:color w:val="auto"/>
        </w:rPr>
      </w:pPr>
    </w:p>
    <w:p>
      <w:pPr>
        <w:ind w:right="200" w:firstLine="259"/>
        <w:spacing w:after="0" w:line="302"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Hedging</w:t>
      </w:r>
    </w:p>
    <w:p>
      <w:pPr>
        <w:spacing w:after="0" w:line="117" w:lineRule="exact"/>
        <w:rPr>
          <w:sz w:val="20"/>
          <w:szCs w:val="20"/>
          <w:color w:val="auto"/>
        </w:rPr>
      </w:pPr>
    </w:p>
    <w:p>
      <w:pPr>
        <w:ind w:firstLine="259"/>
        <w:spacing w:after="0" w:line="257" w:lineRule="auto"/>
        <w:rPr>
          <w:sz w:val="20"/>
          <w:szCs w:val="20"/>
          <w:color w:val="auto"/>
        </w:rPr>
      </w:pPr>
      <w:r>
        <w:rPr>
          <w:rFonts w:ascii="Arial" w:cs="Arial" w:eastAsia="Arial" w:hAnsi="Arial"/>
          <w:sz w:val="18"/>
          <w:szCs w:val="18"/>
          <w:color w:val="auto"/>
        </w:rPr>
        <w:t>Our current approach to hedging the foreign currency exposure in our non-U.S. dollar denominated investments is primarily to borrow the par amount in local currency under our Revolving Credit Facility to fund these investments. For the three and six months ended June 30, 2019, we incurred $0.8 million and $2.2 million, respectively, of unrealized losses on the translation of our non-U.S. dollar denominated debt into U.S. dollars; such amounts approximate the corresponding unrealized gains and losses on the translation of our non-U.S. dollar denominated investments into U.S. dollars for the three and six months ended June 30, 2019.</w:t>
      </w:r>
    </w:p>
    <w:p>
      <w:pPr>
        <w:spacing w:after="0" w:line="188" w:lineRule="exact"/>
        <w:rPr>
          <w:sz w:val="20"/>
          <w:szCs w:val="20"/>
          <w:color w:val="auto"/>
        </w:rPr>
      </w:pPr>
    </w:p>
    <w:p>
      <w:pPr>
        <w:jc w:val="both"/>
        <w:ind w:right="200" w:firstLine="259"/>
        <w:spacing w:after="0" w:line="264" w:lineRule="auto"/>
        <w:rPr>
          <w:sz w:val="20"/>
          <w:szCs w:val="20"/>
          <w:color w:val="auto"/>
        </w:rPr>
      </w:pPr>
      <w:r>
        <w:rPr>
          <w:rFonts w:ascii="Arial" w:cs="Arial" w:eastAsia="Arial" w:hAnsi="Arial"/>
          <w:sz w:val="18"/>
          <w:szCs w:val="18"/>
          <w:color w:val="auto"/>
        </w:rPr>
        <w:t>For the three and six months ended June 30, 2018, we incurred $4.9 million and $3.9 million, respectively, of unrealized gains on the translation of our non-U.S. dollar denominated debt into U.S. dollars; such amounts approximate the corresponding unrealized gains and losses on the translation of our non-U.S. dollar denominated investments into U.S. dollars for the three and six months ended June 30, 2018.</w:t>
      </w:r>
    </w:p>
    <w:p>
      <w:pPr>
        <w:spacing w:after="0" w:line="181" w:lineRule="exact"/>
        <w:rPr>
          <w:sz w:val="20"/>
          <w:szCs w:val="20"/>
          <w:color w:val="auto"/>
        </w:rPr>
      </w:pPr>
    </w:p>
    <w:p>
      <w:pPr>
        <w:ind w:right="40" w:firstLine="259"/>
        <w:spacing w:after="0" w:line="264" w:lineRule="auto"/>
        <w:rPr>
          <w:sz w:val="20"/>
          <w:szCs w:val="20"/>
          <w:color w:val="auto"/>
        </w:rPr>
      </w:pPr>
      <w:r>
        <w:rPr>
          <w:rFonts w:ascii="Arial" w:cs="Arial" w:eastAsia="Arial" w:hAnsi="Arial"/>
          <w:sz w:val="18"/>
          <w:szCs w:val="18"/>
          <w:color w:val="auto"/>
        </w:rPr>
        <w:t>See Note 2 for additional disclosure regarding our accounting for foreign currency. See Note 7 for additional disclosure regarding the amounts of outstanding debt denominated in each foreign currency at June 30, 2019. See our consolidated schedule of investments for additional disclosure regarding the foreign currency amounts (in both par and fair value) of our non-U.S. dollar denominated investments.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62" w:lineRule="exact"/>
        <w:rPr>
          <w:sz w:val="20"/>
          <w:szCs w:val="20"/>
          <w:color w:val="auto"/>
        </w:rPr>
      </w:pPr>
    </w:p>
    <w:p>
      <w:pPr>
        <w:ind w:left="520" w:hanging="255"/>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cash dividends to the holders of our shares.</w:t>
      </w:r>
    </w:p>
    <w:p>
      <w:pPr>
        <w:spacing w:after="0" w:line="225" w:lineRule="exact"/>
        <w:rPr>
          <w:sz w:val="20"/>
          <w:szCs w:val="20"/>
          <w:color w:val="auto"/>
        </w:rPr>
      </w:pPr>
    </w:p>
    <w:p>
      <w:pPr>
        <w:ind w:right="20" w:firstLine="259"/>
        <w:spacing w:after="0" w:line="270" w:lineRule="auto"/>
        <w:rPr>
          <w:sz w:val="20"/>
          <w:szCs w:val="20"/>
          <w:color w:val="auto"/>
        </w:rPr>
      </w:pPr>
      <w:r>
        <w:rPr>
          <w:rFonts w:ascii="Arial" w:cs="Arial" w:eastAsia="Arial" w:hAnsi="Arial"/>
          <w:sz w:val="17"/>
          <w:szCs w:val="17"/>
          <w:color w:val="auto"/>
        </w:rPr>
        <w:t>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150% (prior to October 9, 2018, our minimum asset coverage requirement was 200%). For more information, see “Key Components of Our Results of Operations — Leverage” above. As of June 30, 2019 and December 31, 2018, our asset coverage ratio was 216.4% and 270.5%, respectively. We carefully consider our unfunded commitments for the purpose of planning our capital resources and ongoing liquidity, including our financial leverage. Further, we maintain sufficient borrowing capacity within the 150% asset coverage limitation under the 1940 Act and the asset coverage limitation under our credit facilities to cover any outstanding unfunded commitments we are required to fund.</w:t>
      </w:r>
    </w:p>
    <w:p>
      <w:pPr>
        <w:spacing w:after="0" w:line="178" w:lineRule="exact"/>
        <w:rPr>
          <w:sz w:val="20"/>
          <w:szCs w:val="20"/>
          <w:color w:val="auto"/>
        </w:rPr>
      </w:pPr>
    </w:p>
    <w:p>
      <w:pPr>
        <w:jc w:val="both"/>
        <w:ind w:right="140" w:firstLine="259"/>
        <w:spacing w:after="0" w:line="264" w:lineRule="auto"/>
        <w:rPr>
          <w:sz w:val="20"/>
          <w:szCs w:val="20"/>
          <w:color w:val="auto"/>
        </w:rPr>
      </w:pPr>
      <w:r>
        <w:rPr>
          <w:rFonts w:ascii="Arial" w:cs="Arial" w:eastAsia="Arial" w:hAnsi="Arial"/>
          <w:sz w:val="18"/>
          <w:szCs w:val="18"/>
          <w:color w:val="auto"/>
        </w:rPr>
        <w:t>Cash and cash equivalents as of June 30, 2019, taken together with cash available under our credit facilities, is expected to be sufficient for our investing activities and to conduct our operations in the near term. As of June 30, 2019, we had approximately $734.8 million of availability on our Revolving Credit Facility, subject to asset coverage limitations.</w:t>
      </w:r>
    </w:p>
    <w:p>
      <w:pPr>
        <w:spacing w:after="0" w:line="181" w:lineRule="exact"/>
        <w:rPr>
          <w:sz w:val="20"/>
          <w:szCs w:val="20"/>
          <w:color w:val="auto"/>
        </w:rPr>
      </w:pPr>
    </w:p>
    <w:p>
      <w:pPr>
        <w:ind w:right="100" w:firstLine="259"/>
        <w:spacing w:after="0" w:line="273" w:lineRule="auto"/>
        <w:rPr>
          <w:sz w:val="20"/>
          <w:szCs w:val="20"/>
          <w:color w:val="auto"/>
        </w:rPr>
      </w:pPr>
      <w:r>
        <w:rPr>
          <w:rFonts w:ascii="Arial" w:cs="Arial" w:eastAsia="Arial" w:hAnsi="Arial"/>
          <w:sz w:val="17"/>
          <w:szCs w:val="17"/>
          <w:color w:val="auto"/>
        </w:rPr>
        <w:t>As of June 30, 2019, we had $10.0 million in cash and cash equivalents, including $5.0 million of restricted cash, a decrease of $0.6 million from December 31, 2018. During the six months ended June 30, 2019, we used $269.8 million in cash from operating activities, primarily as a result of funding portfolio investments of $504.4 million and other operating activity of $33.8 million, which was offset by repayments and proceeds from investments of $181.9 million and an increase in net assets resulting from operations of $86.5 million. Lastly, cash provided by financing activities was $269.1 million during the period, primarily due to borrowings of $638.3 million on our Revolving Credit Facility, which was partially offset by paydowns on our Revolving Credit Facility of $317.7 million, dividends paid of $47.9 million and deferred financing costs of $3.6 million.</w:t>
      </w:r>
    </w:p>
    <w:p>
      <w:pPr>
        <w:spacing w:after="0" w:line="178"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color w:val="auto"/>
        </w:rPr>
        <w:t>As of June 30, 2019, we had $5.0 million of restricted cash pledged as collateral under our interest rate swap agreements, a decrease of $2.3 million from December 31, 2018 primarily due to increases in the fair value of our swaps.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Equity</w:t>
      </w:r>
    </w:p>
    <w:p>
      <w:pPr>
        <w:spacing w:after="0" w:line="117"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color w:val="auto"/>
        </w:rPr>
        <w:t>On March 21, 2018, we issued 3,750,000 shares of common stock at $17.45 per share. Net of underwriting fees and offering costs, we received total cash proceeds of $63.0 million. Subsequent to the offering we issued an additional 522,224 shares in April 2018 pursuant to the overallotment option granted to underwriters and received, net of underwriting fees, total cash proceeds of $8.8 million.</w:t>
      </w:r>
    </w:p>
    <w:p>
      <w:pPr>
        <w:spacing w:after="0" w:line="181" w:lineRule="exact"/>
        <w:rPr>
          <w:sz w:val="20"/>
          <w:szCs w:val="20"/>
          <w:color w:val="auto"/>
        </w:rPr>
      </w:pPr>
    </w:p>
    <w:p>
      <w:pPr>
        <w:ind w:right="40" w:firstLine="259"/>
        <w:spacing w:after="0" w:line="302" w:lineRule="auto"/>
        <w:rPr>
          <w:sz w:val="20"/>
          <w:szCs w:val="20"/>
          <w:color w:val="auto"/>
        </w:rPr>
      </w:pPr>
      <w:r>
        <w:rPr>
          <w:rFonts w:ascii="Arial" w:cs="Arial" w:eastAsia="Arial" w:hAnsi="Arial"/>
          <w:sz w:val="16"/>
          <w:szCs w:val="16"/>
          <w:color w:val="auto"/>
        </w:rPr>
        <w:t>During the six months ended June 30, 2019 and 2018, we also issued 625,473 and 401,101 shares of our common stock, respectively, to investors who have not opted out of our dividend reinvestment plan for proceeds of $11.8 million and $7.1 million, respectively. On July 15, 2019, we issued 232,427 shares of our common stock through our dividend reinvestment plan for proceeds of $4.3 million, which is not reflected in the number of shares issued for the six months ended June 30, 2019 in this section or the consolidated financial statements for the three and six months ended June 30, 2019.</w:t>
      </w:r>
    </w:p>
    <w:p>
      <w:pPr>
        <w:spacing w:after="0" w:line="154" w:lineRule="exact"/>
        <w:rPr>
          <w:sz w:val="20"/>
          <w:szCs w:val="20"/>
          <w:color w:val="auto"/>
        </w:rPr>
      </w:pPr>
    </w:p>
    <w:p>
      <w:pPr>
        <w:ind w:right="80" w:firstLine="259"/>
        <w:spacing w:after="0" w:line="291" w:lineRule="auto"/>
        <w:rPr>
          <w:sz w:val="20"/>
          <w:szCs w:val="20"/>
          <w:color w:val="auto"/>
        </w:rPr>
      </w:pPr>
      <w:r>
        <w:rPr>
          <w:rFonts w:ascii="Arial" w:cs="Arial" w:eastAsia="Arial" w:hAnsi="Arial"/>
          <w:sz w:val="16"/>
          <w:szCs w:val="16"/>
          <w:color w:val="auto"/>
        </w:rPr>
        <w:t>On August 4, 2015, our Board authorized us to enter into a stock repurchase plan, the Company 10b5-1 Plan, to acquire up to $50 million in the aggregate of our common stock at prices just below our net asset value per share over an initial six month period, in accordance with the guidelines specified in Rule</w:t>
      </w:r>
    </w:p>
    <w:p>
      <w:pPr>
        <w:jc w:val="both"/>
        <w:ind w:right="20"/>
        <w:spacing w:after="0" w:line="277" w:lineRule="auto"/>
        <w:rPr>
          <w:sz w:val="20"/>
          <w:szCs w:val="20"/>
          <w:color w:val="auto"/>
        </w:rPr>
      </w:pPr>
      <w:r>
        <w:rPr>
          <w:rFonts w:ascii="Arial" w:cs="Arial" w:eastAsia="Arial" w:hAnsi="Arial"/>
          <w:sz w:val="17"/>
          <w:szCs w:val="17"/>
          <w:color w:val="auto"/>
        </w:rPr>
        <w:t>10b-18 and Rule 10b5-1 of the Exchange Act, and has continued to authorize extensions of the plan termination date prior to its expiration since that time. We put the Company 10b5-1 Plan in place because we believe that if our common stock is trading below our then-current net asset value per share, it is in the best interest of our stockholders for us to reinvest in our portfolio and increase our leverage ratio through share repurchases.</w:t>
      </w:r>
    </w:p>
    <w:p>
      <w:pPr>
        <w:spacing w:after="0" w:line="173" w:lineRule="exact"/>
        <w:rPr>
          <w:sz w:val="20"/>
          <w:szCs w:val="20"/>
          <w:color w:val="auto"/>
        </w:rPr>
      </w:pPr>
    </w:p>
    <w:p>
      <w:pPr>
        <w:jc w:val="both"/>
        <w:ind w:right="40" w:firstLine="259"/>
        <w:spacing w:after="0" w:line="277" w:lineRule="auto"/>
        <w:rPr>
          <w:sz w:val="20"/>
          <w:szCs w:val="20"/>
          <w:color w:val="auto"/>
        </w:rPr>
      </w:pPr>
      <w:r>
        <w:rPr>
          <w:rFonts w:ascii="Arial" w:cs="Arial" w:eastAsia="Arial" w:hAnsi="Arial"/>
          <w:sz w:val="18"/>
          <w:szCs w:val="18"/>
          <w:color w:val="auto"/>
        </w:rPr>
        <w:t>On May 2, 2019, the Board authorized an amendment to the Company 10b5-1 Plan to revise the market prices at which the agent will repurchase shares of our common stock on its behalf and extend the termination date to November 30, 2019.</w:t>
      </w:r>
    </w:p>
    <w:p>
      <w:pPr>
        <w:spacing w:after="0" w:line="170" w:lineRule="exact"/>
        <w:rPr>
          <w:sz w:val="20"/>
          <w:szCs w:val="20"/>
          <w:color w:val="auto"/>
        </w:rPr>
      </w:pPr>
    </w:p>
    <w:p>
      <w:pPr>
        <w:ind w:right="120" w:firstLine="259"/>
        <w:spacing w:after="0" w:line="270" w:lineRule="auto"/>
        <w:rPr>
          <w:sz w:val="20"/>
          <w:szCs w:val="20"/>
          <w:color w:val="auto"/>
        </w:rPr>
      </w:pPr>
      <w:r>
        <w:rPr>
          <w:rFonts w:ascii="Arial" w:cs="Arial" w:eastAsia="Arial" w:hAnsi="Arial"/>
          <w:sz w:val="17"/>
          <w:szCs w:val="17"/>
          <w:color w:val="auto"/>
        </w:rPr>
        <w:t>The Company 10b5-1 Plan is designed to allow us to repurchase our common stock at times when we otherwise might be prevented from doing so under insider trading laws. The Company 10b5-1 Plan, as amended, requires Goldman Sachs &amp; Co. LLC, as agent, to repurchase shares of common stock on our behalf when the market price per share is just below 1.05x the most recently reported net asset value per share in our public financial statements or publicly announced by us, less the amount of any supplemental dividend that we have publicly announced but that has yet to be reflected in the net asset value per share most recently reported in public financial statements (including any updates, corrections or adjustments publicly announced by us to any such net asset value per share or supplemental dividend). Under the Company 10b5-1 Plan, the agent will increase the volume of purchases made as the price of our common stock declines, subject to volume restrictions. The timing and amount of any stock repurchases depend on the terms and conditions of the Company 10b5-1 Plan, the market price of the common stock and trading volumes, and no assurance can be given that any particular amount of common stock will be repurchased.</w:t>
      </w:r>
    </w:p>
    <w:p>
      <w:pPr>
        <w:spacing w:after="0" w:line="182" w:lineRule="exact"/>
        <w:rPr>
          <w:sz w:val="20"/>
          <w:szCs w:val="20"/>
          <w:color w:val="auto"/>
        </w:rPr>
      </w:pPr>
    </w:p>
    <w:p>
      <w:pPr>
        <w:ind w:right="300" w:firstLine="259"/>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120" w:firstLine="259"/>
        <w:spacing w:after="0" w:line="277" w:lineRule="auto"/>
        <w:rPr>
          <w:sz w:val="20"/>
          <w:szCs w:val="20"/>
          <w:color w:val="auto"/>
        </w:rPr>
      </w:pPr>
      <w:r>
        <w:rPr>
          <w:rFonts w:ascii="Arial" w:cs="Arial" w:eastAsia="Arial" w:hAnsi="Arial"/>
          <w:sz w:val="18"/>
          <w:szCs w:val="18"/>
          <w:color w:val="auto"/>
        </w:rPr>
        <w:t>Unless otherwise extended or terminated by the Board, the Company 10b5-1 Plan will be in effect through the earlier of the termination date or such time as the current approved repurchase amount of up to $50 million has been fully utilized, subject to certain conditions.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six months ended June 30, 2019 and 2018, no shares were repurchased under the Company 10b5-1 Plan.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Debt obligations consisted of the following as of June 30, 2019 and December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915"/>
              <w:spacing w:after="0"/>
              <w:rPr>
                <w:sz w:val="20"/>
                <w:szCs w:val="20"/>
                <w:color w:val="auto"/>
              </w:rPr>
            </w:pPr>
            <w:r>
              <w:rPr>
                <w:rFonts w:ascii="Arial" w:cs="Arial" w:eastAsia="Arial" w:hAnsi="Arial"/>
                <w:sz w:val="14"/>
                <w:szCs w:val="14"/>
                <w:b w:val="1"/>
                <w:bCs w:val="1"/>
                <w:color w:val="auto"/>
              </w:rPr>
              <w:t>June 30, 2019</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6"/>
        </w:trPr>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32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w w:val="93"/>
              </w:rPr>
              <w:t>Aggregate Principal</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197"/>
              <w:spacing w:after="0" w:line="147" w:lineRule="exact"/>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ind w:right="335"/>
              <w:spacing w:after="0" w:line="147"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ind w:left="140"/>
              <w:spacing w:after="0" w:line="147"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71"/>
        </w:trPr>
        <w:tc>
          <w:tcPr>
            <w:tcW w:w="4840" w:type="dxa"/>
            <w:vAlign w:val="bottom"/>
            <w:gridSpan w:val="3"/>
          </w:tcPr>
          <w:p>
            <w:pPr>
              <w:ind w:left="580"/>
              <w:spacing w:after="0"/>
              <w:rPr>
                <w:sz w:val="20"/>
                <w:szCs w:val="20"/>
                <w:color w:val="auto"/>
              </w:rPr>
            </w:pPr>
            <w:r>
              <w:rPr>
                <w:rFonts w:ascii="Arial" w:cs="Arial" w:eastAsia="Arial" w:hAnsi="Arial"/>
                <w:sz w:val="14"/>
                <w:szCs w:val="14"/>
                <w:color w:val="auto"/>
              </w:rPr>
              <w:t>($ in millions)</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Amount Committed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297"/>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195"/>
              <w:spacing w:after="0"/>
              <w:rPr>
                <w:sz w:val="20"/>
                <w:szCs w:val="20"/>
                <w:color w:val="auto"/>
              </w:rPr>
            </w:pPr>
            <w:r>
              <w:rPr>
                <w:rFonts w:ascii="Arial" w:cs="Arial" w:eastAsia="Arial" w:hAnsi="Arial"/>
                <w:sz w:val="14"/>
                <w:szCs w:val="14"/>
                <w:b w:val="1"/>
                <w:bCs w:val="1"/>
                <w:color w:val="auto"/>
              </w:rPr>
              <w:t xml:space="preserve">Available </w:t>
            </w:r>
            <w:r>
              <w:rPr>
                <w:rFonts w:ascii="Arial" w:cs="Arial" w:eastAsia="Arial" w:hAnsi="Arial"/>
                <w:sz w:val="12"/>
                <w:szCs w:val="12"/>
                <w:b w:val="1"/>
                <w:bCs w:val="1"/>
                <w:color w:val="auto"/>
              </w:rPr>
              <w:t>(1)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2"/>
                <w:szCs w:val="12"/>
                <w:b w:val="1"/>
                <w:bCs w:val="1"/>
                <w:color w:val="auto"/>
              </w:rPr>
              <w:t>(2)</w:t>
            </w:r>
          </w:p>
        </w:tc>
        <w:tc>
          <w:tcPr>
            <w:tcW w:w="580" w:type="dxa"/>
            <w:vAlign w:val="bottom"/>
          </w:tcPr>
          <w:p>
            <w:pPr>
              <w:spacing w:after="0"/>
              <w:rPr>
                <w:sz w:val="14"/>
                <w:szCs w:val="14"/>
                <w:color w:val="auto"/>
              </w:rPr>
            </w:pPr>
          </w:p>
        </w:tc>
      </w:tr>
      <w:tr>
        <w:trPr>
          <w:trHeight w:val="223"/>
        </w:trPr>
        <w:tc>
          <w:tcPr>
            <w:tcW w:w="580" w:type="dxa"/>
            <w:vAlign w:val="bottom"/>
          </w:tcPr>
          <w:p>
            <w:pPr>
              <w:spacing w:after="0"/>
              <w:rPr>
                <w:sz w:val="19"/>
                <w:szCs w:val="19"/>
                <w:color w:val="auto"/>
              </w:rPr>
            </w:pPr>
          </w:p>
        </w:tc>
        <w:tc>
          <w:tcPr>
            <w:tcW w:w="4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734.8</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499.0</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2019</w:t>
            </w:r>
          </w:p>
        </w:tc>
        <w:tc>
          <w:tcPr>
            <w:tcW w:w="388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2022</w:t>
            </w:r>
          </w:p>
        </w:tc>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Notes</w:t>
            </w: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89"/>
              </w:rPr>
              <w:t>2023</w:t>
            </w:r>
          </w:p>
        </w:tc>
        <w:tc>
          <w:tcPr>
            <w:tcW w:w="38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Notes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2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1,682.5</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947.7</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734.8</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929.8</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61" w:name="page62"/>
    <w:bookmarkEnd w:id="61"/>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340" w:hanging="512"/>
        <w:spacing w:after="0" w:line="261"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Convertible Notes, and 2023 Notes are presented net of deferred financing costs and original issue discounts of $11.2 million, $4.3 million and $2.3 million, respectively.</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38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32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w w:val="93"/>
              </w:rPr>
              <w:t>Aggregate Principal</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197"/>
              <w:spacing w:after="0" w:line="147" w:lineRule="exact"/>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ind w:right="335"/>
              <w:spacing w:after="0" w:line="147"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ind w:left="140"/>
              <w:spacing w:after="0" w:line="147"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r>
      <w:tr>
        <w:trPr>
          <w:trHeight w:val="171"/>
        </w:trPr>
        <w:tc>
          <w:tcPr>
            <w:tcW w:w="426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Amount Committed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297"/>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right"/>
              <w:ind w:right="195"/>
              <w:spacing w:after="0"/>
              <w:rPr>
                <w:sz w:val="20"/>
                <w:szCs w:val="20"/>
                <w:color w:val="auto"/>
              </w:rPr>
            </w:pPr>
            <w:r>
              <w:rPr>
                <w:rFonts w:ascii="Arial" w:cs="Arial" w:eastAsia="Arial" w:hAnsi="Arial"/>
                <w:sz w:val="14"/>
                <w:szCs w:val="14"/>
                <w:b w:val="1"/>
                <w:bCs w:val="1"/>
                <w:color w:val="auto"/>
              </w:rPr>
              <w:t xml:space="preserve">Available </w:t>
            </w:r>
            <w:r>
              <w:rPr>
                <w:rFonts w:ascii="Arial" w:cs="Arial" w:eastAsia="Arial" w:hAnsi="Arial"/>
                <w:sz w:val="12"/>
                <w:szCs w:val="12"/>
                <w:b w:val="1"/>
                <w:bCs w:val="1"/>
                <w:color w:val="auto"/>
              </w:rPr>
              <w:t>(1)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2"/>
                <w:szCs w:val="12"/>
                <w:b w:val="1"/>
                <w:bCs w:val="1"/>
                <w:color w:val="auto"/>
              </w:rPr>
              <w:t>(2)</w:t>
            </w:r>
          </w:p>
        </w:tc>
      </w:tr>
      <w:tr>
        <w:trPr>
          <w:trHeight w:val="223"/>
        </w:trPr>
        <w:tc>
          <w:tcPr>
            <w:tcW w:w="4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940.0</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752.5</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w w:val="89"/>
              </w:rPr>
              <w:t>2019</w:t>
            </w:r>
          </w:p>
        </w:tc>
        <w:tc>
          <w:tcPr>
            <w:tcW w:w="388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19"/>
                <w:szCs w:val="19"/>
                <w:color w:val="auto"/>
              </w:rPr>
            </w:pPr>
          </w:p>
        </w:tc>
      </w:tr>
      <w:tr>
        <w:trPr>
          <w:trHeight w:val="230"/>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2022</w:t>
            </w:r>
          </w:p>
        </w:tc>
        <w:tc>
          <w:tcPr>
            <w:tcW w:w="3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Notes</w:t>
            </w:r>
          </w:p>
        </w:tc>
        <w:tc>
          <w:tcPr>
            <w:tcW w:w="4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120" w:type="dxa"/>
            <w:vAlign w:val="bottom"/>
            <w:shd w:val="clear" w:color="auto" w:fill="CFF0FC"/>
          </w:tcPr>
          <w:p>
            <w:pPr>
              <w:spacing w:after="0"/>
              <w:rPr>
                <w:sz w:val="19"/>
                <w:szCs w:val="19"/>
                <w:color w:val="auto"/>
              </w:rPr>
            </w:pPr>
          </w:p>
        </w:tc>
      </w:tr>
      <w:tr>
        <w:trPr>
          <w:trHeight w:val="230"/>
        </w:trPr>
        <w:tc>
          <w:tcPr>
            <w:tcW w:w="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89"/>
              </w:rPr>
              <w:t>2023</w:t>
            </w:r>
          </w:p>
        </w:tc>
        <w:tc>
          <w:tcPr>
            <w:tcW w:w="38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Notes</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120" w:type="dxa"/>
            <w:vAlign w:val="bottom"/>
            <w:tcBorders>
              <w:bottom w:val="single" w:sz="8" w:color="CFF0FC"/>
            </w:tcBorders>
          </w:tcPr>
          <w:p>
            <w:pPr>
              <w:spacing w:after="0"/>
              <w:rPr>
                <w:sz w:val="19"/>
                <w:szCs w:val="19"/>
                <w:color w:val="auto"/>
              </w:rPr>
            </w:pPr>
          </w:p>
        </w:tc>
      </w:tr>
      <w:tr>
        <w:trPr>
          <w:trHeight w:val="223"/>
        </w:trPr>
        <w:tc>
          <w:tcPr>
            <w:tcW w:w="426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 Debt</w:t>
            </w: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1,377.5</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625.0</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752.5</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w:t>
      </w:r>
    </w:p>
    <w:p>
      <w:pPr>
        <w:spacing w:after="0" w:line="23" w:lineRule="exact"/>
        <w:rPr>
          <w:rFonts w:ascii="Arial" w:cs="Arial" w:eastAsia="Arial" w:hAnsi="Arial"/>
          <w:sz w:val="18"/>
          <w:szCs w:val="18"/>
          <w:color w:val="auto"/>
        </w:rPr>
      </w:pPr>
    </w:p>
    <w:p>
      <w:pPr>
        <w:ind w:left="520" w:right="340" w:hanging="512"/>
        <w:spacing w:after="0" w:line="261"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carrying values of the Revolving Credit Facility, Convertible Notes, and 2023 Notes are presented net of deferred financing costs and original issue discounts of $8.7 million, $5.6 million and $2.7 million, respectively.</w:t>
      </w:r>
    </w:p>
    <w:p>
      <w:pPr>
        <w:spacing w:after="0" w:line="184"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As of June 30, 2019 and December 31, 2018, we were in compliance with the terms of our debt arrangements. We intend to continue to utilize our credit facilities to fund investments and for other general corporate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320" w:firstLine="259"/>
        <w:spacing w:after="0" w:line="277" w:lineRule="auto"/>
        <w:rPr>
          <w:sz w:val="20"/>
          <w:szCs w:val="20"/>
          <w:color w:val="auto"/>
        </w:rPr>
      </w:pPr>
      <w:r>
        <w:rPr>
          <w:rFonts w:ascii="Arial" w:cs="Arial" w:eastAsia="Arial" w:hAnsi="Arial"/>
          <w:sz w:val="18"/>
          <w:szCs w:val="18"/>
          <w:color w:val="auto"/>
        </w:rPr>
        <w:t>On August 23, 2012, we entered into a senior secured revolving credit agreement with SunTrust Bank, as administrative agent, and J.P. Morgan Chase Bank, N.A., as syndication agent, and certain other lenders (as amended and restated, the “Revolving Credit Facility”).</w:t>
      </w:r>
    </w:p>
    <w:p>
      <w:pPr>
        <w:spacing w:after="0" w:line="170" w:lineRule="exact"/>
        <w:rPr>
          <w:sz w:val="20"/>
          <w:szCs w:val="20"/>
          <w:color w:val="auto"/>
        </w:rPr>
      </w:pPr>
    </w:p>
    <w:p>
      <w:pPr>
        <w:ind w:right="60" w:firstLine="259"/>
        <w:spacing w:after="0" w:line="279" w:lineRule="auto"/>
        <w:rPr>
          <w:sz w:val="20"/>
          <w:szCs w:val="20"/>
          <w:color w:val="auto"/>
        </w:rPr>
      </w:pPr>
      <w:r>
        <w:rPr>
          <w:rFonts w:ascii="Arial" w:cs="Arial" w:eastAsia="Arial" w:hAnsi="Arial"/>
          <w:sz w:val="17"/>
          <w:szCs w:val="17"/>
          <w:color w:val="auto"/>
        </w:rPr>
        <w:t>As of December 31, 2018, aggregate commitments under the facility were $940 million. Pursuant to an amendment to the Revolving Credit Facility dated as of February 14, 2019 (the “Eighth Amendment”), the aggregate commitments under the facility were increased to $1,170 million. The facility includes an uncommitted accordion feature that allows us, under certain circumstances, to increase the size of the facility to up to $1,500 million. On June 7, 2019 we exercised our right under the accordion feature and increased the size of the facility to $1,245 million.</w:t>
      </w:r>
    </w:p>
    <w:p>
      <w:pPr>
        <w:spacing w:after="0" w:line="171" w:lineRule="exact"/>
        <w:rPr>
          <w:sz w:val="20"/>
          <w:szCs w:val="20"/>
          <w:color w:val="auto"/>
        </w:rPr>
      </w:pPr>
    </w:p>
    <w:p>
      <w:pPr>
        <w:ind w:right="380" w:firstLine="259"/>
        <w:spacing w:after="0" w:line="277" w:lineRule="auto"/>
        <w:rPr>
          <w:sz w:val="20"/>
          <w:szCs w:val="20"/>
          <w:color w:val="auto"/>
        </w:rPr>
      </w:pPr>
      <w:r>
        <w:rPr>
          <w:rFonts w:ascii="Arial" w:cs="Arial" w:eastAsia="Arial" w:hAnsi="Arial"/>
          <w:sz w:val="18"/>
          <w:szCs w:val="18"/>
          <w:color w:val="auto"/>
        </w:rPr>
        <w:t>The revolving period, during which period we, subject to certain conditions, may make borrowings under the facility, ends February 14, 2023 and the stated maturity date is February 14, 2024.</w:t>
      </w:r>
    </w:p>
    <w:p>
      <w:pPr>
        <w:spacing w:after="0" w:line="170" w:lineRule="exact"/>
        <w:rPr>
          <w:sz w:val="20"/>
          <w:szCs w:val="20"/>
          <w:color w:val="auto"/>
        </w:rPr>
      </w:pPr>
    </w:p>
    <w:p>
      <w:pPr>
        <w:ind w:right="240" w:firstLine="259"/>
        <w:spacing w:after="0" w:line="264" w:lineRule="auto"/>
        <w:rPr>
          <w:sz w:val="20"/>
          <w:szCs w:val="20"/>
          <w:color w:val="auto"/>
        </w:rPr>
      </w:pPr>
      <w:r>
        <w:rPr>
          <w:rFonts w:ascii="Arial" w:cs="Arial" w:eastAsia="Arial" w:hAnsi="Arial"/>
          <w:sz w:val="18"/>
          <w:szCs w:val="18"/>
          <w:color w:val="auto"/>
        </w:rPr>
        <w:t>We may borrow amounts in U.S. dollars or certain other permitted currencies. As of June 30, 2019, we had outstanding debt denominated in Australian Dollars (AUD) of 47.2 million, Canadian Dollars (CAD) of 64.5 million, and Euro (EUR) of 7.1 million on our Revolving Credit Facility, included in the Outstanding Principal amount in the table above.</w:t>
      </w:r>
    </w:p>
    <w:p>
      <w:pPr>
        <w:spacing w:after="0" w:line="181" w:lineRule="exact"/>
        <w:rPr>
          <w:sz w:val="20"/>
          <w:szCs w:val="20"/>
          <w:color w:val="auto"/>
        </w:rPr>
      </w:pPr>
    </w:p>
    <w:p>
      <w:pPr>
        <w:ind w:right="480" w:firstLine="259"/>
        <w:spacing w:after="0" w:line="264" w:lineRule="auto"/>
        <w:rPr>
          <w:sz w:val="20"/>
          <w:szCs w:val="20"/>
          <w:color w:val="auto"/>
        </w:rPr>
      </w:pPr>
      <w:r>
        <w:rPr>
          <w:rFonts w:ascii="Arial" w:cs="Arial" w:eastAsia="Arial" w:hAnsi="Arial"/>
          <w:sz w:val="18"/>
          <w:szCs w:val="18"/>
          <w:color w:val="auto"/>
        </w:rPr>
        <w:t>The Revolving Credit Facility also provides for the issuance of letters of credit up to an aggregate amount of $75 million. As of June 30, 2019 and December 31, 2018, we had no outstanding letters of credit issued through the Revolving Credit Facility. The amount available for borrowing under the Revolving Credit Facility is reduced by any letters of credit issued through the Revolving Credit Facility.</w:t>
      </w:r>
    </w:p>
    <w:p>
      <w:pPr>
        <w:spacing w:after="0" w:line="181"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We may elect either the LIBOR or base rate at the time of drawdown, and loans may be converted from one rate to another at any time, subject to certain conditions. We also pay a fee of 0.375% on undrawn amounts and, in respect of each undrawn letter of credit, a fee and interest rate equal to the then applicable margin while the letter of credit is outstanding.</w:t>
      </w:r>
    </w:p>
    <w:p>
      <w:pPr>
        <w:spacing w:after="0" w:line="193" w:lineRule="exact"/>
        <w:rPr>
          <w:sz w:val="20"/>
          <w:szCs w:val="20"/>
          <w:color w:val="auto"/>
        </w:rPr>
      </w:pPr>
    </w:p>
    <w:p>
      <w:pPr>
        <w:ind w:right="200" w:firstLine="259"/>
        <w:spacing w:after="0" w:line="312" w:lineRule="auto"/>
        <w:rPr>
          <w:sz w:val="20"/>
          <w:szCs w:val="20"/>
          <w:color w:val="auto"/>
        </w:rPr>
      </w:pPr>
      <w:r>
        <w:rPr>
          <w:rFonts w:ascii="Arial" w:cs="Arial" w:eastAsia="Arial" w:hAnsi="Arial"/>
          <w:sz w:val="16"/>
          <w:szCs w:val="16"/>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62" w:name="page63"/>
    <w:bookmarkEnd w:id="62"/>
    <w:p>
      <w:pPr>
        <w:ind w:right="340" w:firstLine="259"/>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The financial covenants require:</w:t>
      </w:r>
    </w:p>
    <w:p>
      <w:pPr>
        <w:spacing w:after="0" w:line="62" w:lineRule="exact"/>
        <w:rPr>
          <w:sz w:val="20"/>
          <w:szCs w:val="20"/>
          <w:color w:val="auto"/>
        </w:rPr>
      </w:pPr>
    </w:p>
    <w:p>
      <w:pPr>
        <w:ind w:left="520" w:hanging="255"/>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asset coverage ratio of no less than 1.5 to 1 on the last day of any fiscal quarter;</w:t>
      </w:r>
    </w:p>
    <w:p>
      <w:pPr>
        <w:spacing w:after="0" w:line="117" w:lineRule="exact"/>
        <w:rPr>
          <w:rFonts w:ascii="Arial" w:cs="Arial" w:eastAsia="Arial" w:hAnsi="Arial"/>
          <w:sz w:val="18"/>
          <w:szCs w:val="18"/>
          <w:color w:val="auto"/>
        </w:rPr>
      </w:pPr>
    </w:p>
    <w:p>
      <w:pPr>
        <w:ind w:left="520" w:right="380" w:hanging="255"/>
        <w:spacing w:after="0" w:line="375" w:lineRule="auto"/>
        <w:tabs>
          <w:tab w:leader="none" w:pos="5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 liquidity test under which we must not maintain cash and liquid investments of less than 10% of the covered debt amount for more than 30 consecutive business days under circumstances where our adjusted covered debt balance is greater than 90% of our adjusted borrowing base under the facility;</w:t>
      </w:r>
    </w:p>
    <w:p>
      <w:pPr>
        <w:spacing w:after="0" w:line="1" w:lineRule="exact"/>
        <w:rPr>
          <w:rFonts w:ascii="Arial" w:cs="Arial" w:eastAsia="Arial" w:hAnsi="Arial"/>
          <w:sz w:val="15"/>
          <w:szCs w:val="15"/>
          <w:color w:val="auto"/>
        </w:rPr>
      </w:pPr>
    </w:p>
    <w:p>
      <w:pPr>
        <w:ind w:left="520" w:hanging="255"/>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November 5, 2018;</w:t>
      </w:r>
    </w:p>
    <w:p>
      <w:pPr>
        <w:spacing w:after="0" w:line="117" w:lineRule="exact"/>
        <w:rPr>
          <w:rFonts w:ascii="Arial" w:cs="Arial" w:eastAsia="Arial" w:hAnsi="Arial"/>
          <w:sz w:val="18"/>
          <w:szCs w:val="18"/>
          <w:color w:val="auto"/>
        </w:rPr>
      </w:pPr>
    </w:p>
    <w:p>
      <w:pPr>
        <w:ind w:left="520" w:right="40" w:hanging="255"/>
        <w:spacing w:after="0" w:line="259"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 and</w:t>
      </w:r>
    </w:p>
    <w:p>
      <w:pPr>
        <w:spacing w:after="0" w:line="78" w:lineRule="exact"/>
        <w:rPr>
          <w:rFonts w:ascii="Arial" w:cs="Arial" w:eastAsia="Arial" w:hAnsi="Arial"/>
          <w:sz w:val="18"/>
          <w:szCs w:val="18"/>
          <w:color w:val="auto"/>
        </w:rPr>
      </w:pPr>
    </w:p>
    <w:p>
      <w:pPr>
        <w:ind w:left="520" w:right="260" w:hanging="255"/>
        <w:spacing w:after="0" w:line="342" w:lineRule="auto"/>
        <w:tabs>
          <w:tab w:leader="none" w:pos="5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minimum consolidated assets of the Company and the subsidiary guarantors (including certain limitations on the contribution of equity in financing subsidiaries), less total secured debt of the Company and the subsidiary guarantors, of at least $350 million at the last day of any fiscal quarter.</w:t>
      </w:r>
    </w:p>
    <w:p>
      <w:pPr>
        <w:spacing w:after="0" w:line="124"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The Revolving Credit Facility also contains certain additional concentration limits in connection with the calculation of the borrowing base, based on the Obligor Asset Coverage Ratio.</w:t>
      </w:r>
    </w:p>
    <w:p>
      <w:pPr>
        <w:spacing w:after="0" w:line="170"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Net proceeds received from our common stock issuance in March 2018 and net proceeds received from the issuance of the 2022 Convertible Notes and 2023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Convertible Notes</w:t>
      </w:r>
    </w:p>
    <w:p>
      <w:pPr>
        <w:spacing w:after="0" w:line="117" w:lineRule="exact"/>
        <w:rPr>
          <w:sz w:val="20"/>
          <w:szCs w:val="20"/>
          <w:color w:val="auto"/>
        </w:rPr>
      </w:pPr>
    </w:p>
    <w:p>
      <w:pPr>
        <w:ind w:right="60" w:firstLine="259"/>
        <w:spacing w:after="0" w:line="269" w:lineRule="auto"/>
        <w:rPr>
          <w:sz w:val="20"/>
          <w:szCs w:val="20"/>
          <w:color w:val="auto"/>
        </w:rPr>
      </w:pPr>
      <w:r>
        <w:rPr>
          <w:rFonts w:ascii="Arial" w:cs="Arial" w:eastAsia="Arial" w:hAnsi="Arial"/>
          <w:sz w:val="17"/>
          <w:szCs w:val="17"/>
          <w:color w:val="auto"/>
        </w:rPr>
        <w:t>In June 2014, we issued in a private offering $115 million aggregate principal amount convertible notes due December 2019. The 2019 Convertible Notes were issued in a private placement only to qualified institutional buyers pursuant to Rule 144A under the Securities Act. The 2019 Convertible Notes are unsecured and bear interest at a rate of 4.50% per year, payable semiannually. The 2019 Convertible Notes will mature on December 15, 2019. In certain circumstances, the 2019 Convertible Notes will be convertible into cash, shares of our common stock or a combination of cash and shares of our common stock, at our election, at an initial conversion rate of 38.7162 shares of common stock per $1,000 principal amount of 2019 Convertible Notes, which is equivalent to an initial conversion price of approximately $25.83 per share of our common stock, subject to customary anti-dilution adjustments. As of June 30, 2019, the estimated adjusted conversion price was approximately $24.89 per share of common stock. The sale of the 2019 Convertible Notes generated net proceeds of approximately $110.8 million. We used the net proceeds of the offering to pay down debt under the Revolving Credit Facility. In connection with the offering of 2019 Convertible Notes, we have entered into interest rate swaps to continue to align the interest rates of our liabilities with our investment portfolio, which consists of predominately floating rate loans. As a result of the swaps, our effective interest rate on the 2019 Convertible Notes is three-month LIBOR plus 2.86%.</w:t>
      </w:r>
    </w:p>
    <w:p>
      <w:pPr>
        <w:spacing w:after="0" w:line="183" w:lineRule="exact"/>
        <w:rPr>
          <w:sz w:val="20"/>
          <w:szCs w:val="20"/>
          <w:color w:val="auto"/>
        </w:rPr>
      </w:pPr>
    </w:p>
    <w:p>
      <w:pPr>
        <w:ind w:firstLine="259"/>
        <w:spacing w:after="0" w:line="289" w:lineRule="auto"/>
        <w:rPr>
          <w:sz w:val="20"/>
          <w:szCs w:val="20"/>
          <w:color w:val="auto"/>
        </w:rPr>
      </w:pPr>
      <w:r>
        <w:rPr>
          <w:rFonts w:ascii="Arial" w:cs="Arial" w:eastAsia="Arial" w:hAnsi="Arial"/>
          <w:sz w:val="16"/>
          <w:szCs w:val="16"/>
          <w:color w:val="auto"/>
        </w:rPr>
        <w:t>Holders may convert their 2019 Convertible Notes at their option at any time prior to June 15, 2019 only under the following circumstances: (1) 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2019 Convertible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2022 Convertible Notes</w:t>
      </w:r>
    </w:p>
    <w:p>
      <w:pPr>
        <w:spacing w:after="0" w:line="117" w:lineRule="exact"/>
        <w:rPr>
          <w:sz w:val="20"/>
          <w:szCs w:val="20"/>
          <w:color w:val="auto"/>
        </w:rPr>
      </w:pPr>
    </w:p>
    <w:p>
      <w:pPr>
        <w:ind w:right="80" w:firstLine="259"/>
        <w:spacing w:after="0" w:line="269" w:lineRule="auto"/>
        <w:rPr>
          <w:sz w:val="20"/>
          <w:szCs w:val="20"/>
          <w:color w:val="auto"/>
        </w:rPr>
      </w:pPr>
      <w:r>
        <w:rPr>
          <w:rFonts w:ascii="Arial" w:cs="Arial" w:eastAsia="Arial" w:hAnsi="Arial"/>
          <w:sz w:val="17"/>
          <w:szCs w:val="17"/>
          <w:color w:val="auto"/>
        </w:rPr>
        <w:t>In February 2017, we issued in a private offering $115 million aggregate principal amount convertible notes due August 2022. The 2022 Convertible Notes were issued in a private placement only to qualified institutional buyers pursuant to Rule 144A under the Securities Act. The 2022 Convertible Notes are unsecured, and bear interest at a rate of 4.50% per year, payable semiannually. The 2022 Convertible Notes will mature on August 1, 2022. In certain circumstances, the 2022 Convertible Notes will be convertible into cash, shares of our common stock or a combination of cash and shares of our common stock, at our election, at an initial conversion rate of 46.8516 shares of common stock per $1,000 principal amount of 2022 Convertible Notes, which is equivalent to an initial conversion price of approximately $21.34 per share of our common stock, subject to customary anti-dilution adjustments. As of June 30, 2019, the estimated adjusted conversion price was approximately $20.78 per share of common stock. The sale of the 2022 Convertible Notes generated net proceeds of approximately $111.2 million. We used the net proceeds of the offering to pay down debt under the Revolving Credit Facility. In connection with the offering of 2022 Convertible Notes, we have entered into an interest rate swap to continue to align the interest rates of our liabilities with our investment portfolio, which consists of predominately floating rate loans. As a result of the swaps, our effective interest rate on the original issuance of 2022 Convertible Notes is three-month LIBOR plus 2.37%.</w:t>
      </w:r>
    </w:p>
    <w:p>
      <w:pPr>
        <w:spacing w:after="0" w:line="183" w:lineRule="exact"/>
        <w:rPr>
          <w:sz w:val="20"/>
          <w:szCs w:val="20"/>
          <w:color w:val="auto"/>
        </w:rPr>
      </w:pPr>
    </w:p>
    <w:p>
      <w:pPr>
        <w:ind w:right="20" w:firstLine="259"/>
        <w:spacing w:after="0" w:line="255" w:lineRule="auto"/>
        <w:rPr>
          <w:sz w:val="20"/>
          <w:szCs w:val="20"/>
          <w:color w:val="auto"/>
        </w:rPr>
      </w:pPr>
      <w:r>
        <w:rPr>
          <w:rFonts w:ascii="Arial" w:cs="Arial" w:eastAsia="Arial" w:hAnsi="Arial"/>
          <w:sz w:val="18"/>
          <w:szCs w:val="18"/>
          <w:color w:val="auto"/>
        </w:rPr>
        <w:t>In June 2018, we issued an additional $57.5 million aggregate principal amount of 2022 Convertible Notes. The additional 2022 Convertible Notes were issued with identical terms, and are fungible with and are part of a single series with the previously outstanding $115 million aggregate principal amount of our 2022 Convertible Notes issued in February 2017. In connection with the reopening of the 2022 Convertible Notes, we entered into interest rate swaps to continue to align the interest rates of its liabilities with its investment portfolio, which consists of predominantly floating rate loans. As a result of the additional swaps, our effective interest rate on the additional 2022 Convertible Notes is approximately three-month LIBOR plus 1.60%. See Note 5 for further information related to our interest rate swaps.</w:t>
      </w:r>
    </w:p>
    <w:p>
      <w:pPr>
        <w:spacing w:after="0" w:line="193" w:lineRule="exact"/>
        <w:rPr>
          <w:sz w:val="20"/>
          <w:szCs w:val="20"/>
          <w:color w:val="auto"/>
        </w:rPr>
      </w:pPr>
    </w:p>
    <w:p>
      <w:pPr>
        <w:ind w:firstLine="259"/>
        <w:spacing w:after="0" w:line="289" w:lineRule="auto"/>
        <w:rPr>
          <w:sz w:val="20"/>
          <w:szCs w:val="20"/>
          <w:color w:val="auto"/>
        </w:rPr>
      </w:pPr>
      <w:r>
        <w:rPr>
          <w:rFonts w:ascii="Arial" w:cs="Arial" w:eastAsia="Arial" w:hAnsi="Arial"/>
          <w:sz w:val="16"/>
          <w:szCs w:val="16"/>
          <w:color w:val="auto"/>
        </w:rPr>
        <w:t>Holders may convert their 2022 Convertible Notes at their option at any time prior to February 1, 2022 only under the following circumstances: (1) during any calendar quarter commencing after the calendar quarter ending on June 30, 2017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2022 Convertible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February 1, 2022 until the close of business on the scheduled trading day immediately preceding the maturity date, holders may convert their notes at any time, regardless of the occurrence or nonoccurrence of any of the foregoing circumstances.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4" w:name="page65"/>
    <w:bookmarkEnd w:id="64"/>
    <w:p>
      <w:pPr>
        <w:ind w:right="60" w:firstLine="259"/>
        <w:spacing w:after="0" w:line="257" w:lineRule="auto"/>
        <w:rPr>
          <w:sz w:val="20"/>
          <w:szCs w:val="20"/>
          <w:color w:val="auto"/>
        </w:rPr>
      </w:pPr>
      <w:r>
        <w:rPr>
          <w:rFonts w:ascii="Arial" w:cs="Arial" w:eastAsia="Arial" w:hAnsi="Arial"/>
          <w:sz w:val="18"/>
          <w:szCs w:val="18"/>
          <w:color w:val="auto"/>
        </w:rPr>
        <w:t>The Convertible Notes are our unsecured obligations and rank senior in right of payment to our future indebtedness that is expressly subordinated in right of payment to the Convertible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88" w:lineRule="exact"/>
        <w:rPr>
          <w:sz w:val="20"/>
          <w:szCs w:val="20"/>
          <w:color w:val="auto"/>
        </w:rPr>
      </w:pPr>
    </w:p>
    <w:p>
      <w:pPr>
        <w:ind w:right="140" w:firstLine="259"/>
        <w:spacing w:after="0" w:line="277" w:lineRule="auto"/>
        <w:rPr>
          <w:sz w:val="20"/>
          <w:szCs w:val="20"/>
          <w:color w:val="auto"/>
        </w:rPr>
      </w:pPr>
      <w:r>
        <w:rPr>
          <w:rFonts w:ascii="Arial" w:cs="Arial" w:eastAsia="Arial" w:hAnsi="Arial"/>
          <w:sz w:val="18"/>
          <w:szCs w:val="18"/>
          <w:color w:val="auto"/>
        </w:rPr>
        <w:t>As of June 30, 2019, the principal amount of the Convertible Notes exceeded the value of the underlying shares multiplied by the per share closing price of our common stock.</w:t>
      </w:r>
    </w:p>
    <w:p>
      <w:pPr>
        <w:spacing w:after="0" w:line="170" w:lineRule="exact"/>
        <w:rPr>
          <w:sz w:val="20"/>
          <w:szCs w:val="20"/>
          <w:color w:val="auto"/>
        </w:rPr>
      </w:pPr>
    </w:p>
    <w:p>
      <w:pPr>
        <w:ind w:right="40" w:firstLine="259"/>
        <w:spacing w:after="0" w:line="259" w:lineRule="auto"/>
        <w:rPr>
          <w:sz w:val="20"/>
          <w:szCs w:val="20"/>
          <w:color w:val="auto"/>
        </w:rPr>
      </w:pPr>
      <w:r>
        <w:rPr>
          <w:rFonts w:ascii="Arial" w:cs="Arial" w:eastAsia="Arial" w:hAnsi="Arial"/>
          <w:sz w:val="18"/>
          <w:szCs w:val="18"/>
          <w:color w:val="auto"/>
        </w:rPr>
        <w:t>The indentures governing the Convertible Notes contain certain covenants, including covenants requiring us to comply with the applicable asset coverage ratio requirement under the 1940 Act and to provide financial information to the holders of the Convertible Notes under certain circumstances. These covenants are subject to important limitations and exceptions that are described in the indentures governing the Convertible Notes. As of June 30, 2019, we were in compliance with the terms of the indentures governing the Convertible Notes.</w:t>
      </w:r>
    </w:p>
    <w:p>
      <w:pPr>
        <w:spacing w:after="0" w:line="187" w:lineRule="exact"/>
        <w:rPr>
          <w:sz w:val="20"/>
          <w:szCs w:val="20"/>
          <w:color w:val="auto"/>
        </w:rPr>
      </w:pPr>
    </w:p>
    <w:p>
      <w:pPr>
        <w:ind w:firstLine="259"/>
        <w:spacing w:after="0" w:line="270" w:lineRule="auto"/>
        <w:rPr>
          <w:sz w:val="20"/>
          <w:szCs w:val="20"/>
          <w:color w:val="auto"/>
        </w:rPr>
      </w:pPr>
      <w:r>
        <w:rPr>
          <w:rFonts w:ascii="Arial" w:cs="Arial" w:eastAsia="Arial" w:hAnsi="Arial"/>
          <w:sz w:val="17"/>
          <w:szCs w:val="17"/>
          <w:color w:val="auto"/>
        </w:rPr>
        <w:t>The Convertible Notes are accounted for in accordance with Accounting Standards Codification (“ASC”) 470-20. Upon conversion of any of the Convertible Notes, we intend to pay the outstanding principal amount in cash and, to the extent that the conversion value exceeds the principal amount, we have the option to pay in cash or shares of our common stock (or a combination of cash and shares) in respect of the excess amount, subject to the requirements of the indentures governing the Convertible Notes. We have determined that the embedded conversion options in each series of Convertible Notes are not required to be separately accounted for as a derivative under U.S. GAAP. In accounting for the Convertible Notes, we estimated at the time of issuance separate debt and equity components of each series of Convertible Notes. An original issue discount equal to the equity components of each series of Convertible Notes was recorded in “additional paid-in capital” in the accompanying consolidated balance sheet. Additionally, the issuance costs associated with the Convertible Notes were allocated to the debt and equity components in proportion to the allocation of the proceeds and accounted for as deferred financing costs and equity issuance costs, respectively.</w:t>
      </w:r>
    </w:p>
    <w:p>
      <w:pPr>
        <w:spacing w:after="0" w:line="2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2023 Notes</w:t>
      </w:r>
    </w:p>
    <w:p>
      <w:pPr>
        <w:spacing w:after="0" w:line="117" w:lineRule="exact"/>
        <w:rPr>
          <w:sz w:val="20"/>
          <w:szCs w:val="20"/>
          <w:color w:val="auto"/>
        </w:rPr>
      </w:pPr>
    </w:p>
    <w:p>
      <w:pPr>
        <w:ind w:right="200" w:firstLine="259"/>
        <w:spacing w:after="0" w:line="257" w:lineRule="auto"/>
        <w:rPr>
          <w:sz w:val="20"/>
          <w:szCs w:val="20"/>
          <w:color w:val="auto"/>
        </w:rPr>
      </w:pPr>
      <w:r>
        <w:rPr>
          <w:rFonts w:ascii="Arial" w:cs="Arial" w:eastAsia="Arial" w:hAnsi="Arial"/>
          <w:sz w:val="18"/>
          <w:szCs w:val="18"/>
          <w:color w:val="auto"/>
        </w:rPr>
        <w:t>In January 2018, we issued $150.0 million aggregate principal amount of unsecured notes that mature on January 22, 2023 (the “2023 Notes”). The principal amount of the 2023 Notes is payable at maturity. The 2023 Notes bear interest at a rate of 4.50% per year, payable semi-annually commencing on July 22, 2018, and may be redeemed in whole or in part at our option at any time at par plus a “make whole” premium. Total proceeds from the issuance of the 2023 Notes, net of underwriting discounts and offering costs, were $146.9 million. We used the net proceeds of the 2023 Notes to repay outstanding indebtedness under the Revolving Credit Facility.</w:t>
      </w:r>
    </w:p>
    <w:p>
      <w:pPr>
        <w:spacing w:after="0" w:line="188"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In connection with the 2023 Notes offering, we entered into an interest rate swap to continue to align the interest rates of our liabilities with our investment portfolio, which consists of predominately floating rate loans. As a result of the swap, our effective interest rate on the 2023 Notes is three-month LIBOR plus 1.99%.</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firstLine="259"/>
        <w:spacing w:after="0" w:line="255" w:lineRule="auto"/>
        <w:rPr>
          <w:sz w:val="20"/>
          <w:szCs w:val="20"/>
          <w:color w:val="auto"/>
        </w:rPr>
      </w:pPr>
      <w:r>
        <w:rPr>
          <w:rFonts w:ascii="Arial" w:cs="Arial" w:eastAsia="Arial" w:hAnsi="Arial"/>
          <w:sz w:val="18"/>
          <w:szCs w:val="18"/>
          <w:color w:val="auto"/>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June 30, 2019 and December 31, 2018, we had the following commitments to fund investments in current portfolio companies:</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22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60" w:type="dxa"/>
            <w:vAlign w:val="bottom"/>
          </w:tcPr>
          <w:p>
            <w:pPr>
              <w:spacing w:after="0"/>
              <w:rPr>
                <w:sz w:val="14"/>
                <w:szCs w:val="14"/>
                <w:color w:val="auto"/>
              </w:rPr>
            </w:pPr>
          </w:p>
        </w:tc>
        <w:tc>
          <w:tcPr>
            <w:tcW w:w="1140" w:type="dxa"/>
            <w:vAlign w:val="bottom"/>
          </w:tcPr>
          <w:p>
            <w:pPr>
              <w:jc w:val="right"/>
              <w:ind w:right="151"/>
              <w:spacing w:after="0"/>
              <w:rPr>
                <w:sz w:val="20"/>
                <w:szCs w:val="20"/>
                <w:color w:val="auto"/>
              </w:rPr>
            </w:pPr>
            <w:r>
              <w:rPr>
                <w:rFonts w:ascii="Arial" w:cs="Arial" w:eastAsia="Arial" w:hAnsi="Arial"/>
                <w:sz w:val="14"/>
                <w:szCs w:val="14"/>
                <w:b w:val="1"/>
                <w:bCs w:val="1"/>
                <w:color w:val="auto"/>
                <w:w w:val="96"/>
              </w:rPr>
              <w:t>June 30, 2019</w:t>
            </w:r>
          </w:p>
        </w:tc>
        <w:tc>
          <w:tcPr>
            <w:tcW w:w="26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2018</w:t>
            </w:r>
          </w:p>
        </w:tc>
      </w:tr>
      <w:tr>
        <w:trPr>
          <w:trHeight w:val="223"/>
        </w:trPr>
        <w:tc>
          <w:tcPr>
            <w:tcW w:w="20" w:type="dxa"/>
            <w:vAlign w:val="bottom"/>
          </w:tcPr>
          <w:p>
            <w:pPr>
              <w:spacing w:after="0"/>
              <w:rPr>
                <w:sz w:val="19"/>
                <w:szCs w:val="19"/>
                <w:color w:val="auto"/>
              </w:rPr>
            </w:pPr>
          </w:p>
        </w:tc>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AppStar Financial, LLC - Revolver</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Caris Life Sciences, Ltd. - Delayed Draw</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ClearCompany, LLC - Delayed Draw</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Clinicient, Inc. - Revolver</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Ferrellgas, L.P. - Revolver</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Frontline Technologies Group, LLC - Delayed Draw</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G Treasury SS, LLC - Delayed Draw</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G Treasury SS, LLC - Revolver</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Government Brands, LLC - Revolver</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Integration Appliance, Inc. - Revolver</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IRGSE Holding Corp. - Revolver</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Kyriba Corp. - Delayed Draw</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Kyriba Corp. - Revolver</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Lithium Technologies, LLC - Revolver</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MD America Energy, LLC - Delayed Draw</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Motus, LLC - Revolver</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PageUp People, Ltd. - Revolver</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PayLease, LLC - Revolver</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PayScale Holdings, Inc. - Delayed Draw</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PrimeRevenue, Inc. - Revolver</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ScentAir Technologies, Inc. - Revolver</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Sovos Compliance, LLC - Delayed Draw</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Sovos Compliance, LLC - Revolver</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TherapeuticsMD, Inc. - Delayed Draw A1</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TherapeuticsMD, Inc. - Delayed Draw A2</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Valant Medical Solutions, Inc. - Delayed Draw</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Valant Medical Solutions, Inc. - Revolver</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Verdad Resources Intermediate Holdings, LLC - Delayed Draw</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2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b w:val="1"/>
                <w:bCs w:val="1"/>
                <w:color w:val="auto"/>
              </w:rPr>
              <w:t>Total Portfolio Company Commitments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32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As of June 30, 2019 and December 31, 2018, we did not have any unfunded commitments to fund new investments to new borrowers that were not current portfolio companies as of such date.</w:t>
      </w:r>
    </w:p>
    <w:p>
      <w:pPr>
        <w:spacing w:after="0" w:line="170"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or its affiliates for the allocable portion (subject to the review and approval of our Board) of expenses incurred by it in performing its obligations under the Administration Agreement, and the fees and expenses associated with performing compliance functions. Such reimbursable amounts include the allocable portion of the compensation of our Chief Compliance Officer, Chief Financial Officer and other professionals who provide operational and administrative services to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6" w:name="page67"/>
    <w:bookmarkEnd w:id="66"/>
    <w:p>
      <w:pPr>
        <w:jc w:val="both"/>
        <w:ind w:right="160"/>
        <w:spacing w:after="0" w:line="302" w:lineRule="auto"/>
        <w:rPr>
          <w:sz w:val="20"/>
          <w:szCs w:val="20"/>
          <w:color w:val="auto"/>
        </w:rPr>
      </w:pPr>
      <w:r>
        <w:rPr>
          <w:rFonts w:ascii="Arial" w:cs="Arial" w:eastAsia="Arial" w:hAnsi="Arial"/>
          <w:sz w:val="16"/>
          <w:szCs w:val="16"/>
          <w:color w:val="auto"/>
        </w:rPr>
        <w:t>us pursuant to the Administration Agreement. We reimburse the Adviser (or its affiliates) for the allocable portion of the compensation paid by the Adviser (or its affiliates) to such individuals based on a percentage of time those individuals devote, on an estimated basis, to our business and affairs. We may also reimburse the Adviser or its affiliates for the allocable portion of overhead expenses (including rent, office equipment and utilities) attributable thereto. Our Adviser also offers on our behalf significant managerial assistance to those portfolio companies to which we are required to offer to provide such assistance.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 summary of our contractual payment obligations as of June 30, 2019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Payments Due by Period</w:t>
            </w: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157"/>
              <w:spacing w:after="0" w:line="147" w:lineRule="exact"/>
              <w:rPr>
                <w:sz w:val="20"/>
                <w:szCs w:val="20"/>
                <w:color w:val="auto"/>
              </w:rPr>
            </w:pPr>
            <w:r>
              <w:rPr>
                <w:rFonts w:ascii="Arial" w:cs="Arial" w:eastAsia="Arial" w:hAnsi="Arial"/>
                <w:sz w:val="14"/>
                <w:szCs w:val="14"/>
                <w:b w:val="1"/>
                <w:bCs w:val="1"/>
                <w:color w:val="auto"/>
                <w:w w:val="94"/>
              </w:rPr>
              <w:t>Less than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5200" w:type="dxa"/>
            <w:vAlign w:val="bottom"/>
          </w:tcPr>
          <w:p>
            <w:pPr>
              <w:spacing w:after="0"/>
              <w:rPr>
                <w:sz w:val="20"/>
                <w:szCs w:val="20"/>
                <w:color w:val="auto"/>
              </w:rPr>
            </w:pPr>
            <w:r>
              <w:rPr>
                <w:rFonts w:ascii="Arial" w:cs="Arial" w:eastAsia="Arial" w:hAnsi="Arial"/>
                <w:sz w:val="14"/>
                <w:szCs w:val="14"/>
                <w:color w:val="auto"/>
              </w:rPr>
              <w:t>($ in millions)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80" w:type="dxa"/>
            <w:vAlign w:val="bottom"/>
          </w:tcPr>
          <w:p>
            <w:pPr>
              <w:jc w:val="right"/>
              <w:ind w:right="257"/>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4"/>
                <w:szCs w:val="14"/>
                <w:color w:val="auto"/>
              </w:rPr>
            </w:pPr>
          </w:p>
        </w:tc>
        <w:tc>
          <w:tcPr>
            <w:tcW w:w="880" w:type="dxa"/>
            <w:vAlign w:val="bottom"/>
          </w:tcPr>
          <w:p>
            <w:pPr>
              <w:jc w:val="right"/>
              <w:ind w:right="153"/>
              <w:spacing w:after="0"/>
              <w:rPr>
                <w:sz w:val="20"/>
                <w:szCs w:val="20"/>
                <w:color w:val="auto"/>
              </w:rPr>
            </w:pPr>
            <w:r>
              <w:rPr>
                <w:rFonts w:ascii="Arial" w:cs="Arial" w:eastAsia="Arial" w:hAnsi="Arial"/>
                <w:sz w:val="14"/>
                <w:szCs w:val="14"/>
                <w:b w:val="1"/>
                <w:bCs w:val="1"/>
                <w:color w:val="auto"/>
              </w:rPr>
              <w:t>3-5 years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After 5 years</w:t>
            </w:r>
          </w:p>
        </w:tc>
      </w:tr>
      <w:tr>
        <w:trPr>
          <w:trHeight w:val="223"/>
        </w:trPr>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2019 Convertible Notes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2022 Convertible Notes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2023 Notes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 Contractual Obligations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832.7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80" w:firstLine="259"/>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ind w:right="240" w:firstLine="259"/>
        <w:spacing w:after="0" w:line="342" w:lineRule="auto"/>
        <w:rPr>
          <w:sz w:val="20"/>
          <w:szCs w:val="20"/>
          <w:color w:val="auto"/>
        </w:rPr>
      </w:pPr>
      <w:r>
        <w:rPr>
          <w:rFonts w:ascii="Arial" w:cs="Arial" w:eastAsia="Arial" w:hAnsi="Arial"/>
          <w:sz w:val="16"/>
          <w:szCs w:val="16"/>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16" w:lineRule="exact"/>
        <w:rPr>
          <w:sz w:val="20"/>
          <w:szCs w:val="20"/>
          <w:color w:val="auto"/>
        </w:rPr>
      </w:pPr>
    </w:p>
    <w:p>
      <w:pPr>
        <w:ind w:left="520" w:right="140" w:hanging="255"/>
        <w:spacing w:after="0" w:line="277"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net tax-exempt interest income (which is the excess of our gross tax-exempt interest income over certain disallowed deductions) for such taxable year.</w:t>
      </w:r>
    </w:p>
    <w:p>
      <w:pPr>
        <w:spacing w:after="0" w:line="248" w:lineRule="exact"/>
        <w:rPr>
          <w:sz w:val="20"/>
          <w:szCs w:val="20"/>
          <w:color w:val="auto"/>
        </w:rPr>
      </w:pPr>
    </w:p>
    <w:p>
      <w:pPr>
        <w:ind w:right="260" w:firstLine="259"/>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jc w:val="both"/>
        <w:ind w:right="440" w:firstLine="259"/>
        <w:spacing w:after="0" w:line="264"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1" w:lineRule="exact"/>
        <w:rPr>
          <w:sz w:val="20"/>
          <w:szCs w:val="20"/>
          <w:color w:val="auto"/>
        </w:rPr>
      </w:pPr>
    </w:p>
    <w:p>
      <w:pPr>
        <w:ind w:right="100" w:firstLine="259"/>
        <w:spacing w:after="0" w:line="34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16" w:lineRule="exact"/>
        <w:rPr>
          <w:sz w:val="20"/>
          <w:szCs w:val="20"/>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17" w:lineRule="exact"/>
        <w:rPr>
          <w:rFonts w:ascii="Arial" w:cs="Arial" w:eastAsia="Arial" w:hAnsi="Arial"/>
          <w:sz w:val="18"/>
          <w:szCs w:val="18"/>
          <w:color w:val="auto"/>
        </w:rPr>
      </w:pPr>
    </w:p>
    <w:p>
      <w:pPr>
        <w:ind w:left="520" w:right="140" w:hanging="255"/>
        <w:spacing w:after="0" w:line="277"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62" w:lineRule="exact"/>
        <w:rPr>
          <w:rFonts w:ascii="Arial" w:cs="Arial" w:eastAsia="Arial" w:hAnsi="Arial"/>
          <w:sz w:val="18"/>
          <w:szCs w:val="18"/>
          <w:color w:val="auto"/>
        </w:rPr>
      </w:pPr>
    </w:p>
    <w:p>
      <w:pPr>
        <w:ind w:left="520" w:hanging="255"/>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100" w:firstLine="259"/>
        <w:spacing w:after="0" w:line="264"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1" w:lineRule="exact"/>
        <w:rPr>
          <w:sz w:val="20"/>
          <w:szCs w:val="20"/>
          <w:color w:val="auto"/>
        </w:rPr>
      </w:pPr>
    </w:p>
    <w:p>
      <w:pPr>
        <w:ind w:right="140" w:firstLine="259"/>
        <w:spacing w:after="0" w:line="264"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7" w:name="page68"/>
    <w:bookmarkEnd w:id="67"/>
    <w:p>
      <w:pPr>
        <w:ind w:right="60" w:firstLine="259"/>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7" w:lineRule="exact"/>
        <w:rPr>
          <w:sz w:val="20"/>
          <w:szCs w:val="20"/>
          <w:color w:val="auto"/>
        </w:rPr>
      </w:pPr>
    </w:p>
    <w:p>
      <w:pPr>
        <w:ind w:right="200" w:firstLine="259"/>
        <w:spacing w:after="0" w:line="279"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20" w:hanging="255"/>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17" w:lineRule="exact"/>
        <w:rPr>
          <w:rFonts w:ascii="Arial" w:cs="Arial" w:eastAsia="Arial" w:hAnsi="Arial"/>
          <w:sz w:val="18"/>
          <w:szCs w:val="18"/>
          <w:color w:val="auto"/>
        </w:rPr>
      </w:pPr>
    </w:p>
    <w:p>
      <w:pPr>
        <w:ind w:left="520" w:hanging="255"/>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17" w:lineRule="exact"/>
        <w:rPr>
          <w:rFonts w:ascii="Arial" w:cs="Arial" w:eastAsia="Arial" w:hAnsi="Arial"/>
          <w:sz w:val="18"/>
          <w:szCs w:val="18"/>
          <w:color w:val="auto"/>
        </w:rPr>
      </w:pPr>
    </w:p>
    <w:p>
      <w:pPr>
        <w:ind w:left="520" w:right="100" w:hanging="255"/>
        <w:spacing w:after="0" w:line="264"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20" w:firstLine="259"/>
        <w:spacing w:after="0" w:line="302" w:lineRule="auto"/>
        <w:rPr>
          <w:sz w:val="20"/>
          <w:szCs w:val="20"/>
          <w:color w:val="auto"/>
        </w:rPr>
      </w:pPr>
      <w:r>
        <w:rPr>
          <w:rFonts w:ascii="Arial" w:cs="Arial" w:eastAsia="Arial" w:hAnsi="Arial"/>
          <w:sz w:val="16"/>
          <w:szCs w:val="16"/>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Annual Report on Form 10-K for the year ended December 31, 2018, filed with the SEC on February 20, 2019, and elsewhere in our filings with the SEC.</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60" w:firstLine="259"/>
        <w:spacing w:after="0" w:line="255"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259"/>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7" w:lineRule="exact"/>
        <w:rPr>
          <w:sz w:val="20"/>
          <w:szCs w:val="20"/>
          <w:color w:val="auto"/>
        </w:rPr>
      </w:pPr>
    </w:p>
    <w:p>
      <w:pPr>
        <w:ind w:right="700" w:firstLine="259"/>
        <w:spacing w:after="0" w:line="264"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8" w:name="page69"/>
    <w:bookmarkEnd w:id="68"/>
    <w:p>
      <w:pPr>
        <w:ind w:right="100" w:firstLine="259"/>
        <w:spacing w:after="0" w:line="259" w:lineRule="auto"/>
        <w:rPr>
          <w:sz w:val="20"/>
          <w:szCs w:val="20"/>
          <w:color w:val="auto"/>
        </w:rPr>
      </w:pPr>
      <w:r>
        <w:rPr>
          <w:rFonts w:ascii="Arial" w:cs="Arial" w:eastAsia="Arial" w:hAnsi="Arial"/>
          <w:sz w:val="18"/>
          <w:szCs w:val="18"/>
          <w:color w:val="auto"/>
        </w:rPr>
        <w:t>As of June 30, 2019, 99.4% of our debt investments based on fair value in our portfolio bore interest at floating rates (when including investment specific hedges), with 94.7% of these subject to interest rate floors. Our credit facilities also bear interest at floating rates, and in connection with our Convertible Notes and 2023 Notes, which bear interest at fixed rates, we entered into fixed-to-floating interest rate swaps in order to continue to align the interest rates of our liabilities with our investment portfolio.</w:t>
      </w:r>
    </w:p>
    <w:p>
      <w:pPr>
        <w:spacing w:after="0" w:line="187"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Assuming that our consolidated balance sheet as of June 30, 2019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6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Basis Point Change</w:t>
            </w:r>
          </w:p>
        </w:tc>
        <w:tc>
          <w:tcPr>
            <w:tcW w:w="120" w:type="dxa"/>
            <w:vAlign w:val="bottom"/>
          </w:tcPr>
          <w:p>
            <w:pPr>
              <w:spacing w:after="0"/>
              <w:rPr>
                <w:sz w:val="14"/>
                <w:szCs w:val="14"/>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Interest Income</w:t>
            </w:r>
          </w:p>
        </w:tc>
        <w:tc>
          <w:tcPr>
            <w:tcW w:w="80" w:type="dxa"/>
            <w:vAlign w:val="bottom"/>
          </w:tcPr>
          <w:p>
            <w:pPr>
              <w:spacing w:after="0"/>
              <w:rPr>
                <w:sz w:val="14"/>
                <w:szCs w:val="14"/>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0"/>
              </w:rPr>
              <w:t>Interest Expense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Net Income</w:t>
            </w:r>
          </w:p>
        </w:tc>
      </w:tr>
      <w:tr>
        <w:trPr>
          <w:trHeight w:val="223"/>
        </w:trPr>
        <w:tc>
          <w:tcPr>
            <w:tcW w:w="20" w:type="dxa"/>
            <w:vAlign w:val="bottom"/>
          </w:tcPr>
          <w:p>
            <w:pPr>
              <w:spacing w:after="0"/>
              <w:rPr>
                <w:sz w:val="19"/>
                <w:szCs w:val="19"/>
                <w:color w:val="auto"/>
              </w:rPr>
            </w:pPr>
          </w:p>
        </w:tc>
        <w:tc>
          <w:tcPr>
            <w:tcW w:w="5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Up 300 basis points</w:t>
            </w:r>
          </w:p>
        </w:tc>
        <w:tc>
          <w:tcPr>
            <w:tcW w:w="1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Up 200 basis points</w:t>
            </w:r>
          </w:p>
        </w:tc>
        <w:tc>
          <w:tcPr>
            <w:tcW w:w="54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9"/>
                <w:szCs w:val="19"/>
                <w:color w:val="auto"/>
              </w:rPr>
            </w:pPr>
          </w:p>
        </w:tc>
        <w:tc>
          <w:tcPr>
            <w:tcW w:w="50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Up 100 basis points</w:t>
            </w:r>
          </w:p>
        </w:tc>
        <w:tc>
          <w:tcPr>
            <w:tcW w:w="540" w:type="dxa"/>
            <w:vAlign w:val="bottom"/>
            <w:gridSpan w:val="2"/>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Down 25 basis points</w:t>
            </w:r>
          </w:p>
        </w:tc>
        <w:tc>
          <w:tcPr>
            <w:tcW w:w="54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50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r>
      <w:tr>
        <w:trPr>
          <w:trHeight w:val="230"/>
        </w:trPr>
        <w:tc>
          <w:tcPr>
            <w:tcW w:w="20" w:type="dxa"/>
            <w:vAlign w:val="bottom"/>
          </w:tcPr>
          <w:p>
            <w:pPr>
              <w:spacing w:after="0"/>
              <w:rPr>
                <w:sz w:val="19"/>
                <w:szCs w:val="19"/>
                <w:color w:val="auto"/>
              </w:rPr>
            </w:pPr>
          </w:p>
        </w:tc>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Down 50 basis points</w:t>
            </w:r>
          </w:p>
        </w:tc>
        <w:tc>
          <w:tcPr>
            <w:tcW w:w="540" w:type="dxa"/>
            <w:vAlign w:val="bottom"/>
            <w:gridSpan w:val="2"/>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(9.8)</w:t>
            </w:r>
          </w:p>
        </w:tc>
        <w:tc>
          <w:tcPr>
            <w:tcW w:w="500" w:type="dxa"/>
            <w:vAlign w:val="bottom"/>
            <w:gridSpan w:val="2"/>
            <w:shd w:val="clear" w:color="auto" w:fill="CFF0FC"/>
          </w:tcPr>
          <w:p>
            <w:pPr>
              <w:jc w:val="right"/>
              <w:ind w:right="26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w:t>
            </w:r>
          </w:p>
        </w:tc>
      </w:tr>
    </w:tbl>
    <w:p>
      <w:pPr>
        <w:spacing w:after="0" w:line="242" w:lineRule="exact"/>
        <w:rPr>
          <w:sz w:val="20"/>
          <w:szCs w:val="20"/>
          <w:color w:val="auto"/>
        </w:rPr>
      </w:pPr>
    </w:p>
    <w:p>
      <w:pPr>
        <w:ind w:right="220" w:firstLine="259"/>
        <w:spacing w:after="0" w:line="264"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1" w:lineRule="exact"/>
        <w:rPr>
          <w:sz w:val="20"/>
          <w:szCs w:val="20"/>
          <w:color w:val="auto"/>
        </w:rPr>
      </w:pPr>
    </w:p>
    <w:p>
      <w:pPr>
        <w:ind w:right="80" w:firstLine="259"/>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right="120" w:firstLine="259"/>
        <w:spacing w:after="0" w:line="271"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259"/>
        <w:spacing w:after="0" w:line="276" w:lineRule="auto"/>
        <w:rPr>
          <w:sz w:val="20"/>
          <w:szCs w:val="20"/>
          <w:color w:val="auto"/>
        </w:rPr>
      </w:pPr>
      <w:r>
        <w:rPr>
          <w:rFonts w:ascii="Arial" w:cs="Arial" w:eastAsia="Arial" w:hAnsi="Arial"/>
          <w:sz w:val="17"/>
          <w:szCs w:val="17"/>
          <w:b w:val="1"/>
          <w:bCs w:val="1"/>
          <w:i w:val="1"/>
          <w:iCs w:val="1"/>
          <w:color w:val="auto"/>
        </w:rPr>
        <w:t xml:space="preserve">Evaluation of Disclosure Controls and Procedures. </w:t>
      </w:r>
      <w:r>
        <w:rPr>
          <w:rFonts w:ascii="Arial" w:cs="Arial" w:eastAsia="Arial" w:hAnsi="Arial"/>
          <w:sz w:val="17"/>
          <w:szCs w:val="17"/>
          <w:color w:val="auto"/>
        </w:rPr>
        <w:t>As of the end of the period covered by this report, we carried out an evaluation, under the supervision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73" w:lineRule="exact"/>
        <w:rPr>
          <w:sz w:val="20"/>
          <w:szCs w:val="20"/>
          <w:color w:val="auto"/>
        </w:rPr>
      </w:pPr>
    </w:p>
    <w:p>
      <w:pPr>
        <w:ind w:right="120" w:firstLine="259"/>
        <w:spacing w:after="0" w:line="264"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that occurred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most recently completed fiscal quarter that have materially affected, or are reasonably likely to materially affect, our internal control over financial reporting.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80" w:firstLine="259"/>
        <w:spacing w:after="0" w:line="264"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0" w:firstLine="259"/>
        <w:spacing w:after="0" w:line="302" w:lineRule="auto"/>
        <w:rPr>
          <w:sz w:val="20"/>
          <w:szCs w:val="20"/>
          <w:color w:val="auto"/>
        </w:rPr>
      </w:pPr>
      <w:r>
        <w:rPr>
          <w:rFonts w:ascii="Arial" w:cs="Arial" w:eastAsia="Arial" w:hAnsi="Arial"/>
          <w:sz w:val="16"/>
          <w:szCs w:val="16"/>
          <w:color w:val="auto"/>
        </w:rPr>
        <w:t>In addition to the other information set forth in this report, you should carefully consider the risk factors discussed in Part I, “Item 1A. Risk Factors” in our Annual Report on Form 10-K for the fiscal year ended December 31, 2018 and the risk factors set forth below,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allows us to incur additional leverage.</w:t>
      </w:r>
    </w:p>
    <w:p>
      <w:pPr>
        <w:spacing w:after="0" w:line="117" w:lineRule="exact"/>
        <w:rPr>
          <w:sz w:val="20"/>
          <w:szCs w:val="20"/>
          <w:color w:val="auto"/>
        </w:rPr>
      </w:pPr>
    </w:p>
    <w:p>
      <w:pPr>
        <w:ind w:right="260" w:firstLine="259"/>
        <w:spacing w:after="0" w:line="302" w:lineRule="auto"/>
        <w:rPr>
          <w:sz w:val="20"/>
          <w:szCs w:val="20"/>
          <w:color w:val="auto"/>
        </w:rPr>
      </w:pPr>
      <w:r>
        <w:rPr>
          <w:rFonts w:ascii="Arial" w:cs="Arial" w:eastAsia="Arial" w:hAnsi="Arial"/>
          <w:sz w:val="16"/>
          <w:szCs w:val="16"/>
          <w:color w:val="auto"/>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SBCAA, which became law in March 2018, BDCs have the ability to elect to become subject to a lower asset coverage requirement of 150%, subject to the receipt of the requisite board or stockholder approvals under the SBCAA and satisfaction of certain other conditions.</w:t>
      </w:r>
    </w:p>
    <w:p>
      <w:pPr>
        <w:spacing w:after="0" w:line="154" w:lineRule="exact"/>
        <w:rPr>
          <w:sz w:val="20"/>
          <w:szCs w:val="20"/>
          <w:color w:val="auto"/>
        </w:rPr>
      </w:pPr>
    </w:p>
    <w:p>
      <w:pPr>
        <w:ind w:right="100" w:firstLine="259"/>
        <w:spacing w:after="0" w:line="259" w:lineRule="auto"/>
        <w:rPr>
          <w:sz w:val="20"/>
          <w:szCs w:val="20"/>
          <w:color w:val="auto"/>
        </w:rPr>
      </w:pPr>
      <w:r>
        <w:rPr>
          <w:rFonts w:ascii="Arial" w:cs="Arial" w:eastAsia="Arial" w:hAnsi="Arial"/>
          <w:sz w:val="18"/>
          <w:szCs w:val="18"/>
          <w:color w:val="auto"/>
        </w:rPr>
        <w:t>On October 8, 2018, our stockholders approved the application of the minimum asset coverage ratio of 150% to us, as set forth in Section 61(a) (2)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increase our maximum debt-to-equity ratio from an effective level of one-to-one to two-to-one.</w:t>
      </w:r>
    </w:p>
    <w:p>
      <w:pPr>
        <w:spacing w:after="0" w:line="187" w:lineRule="exact"/>
        <w:rPr>
          <w:sz w:val="20"/>
          <w:szCs w:val="20"/>
          <w:color w:val="auto"/>
        </w:rPr>
      </w:pPr>
    </w:p>
    <w:p>
      <w:pPr>
        <w:ind w:right="80" w:firstLine="259"/>
        <w:spacing w:after="0" w:line="277" w:lineRule="auto"/>
        <w:rPr>
          <w:sz w:val="20"/>
          <w:szCs w:val="20"/>
          <w:color w:val="auto"/>
        </w:rPr>
      </w:pPr>
      <w:r>
        <w:rPr>
          <w:rFonts w:ascii="Arial" w:cs="Arial" w:eastAsia="Arial" w:hAnsi="Arial"/>
          <w:sz w:val="18"/>
          <w:szCs w:val="18"/>
          <w:color w:val="auto"/>
        </w:rPr>
        <w:t>As a result, you may face increased investment risk. We may not be able to implement our strategy to utilize additional leverage successfully. Any impact on returns or equity or our business associated with additional leverage may not outweigh the additional risk.</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dilution to our net asset value per share.</w:t>
      </w:r>
    </w:p>
    <w:p>
      <w:pPr>
        <w:spacing w:after="0" w:line="117" w:lineRule="exact"/>
        <w:rPr>
          <w:sz w:val="20"/>
          <w:szCs w:val="20"/>
          <w:color w:val="auto"/>
        </w:rPr>
      </w:pPr>
    </w:p>
    <w:p>
      <w:pPr>
        <w:ind w:firstLine="259"/>
        <w:spacing w:after="0" w:line="273" w:lineRule="auto"/>
        <w:rPr>
          <w:sz w:val="20"/>
          <w:szCs w:val="20"/>
          <w:color w:val="auto"/>
        </w:rPr>
      </w:pPr>
      <w:r>
        <w:rPr>
          <w:rFonts w:ascii="Arial" w:cs="Arial" w:eastAsia="Arial" w:hAnsi="Arial"/>
          <w:sz w:val="17"/>
          <w:szCs w:val="17"/>
          <w:color w:val="auto"/>
        </w:rPr>
        <w:t>On May 2, 2019, the Board authorized an amendment to the Company 10b5-1 Plan to, among other things, revise the market prices at which Goldman Sachs &amp; Co. LLC, as our agent, is required to repurchase shares of common stock on our behalf from just below our most recently reported net asset value per share to just below 1.05 times the most recently reported net asset value per share, less the amount of any supplemental dividend declared for that quarter but not yet reflected in the most recently reported net asset value per share (including any updates, corrections or adjustments publicly announced by us to any previously announced net asset value per share or supplemental dividend). Under the Company 10b5-1 Plan, the agent will increase the volume of purchases made as the price of our common stock declines, subject to volume restrictions.</w:t>
      </w:r>
    </w:p>
    <w:p>
      <w:pPr>
        <w:spacing w:after="0" w:line="178" w:lineRule="exact"/>
        <w:rPr>
          <w:sz w:val="20"/>
          <w:szCs w:val="20"/>
          <w:color w:val="auto"/>
        </w:rPr>
      </w:pPr>
    </w:p>
    <w:p>
      <w:pPr>
        <w:jc w:val="both"/>
        <w:ind w:right="200" w:firstLine="259"/>
        <w:spacing w:after="0" w:line="264" w:lineRule="auto"/>
        <w:rPr>
          <w:sz w:val="20"/>
          <w:szCs w:val="20"/>
          <w:color w:val="auto"/>
        </w:rPr>
      </w:pPr>
      <w:r>
        <w:rPr>
          <w:rFonts w:ascii="Arial" w:cs="Arial" w:eastAsia="Arial" w:hAnsi="Arial"/>
          <w:sz w:val="18"/>
          <w:szCs w:val="18"/>
          <w:color w:val="auto"/>
        </w:rPr>
        <w:t>Dilution to our net asset value per share will occur if we purchase shares of our common stock at a price above the net asset value per share, as it would cause a proportionately smaller increase in our stockholders’ interest in our earnings and assets and their voting interest in us than the decrease in our assets resulting from such repurchase.</w:t>
      </w:r>
    </w:p>
    <w:p>
      <w:pPr>
        <w:spacing w:after="0" w:line="181" w:lineRule="exact"/>
        <w:rPr>
          <w:sz w:val="20"/>
          <w:szCs w:val="20"/>
          <w:color w:val="auto"/>
        </w:rPr>
      </w:pPr>
    </w:p>
    <w:p>
      <w:pPr>
        <w:ind w:right="160" w:firstLine="259"/>
        <w:spacing w:after="0" w:line="277" w:lineRule="auto"/>
        <w:rPr>
          <w:sz w:val="20"/>
          <w:szCs w:val="20"/>
          <w:color w:val="auto"/>
        </w:rPr>
      </w:pPr>
      <w:r>
        <w:rPr>
          <w:rFonts w:ascii="Arial" w:cs="Arial" w:eastAsia="Arial" w:hAnsi="Arial"/>
          <w:sz w:val="18"/>
          <w:szCs w:val="18"/>
          <w:color w:val="auto"/>
        </w:rPr>
        <w:t>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interest rates of our debt investments to our portfolio companies and our indebtedness that extend beyond 2021 might be subject to change based on recent regulatory changes.</w:t>
      </w:r>
    </w:p>
    <w:p>
      <w:pPr>
        <w:spacing w:after="0" w:line="62" w:lineRule="exact"/>
        <w:rPr>
          <w:sz w:val="20"/>
          <w:szCs w:val="20"/>
          <w:color w:val="auto"/>
        </w:rPr>
      </w:pPr>
    </w:p>
    <w:p>
      <w:pPr>
        <w:ind w:right="20" w:firstLine="259"/>
        <w:spacing w:after="0" w:line="276" w:lineRule="auto"/>
        <w:rPr>
          <w:sz w:val="20"/>
          <w:szCs w:val="20"/>
          <w:color w:val="auto"/>
        </w:rPr>
      </w:pPr>
      <w:r>
        <w:rPr>
          <w:rFonts w:ascii="Arial" w:cs="Arial" w:eastAsia="Arial" w:hAnsi="Arial"/>
          <w:sz w:val="17"/>
          <w:szCs w:val="17"/>
          <w:color w:val="auto"/>
        </w:rPr>
        <w:t>LIBOR, the London Interbank Offered Rate, is the basic rate of interest used in lending transactions between banks on the London interbank market and is widely used as a reference for setting the interest rate on loans globally. We typically use LIBOR as a reference rate in term loans we extend to portfolio companies such that the interest due to us pursuant to a term loan extended to a portfolio company is calculated using LIBOR. The terms of our debt investments generally include minimum interest rate floors which are calculated based on LIBOR. Amounts drawn under the Revolving Credit Facility also currently bear interest at LIBOR plus a margin, and obligations under interest rate swaps we enter into are also referenced to LIBOR.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0" w:name="page71"/>
    <w:bookmarkEnd w:id="70"/>
    <w:p>
      <w:pPr>
        <w:ind w:right="100" w:firstLine="259"/>
        <w:spacing w:after="0" w:line="273" w:lineRule="auto"/>
        <w:rPr>
          <w:sz w:val="20"/>
          <w:szCs w:val="20"/>
          <w:color w:val="auto"/>
        </w:rPr>
      </w:pPr>
      <w:r>
        <w:rPr>
          <w:rFonts w:ascii="Arial" w:cs="Arial" w:eastAsia="Arial" w:hAnsi="Arial"/>
          <w:sz w:val="17"/>
          <w:szCs w:val="17"/>
          <w:color w:val="auto"/>
        </w:rPr>
        <w:t>On July 27, 2017, the United Kingdom's Financial Conduct Authority, which regulates LIBOR, announced that it intends to phase out LIBOR by the end of 2021. It is unclear if at that time LIBOR will cease to exist or if new methods of calculating LIBOR will be established such that it continues to exist after 2021. The U.S. Federal Reserve, in conjunction with the Alternative Reference Rates Committee, a steering committee comprised of large U.S. financial institutions, is considering replacing U.S. dollar LIBOR with a new index calculated by short term repurchase agreements, backed by Treasury securities called the Secured Overnight Financing Rate (“SOFR”). The first publication of SOFR was released in April 2018. Whether or not SOFR attains market traction as a LIBOR replacement remains a question and the future of LIBOR at this time is uncertain.</w:t>
      </w:r>
    </w:p>
    <w:p>
      <w:pPr>
        <w:spacing w:after="0" w:line="178" w:lineRule="exact"/>
        <w:rPr>
          <w:sz w:val="20"/>
          <w:szCs w:val="20"/>
          <w:color w:val="auto"/>
        </w:rPr>
      </w:pPr>
    </w:p>
    <w:p>
      <w:pPr>
        <w:ind w:right="40" w:firstLine="259"/>
        <w:spacing w:after="0" w:line="255" w:lineRule="auto"/>
        <w:rPr>
          <w:sz w:val="20"/>
          <w:szCs w:val="20"/>
          <w:color w:val="auto"/>
        </w:rPr>
      </w:pPr>
      <w:r>
        <w:rPr>
          <w:rFonts w:ascii="Arial" w:cs="Arial" w:eastAsia="Arial" w:hAnsi="Arial"/>
          <w:sz w:val="18"/>
          <w:szCs w:val="18"/>
          <w:color w:val="auto"/>
        </w:rPr>
        <w:t>If LIBOR ceases to exist, we may need to renegotiate the credit agreements extending beyond 2021 with our portfolio companies that utilize LIBOR as a factor in determining the interest rate, in order to replace LIBOR with the new standard that is established, which may have an adverse effect on our ability to receive attractive returns. In addition, if LIBOR ceases to exist, we may need to renegotiate certain terms of our Revolving Credit Facility to replace LIBOR with the new standard that is established in its place. If we are unable to do so, amounts drawn under the Revolving Credit Facility may bear interest at a higher rate, which would increase the cost of our borrowings and, in turn, affect our return on capital. If LIBOR ceases to exist we will also have to renegotiate the terms of any outstanding interest rate swaps.</w:t>
      </w:r>
    </w:p>
    <w:p>
      <w:pPr>
        <w:spacing w:after="0" w:line="193" w:lineRule="exact"/>
        <w:rPr>
          <w:sz w:val="20"/>
          <w:szCs w:val="20"/>
          <w:color w:val="auto"/>
        </w:rPr>
      </w:pPr>
    </w:p>
    <w:p>
      <w:pPr>
        <w:jc w:val="both"/>
        <w:ind w:right="620" w:firstLine="259"/>
        <w:spacing w:after="0" w:line="312" w:lineRule="auto"/>
        <w:rPr>
          <w:sz w:val="20"/>
          <w:szCs w:val="20"/>
          <w:color w:val="auto"/>
        </w:rPr>
      </w:pPr>
      <w:r>
        <w:rPr>
          <w:rFonts w:ascii="Arial" w:cs="Arial" w:eastAsia="Arial" w:hAnsi="Arial"/>
          <w:sz w:val="16"/>
          <w:szCs w:val="16"/>
          <w:i w:val="1"/>
          <w:iCs w:val="1"/>
          <w:color w:val="auto"/>
        </w:rPr>
        <w:t>In addition, pursuant to Section 61(a)(2)(C)(ii) of the 1940 Act, the principal risk factors associated with our senior securities are set forth below. However, since we already use leverage in optimizing our investment portfolio, the principal risk factors associated with our senior securities do not represent material changes to the risk factors previously disclosed in our Annual Report on Form 10-K for the fiscal year ended December 31, 2018.</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117" w:lineRule="exact"/>
        <w:rPr>
          <w:sz w:val="20"/>
          <w:szCs w:val="20"/>
          <w:color w:val="auto"/>
        </w:rPr>
      </w:pPr>
    </w:p>
    <w:p>
      <w:pPr>
        <w:ind w:right="360" w:firstLine="259"/>
        <w:spacing w:after="0" w:line="259" w:lineRule="auto"/>
        <w:rPr>
          <w:sz w:val="20"/>
          <w:szCs w:val="20"/>
          <w:color w:val="auto"/>
        </w:rPr>
      </w:pPr>
      <w:r>
        <w:rPr>
          <w:rFonts w:ascii="Arial" w:cs="Arial" w:eastAsia="Arial" w:hAnsi="Arial"/>
          <w:sz w:val="18"/>
          <w:szCs w:val="18"/>
          <w:color w:val="auto"/>
        </w:rPr>
        <w:t>The 1940 Act imposes numerous constraints on the operations of BDCs.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7" w:lineRule="exact"/>
        <w:rPr>
          <w:sz w:val="20"/>
          <w:szCs w:val="20"/>
          <w:color w:val="auto"/>
        </w:rPr>
      </w:pPr>
    </w:p>
    <w:p>
      <w:pPr>
        <w:ind w:right="60" w:firstLine="259"/>
        <w:spacing w:after="0" w:line="264" w:lineRule="auto"/>
        <w:rPr>
          <w:sz w:val="20"/>
          <w:szCs w:val="20"/>
          <w:color w:val="auto"/>
        </w:rPr>
      </w:pPr>
      <w:r>
        <w:rPr>
          <w:rFonts w:ascii="Arial" w:cs="Arial" w:eastAsia="Arial" w:hAnsi="Arial"/>
          <w:sz w:val="18"/>
          <w:szCs w:val="18"/>
          <w:color w:val="auto"/>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81" w:lineRule="exact"/>
        <w:rPr>
          <w:sz w:val="20"/>
          <w:szCs w:val="20"/>
          <w:color w:val="auto"/>
        </w:rPr>
      </w:pPr>
    </w:p>
    <w:p>
      <w:pPr>
        <w:ind w:right="40" w:firstLine="259"/>
        <w:spacing w:after="0" w:line="279" w:lineRule="auto"/>
        <w:rPr>
          <w:sz w:val="20"/>
          <w:szCs w:val="20"/>
          <w:color w:val="auto"/>
        </w:rPr>
      </w:pPr>
      <w:r>
        <w:rPr>
          <w:rFonts w:ascii="Arial" w:cs="Arial" w:eastAsia="Arial" w:hAnsi="Arial"/>
          <w:sz w:val="17"/>
          <w:szCs w:val="17"/>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150%.</w:t>
      </w:r>
    </w:p>
    <w:p>
      <w:pPr>
        <w:spacing w:after="0" w:line="171" w:lineRule="exact"/>
        <w:rPr>
          <w:sz w:val="20"/>
          <w:szCs w:val="20"/>
          <w:color w:val="auto"/>
        </w:rPr>
      </w:pPr>
    </w:p>
    <w:p>
      <w:pPr>
        <w:ind w:firstLine="259"/>
        <w:spacing w:after="0" w:line="271" w:lineRule="auto"/>
        <w:rPr>
          <w:sz w:val="20"/>
          <w:szCs w:val="20"/>
          <w:color w:val="auto"/>
        </w:rPr>
      </w:pPr>
      <w:r>
        <w:rPr>
          <w:rFonts w:ascii="Arial" w:cs="Arial" w:eastAsia="Arial" w:hAnsi="Arial"/>
          <w:sz w:val="17"/>
          <w:szCs w:val="17"/>
          <w:color w:val="auto"/>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 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79" w:lineRule="exact"/>
        <w:rPr>
          <w:sz w:val="20"/>
          <w:szCs w:val="20"/>
          <w:color w:val="auto"/>
        </w:rPr>
      </w:pPr>
    </w:p>
    <w:p>
      <w:pPr>
        <w:ind w:right="120" w:firstLine="259"/>
        <w:spacing w:after="0" w:line="255" w:lineRule="auto"/>
        <w:rPr>
          <w:sz w:val="20"/>
          <w:szCs w:val="20"/>
          <w:color w:val="auto"/>
        </w:rPr>
      </w:pPr>
      <w:r>
        <w:rPr>
          <w:rFonts w:ascii="Arial" w:cs="Arial" w:eastAsia="Arial" w:hAnsi="Arial"/>
          <w:sz w:val="18"/>
          <w:szCs w:val="18"/>
          <w:color w:val="auto"/>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1" w:name="page72"/>
    <w:bookmarkEnd w:id="71"/>
    <w:p>
      <w:pPr>
        <w:ind w:right="60" w:firstLine="259"/>
        <w:spacing w:after="0" w:line="286" w:lineRule="auto"/>
        <w:rPr>
          <w:sz w:val="20"/>
          <w:szCs w:val="20"/>
          <w:color w:val="auto"/>
        </w:rPr>
      </w:pPr>
      <w:r>
        <w:rPr>
          <w:rFonts w:ascii="Arial" w:cs="Arial" w:eastAsia="Arial" w:hAnsi="Arial"/>
          <w:sz w:val="16"/>
          <w:szCs w:val="16"/>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June 14, 2019, we are currently permitted to sell or otherwise issue shares of our common stock at a price below our then-current net asset value per share, subject to the approval of our Board and certain other conditions. Such stockholder approval expires on June 14, 2020.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75" w:lineRule="exact"/>
        <w:rPr>
          <w:sz w:val="20"/>
          <w:szCs w:val="20"/>
          <w:color w:val="auto"/>
        </w:rPr>
      </w:pPr>
    </w:p>
    <w:p>
      <w:pPr>
        <w:ind w:firstLine="259"/>
        <w:spacing w:after="0" w:line="289"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117" w:lineRule="exact"/>
        <w:rPr>
          <w:sz w:val="20"/>
          <w:szCs w:val="20"/>
          <w:color w:val="auto"/>
        </w:rPr>
      </w:pPr>
    </w:p>
    <w:p>
      <w:pPr>
        <w:ind w:right="180" w:firstLine="259"/>
        <w:spacing w:after="0" w:line="289" w:lineRule="auto"/>
        <w:rPr>
          <w:sz w:val="20"/>
          <w:szCs w:val="20"/>
          <w:color w:val="auto"/>
        </w:rPr>
      </w:pPr>
      <w:r>
        <w:rPr>
          <w:rFonts w:ascii="Arial" w:cs="Arial" w:eastAsia="Arial" w:hAnsi="Arial"/>
          <w:sz w:val="16"/>
          <w:szCs w:val="16"/>
          <w:color w:val="auto"/>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67" w:lineRule="exact"/>
        <w:rPr>
          <w:sz w:val="20"/>
          <w:szCs w:val="20"/>
          <w:color w:val="auto"/>
        </w:rPr>
      </w:pPr>
    </w:p>
    <w:p>
      <w:pPr>
        <w:ind w:right="20" w:firstLine="259"/>
        <w:spacing w:after="0" w:line="291" w:lineRule="auto"/>
        <w:rPr>
          <w:sz w:val="20"/>
          <w:szCs w:val="20"/>
          <w:color w:val="auto"/>
        </w:rPr>
      </w:pPr>
      <w:r>
        <w:rPr>
          <w:rFonts w:ascii="Arial" w:cs="Arial" w:eastAsia="Arial" w:hAnsi="Arial"/>
          <w:sz w:val="16"/>
          <w:szCs w:val="16"/>
          <w:color w:val="auto"/>
        </w:rPr>
        <w:t>Our credit facilities and indentures governing our indebtedness also impose financial and operating covenants that restrict our business activities, remedies on default and similar matters. As of June 30, 2019, we are in compliance with the covenants of our credit facilities and indentures.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and indentures.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67" w:lineRule="exact"/>
        <w:rPr>
          <w:sz w:val="20"/>
          <w:szCs w:val="20"/>
          <w:color w:val="auto"/>
        </w:rPr>
      </w:pPr>
    </w:p>
    <w:p>
      <w:pPr>
        <w:ind w:right="560" w:firstLine="259"/>
        <w:spacing w:after="0" w:line="308" w:lineRule="auto"/>
        <w:rPr>
          <w:sz w:val="20"/>
          <w:szCs w:val="20"/>
          <w:color w:val="auto"/>
        </w:rPr>
      </w:pPr>
      <w:r>
        <w:rPr>
          <w:rFonts w:ascii="Arial" w:cs="Arial" w:eastAsia="Arial" w:hAnsi="Arial"/>
          <w:sz w:val="17"/>
          <w:szCs w:val="17"/>
          <w:color w:val="auto"/>
        </w:rPr>
        <w:t>Lastly, the SEC has issued a proposed rule, Rule 18f-4, that if adopted would potentially constrain our ability to use leverage if we have substantial exposure to swaps and other derivatives, or have significant outstanding financial commitments to our portfolio companies.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2" w:name="page73"/>
    <w:bookmarkEnd w:id="72"/>
    <w:p>
      <w:pPr>
        <w:ind w:right="280" w:firstLine="259"/>
        <w:spacing w:after="0" w:line="276" w:lineRule="auto"/>
        <w:rPr>
          <w:sz w:val="20"/>
          <w:szCs w:val="20"/>
          <w:color w:val="auto"/>
        </w:rPr>
      </w:pPr>
      <w:r>
        <w:rPr>
          <w:rFonts w:ascii="Arial" w:cs="Arial" w:eastAsia="Arial" w:hAnsi="Arial"/>
          <w:sz w:val="17"/>
          <w:szCs w:val="17"/>
          <w:color w:val="auto"/>
        </w:rPr>
        <w:t>As of June 30, 2019, we had $947.7 million of outstanding indebtedness, which had an annualized interest cost of 4.63% under the terms of our debt, excluding fees (such as fees on undrawn amounts and amortization of upfront fees) and giving effect to the swap-adjusted interest rates on our Convertible Notes and 2023 Notes. As of June 30, 2019, the interest rate on the 2019 Convertible Notes, as adjusted to give effect to the interest rate swaps, was three-month London Interbank Offered Rate, or LIBOR, plus 2.86%, the interest rate on the 2022 Convertible Notes was three-month LIBOR plus 2.11% (on a weighted-average basis) and the interest rate on the 2023 Notes was three-month LIBOR plus 1.99%.</w:t>
      </w:r>
    </w:p>
    <w:p>
      <w:pPr>
        <w:spacing w:after="0" w:line="173" w:lineRule="exact"/>
        <w:rPr>
          <w:sz w:val="20"/>
          <w:szCs w:val="20"/>
          <w:color w:val="auto"/>
        </w:rPr>
      </w:pPr>
    </w:p>
    <w:p>
      <w:pPr>
        <w:ind w:right="320" w:firstLine="259"/>
        <w:spacing w:after="0" w:line="264" w:lineRule="auto"/>
        <w:rPr>
          <w:sz w:val="20"/>
          <w:szCs w:val="20"/>
          <w:color w:val="auto"/>
        </w:rPr>
      </w:pPr>
      <w:r>
        <w:rPr>
          <w:rFonts w:ascii="Arial" w:cs="Arial" w:eastAsia="Arial" w:hAnsi="Arial"/>
          <w:sz w:val="18"/>
          <w:szCs w:val="18"/>
          <w:color w:val="auto"/>
        </w:rPr>
        <w:t>For us to cover these annualized interest payments on indebtedness, we must achieve annual returns on our investments of at least 2.1%.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81" w:lineRule="exact"/>
        <w:rPr>
          <w:sz w:val="20"/>
          <w:szCs w:val="20"/>
          <w:color w:val="auto"/>
        </w:rPr>
      </w:pPr>
    </w:p>
    <w:p>
      <w:pPr>
        <w:ind w:right="220" w:firstLine="259"/>
        <w:spacing w:after="0" w:line="279" w:lineRule="auto"/>
        <w:rPr>
          <w:sz w:val="20"/>
          <w:szCs w:val="20"/>
          <w:color w:val="auto"/>
        </w:rPr>
      </w:pPr>
      <w:r>
        <w:rPr>
          <w:rFonts w:ascii="Arial" w:cs="Arial" w:eastAsia="Arial" w:hAnsi="Arial"/>
          <w:sz w:val="17"/>
          <w:szCs w:val="17"/>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Effects of Leverage Based on Actual Amount of Borrowings Incurred by us as of June 30, 2019</w:t>
      </w:r>
    </w:p>
    <w:p>
      <w:pPr>
        <w:spacing w:after="0" w:line="221" w:lineRule="exact"/>
        <w:rPr>
          <w:sz w:val="20"/>
          <w:szCs w:val="20"/>
          <w:color w:val="auto"/>
        </w:rPr>
      </w:pPr>
    </w:p>
    <w:p>
      <w:pPr>
        <w:jc w:val="center"/>
        <w:ind w:left="4500"/>
        <w:spacing w:after="0"/>
        <w:rPr>
          <w:sz w:val="20"/>
          <w:szCs w:val="20"/>
          <w:color w:val="auto"/>
        </w:rPr>
      </w:pPr>
      <w:r>
        <w:rPr>
          <w:rFonts w:ascii="Arial" w:cs="Arial" w:eastAsia="Arial" w:hAnsi="Arial"/>
          <w:sz w:val="14"/>
          <w:szCs w:val="14"/>
          <w:b w:val="1"/>
          <w:bCs w:val="1"/>
          <w:color w:val="auto"/>
        </w:rPr>
        <w:t>Assumed Return on Our Portfolio</w:t>
      </w:r>
    </w:p>
    <w:p>
      <w:pPr>
        <w:spacing w:after="0" w:line="4" w:lineRule="exact"/>
        <w:rPr>
          <w:sz w:val="20"/>
          <w:szCs w:val="20"/>
          <w:color w:val="auto"/>
        </w:rPr>
      </w:pPr>
    </w:p>
    <w:p>
      <w:pPr>
        <w:jc w:val="center"/>
        <w:ind w:left="4500"/>
        <w:spacing w:after="0"/>
        <w:rPr>
          <w:sz w:val="20"/>
          <w:szCs w:val="20"/>
          <w:color w:val="auto"/>
        </w:rPr>
      </w:pPr>
      <w:r>
        <w:rPr>
          <w:rFonts w:ascii="Arial" w:cs="Arial" w:eastAsia="Arial" w:hAnsi="Arial"/>
          <w:sz w:val="14"/>
          <w:szCs w:val="14"/>
          <w:b w:val="1"/>
          <w:bCs w:val="1"/>
          <w:color w:val="auto"/>
        </w:rPr>
        <w:t xml:space="preserve">(net of expenses) </w:t>
      </w:r>
      <w:r>
        <w:rPr>
          <w:rFonts w:ascii="Arial" w:cs="Arial" w:eastAsia="Arial" w:hAnsi="Arial"/>
          <w:sz w:val="12"/>
          <w:szCs w:val="12"/>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-3175</wp:posOffset>
            </wp:positionV>
            <wp:extent cx="40220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022090"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-10%</w:t>
            </w:r>
          </w:p>
        </w:tc>
        <w:tc>
          <w:tcPr>
            <w:tcW w:w="4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-5%</w:t>
            </w:r>
          </w:p>
        </w:tc>
        <w:tc>
          <w:tcPr>
            <w:tcW w:w="4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0%</w:t>
            </w:r>
          </w:p>
        </w:tc>
        <w:tc>
          <w:tcPr>
            <w:tcW w:w="4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5%</w:t>
            </w:r>
          </w:p>
        </w:tc>
        <w:tc>
          <w:tcPr>
            <w:tcW w:w="4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10%</w:t>
            </w:r>
          </w:p>
        </w:tc>
        <w:tc>
          <w:tcPr>
            <w:tcW w:w="300" w:type="dxa"/>
            <w:vAlign w:val="bottom"/>
            <w:tcBorders>
              <w:bottom w:val="single" w:sz="8" w:color="CCEEFF"/>
            </w:tcBorders>
          </w:tcPr>
          <w:p>
            <w:pPr>
              <w:spacing w:after="0"/>
              <w:rPr>
                <w:sz w:val="14"/>
                <w:szCs w:val="14"/>
                <w:color w:val="auto"/>
              </w:rPr>
            </w:pPr>
          </w:p>
        </w:tc>
      </w:tr>
      <w:tr>
        <w:trPr>
          <w:trHeight w:val="210"/>
        </w:trPr>
        <w:tc>
          <w:tcPr>
            <w:tcW w:w="4640" w:type="dxa"/>
            <w:vAlign w:val="bottom"/>
            <w:shd w:val="clear" w:color="auto" w:fill="CCEEFF"/>
          </w:tcPr>
          <w:p>
            <w:pPr>
              <w:spacing w:after="0" w:line="210" w:lineRule="exact"/>
              <w:rPr>
                <w:sz w:val="20"/>
                <w:szCs w:val="20"/>
                <w:color w:val="auto"/>
              </w:rPr>
            </w:pPr>
            <w:r>
              <w:rPr>
                <w:rFonts w:ascii="Arial" w:cs="Arial" w:eastAsia="Arial" w:hAnsi="Arial"/>
                <w:sz w:val="18"/>
                <w:szCs w:val="18"/>
                <w:color w:val="auto"/>
              </w:rPr>
              <w:t xml:space="preserve">Corresponding return to stockholder </w:t>
            </w:r>
            <w:r>
              <w:rPr>
                <w:rFonts w:ascii="Arial" w:cs="Arial" w:eastAsia="Arial" w:hAnsi="Arial"/>
                <w:sz w:val="21"/>
                <w:szCs w:val="21"/>
                <w:color w:val="auto"/>
                <w:vertAlign w:val="superscript"/>
              </w:rPr>
              <w:t>(2)</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-23.0%</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r>
    </w:tbl>
    <w:p>
      <w:pPr>
        <w:spacing w:after="0" w:line="242" w:lineRule="exact"/>
        <w:rPr>
          <w:sz w:val="20"/>
          <w:szCs w:val="20"/>
          <w:color w:val="auto"/>
        </w:rPr>
      </w:pPr>
    </w:p>
    <w:p>
      <w:pPr>
        <w:ind w:left="520" w:right="200" w:hanging="512"/>
        <w:spacing w:after="0" w:line="271" w:lineRule="auto"/>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assumed portfolio return is required by SEC regulations and is not a prediction of, and does not represent, our projected or actual performance. Actual returns may be greater or less than those appearing in the table. Pursuant to SEC regulations, this table is calculated as of June 30, 2019. As a result, it has not been updated to take into account any changes in assets or leverage since June 30, 2019.</w:t>
      </w:r>
    </w:p>
    <w:p>
      <w:pPr>
        <w:ind w:left="520" w:right="40" w:hanging="512"/>
        <w:spacing w:after="0" w:line="253"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order to compute the “Corresponding return to stockholder,” the “Assumed Return on Our Portfolio” is multiplied by the total value of our assets at June 30, 2019 to obtain an assumed return to us. From this amount, the interest expense (calculated by multiplying the weighted average stated interest rate of 4.6% by the approximately $947.7 million of principal debt outstanding) is subtracted to determine the return available to stockholders. The return available to stockholders is then divided by the total value of our net assets at June 30, 2019 to determine the “Corresponding return to stockholder.”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117" w:lineRule="exact"/>
        <w:rPr>
          <w:sz w:val="20"/>
          <w:szCs w:val="20"/>
          <w:color w:val="auto"/>
        </w:rPr>
      </w:pPr>
    </w:p>
    <w:p>
      <w:pPr>
        <w:ind w:right="20" w:firstLine="259"/>
        <w:spacing w:after="0" w:line="293"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62" w:lineRule="exact"/>
        <w:rPr>
          <w:sz w:val="20"/>
          <w:szCs w:val="20"/>
          <w:color w:val="auto"/>
        </w:rPr>
      </w:pPr>
    </w:p>
    <w:p>
      <w:pPr>
        <w:ind w:right="180" w:firstLine="259"/>
        <w:spacing w:after="0" w:line="255" w:lineRule="auto"/>
        <w:rPr>
          <w:sz w:val="20"/>
          <w:szCs w:val="20"/>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Given the subjective nature of the investment decisions that our Adviser will make on our behalf, we may not be able to monitor this potential conflict of interest.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3" w:name="page74"/>
    <w:bookmarkEnd w:id="73"/>
    <w:p>
      <w:pPr>
        <w:ind w:right="20" w:firstLine="259"/>
        <w:spacing w:after="0" w:line="291"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67" w:lineRule="exact"/>
        <w:rPr>
          <w:sz w:val="20"/>
          <w:szCs w:val="20"/>
          <w:color w:val="auto"/>
        </w:rPr>
      </w:pPr>
    </w:p>
    <w:p>
      <w:pPr>
        <w:ind w:firstLine="259"/>
        <w:spacing w:after="0" w:line="279" w:lineRule="auto"/>
        <w:rPr>
          <w:sz w:val="20"/>
          <w:szCs w:val="20"/>
          <w:color w:val="auto"/>
        </w:rPr>
      </w:pPr>
      <w:r>
        <w:rPr>
          <w:rFonts w:ascii="Arial" w:cs="Arial" w:eastAsia="Arial" w:hAnsi="Arial"/>
          <w:sz w:val="17"/>
          <w:szCs w:val="17"/>
          <w:color w:val="auto"/>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p>
    <w:p>
      <w:pPr>
        <w:spacing w:after="0" w:line="171" w:lineRule="exact"/>
        <w:rPr>
          <w:sz w:val="20"/>
          <w:szCs w:val="20"/>
          <w:color w:val="auto"/>
        </w:rPr>
      </w:pPr>
    </w:p>
    <w:p>
      <w:pPr>
        <w:ind w:firstLine="259"/>
        <w:spacing w:after="0" w:line="293"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557" w:right="39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 Exhibits.</w:t>
      </w:r>
    </w:p>
    <w:p>
      <w:pPr>
        <w:spacing w:after="0" w:line="229" w:lineRule="exact"/>
        <w:rPr>
          <w:sz w:val="20"/>
          <w:szCs w:val="20"/>
          <w:color w:val="auto"/>
        </w:rPr>
      </w:pPr>
    </w:p>
    <w:p>
      <w:pPr>
        <w:ind w:left="580" w:hanging="427"/>
        <w:spacing w:after="0" w:line="277" w:lineRule="auto"/>
        <w:tabs>
          <w:tab w:leader="none" w:pos="56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108">
        <w:r>
          <w:rPr>
            <w:rFonts w:ascii="Arial" w:cs="Arial" w:eastAsia="Arial" w:hAnsi="Arial"/>
            <w:sz w:val="18"/>
            <w:szCs w:val="18"/>
            <w:u w:val="single" w:color="auto"/>
            <w:color w:val="0000EE"/>
          </w:rPr>
          <w:t>Amended and Restated Bylaws dated May 15, 2019 (incorporated by reference to Exhibit 3.1 to the Company’s Current Report on Form 8-K filed on</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May 15, 2019).</w:t>
        </w:r>
      </w:hyperlink>
    </w:p>
    <w:p>
      <w:pPr>
        <w:spacing w:after="0" w:line="76" w:lineRule="exact"/>
        <w:rPr>
          <w:sz w:val="20"/>
          <w:szCs w:val="20"/>
          <w:color w:val="auto"/>
        </w:rPr>
      </w:pPr>
    </w:p>
    <w:p>
      <w:pPr>
        <w:ind w:left="100"/>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77">
        <w:r>
          <w:rPr>
            <w:rFonts w:ascii="Arial" w:cs="Arial" w:eastAsia="Arial" w:hAnsi="Arial"/>
            <w:sz w:val="16"/>
            <w:szCs w:val="16"/>
            <w:u w:val="single" w:color="auto"/>
            <w:color w:val="0000EE"/>
          </w:rPr>
          <w:t>Certification of Chief Executive Officer Pursuant to 18 U.S.C. Section 1350, as Adopted Pursuant to Section 302 of the Sarbanes-Oxley Act of 2002</w:t>
        </w:r>
      </w:hyperlink>
    </w:p>
    <w:p>
      <w:pPr>
        <w:spacing w:after="0" w:line="131" w:lineRule="exact"/>
        <w:rPr>
          <w:sz w:val="20"/>
          <w:szCs w:val="20"/>
          <w:color w:val="auto"/>
        </w:rPr>
      </w:pPr>
    </w:p>
    <w:p>
      <w:pPr>
        <w:ind w:left="100"/>
        <w:spacing w:after="0"/>
        <w:tabs>
          <w:tab w:leader="none" w:pos="56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78">
        <w:r>
          <w:rPr>
            <w:rFonts w:ascii="Arial" w:cs="Arial" w:eastAsia="Arial" w:hAnsi="Arial"/>
            <w:sz w:val="16"/>
            <w:szCs w:val="16"/>
            <w:u w:val="single" w:color="auto"/>
            <w:color w:val="0000EE"/>
          </w:rPr>
          <w:t>Certification of Chief Financial Officer Pursuant to 18 U.S.C. Section 1350, as Adopted Pursuant to Section 302 of the Sarbanes-Oxley Act of 2002</w:t>
        </w:r>
      </w:hyperlink>
    </w:p>
    <w:p>
      <w:pPr>
        <w:spacing w:after="0" w:line="131" w:lineRule="exact"/>
        <w:rPr>
          <w:sz w:val="20"/>
          <w:szCs w:val="20"/>
          <w:color w:val="auto"/>
        </w:rPr>
      </w:pPr>
    </w:p>
    <w:p>
      <w:pPr>
        <w:ind w:left="580" w:hanging="486"/>
        <w:spacing w:after="0"/>
        <w:tabs>
          <w:tab w:leader="none" w:pos="580" w:val="left"/>
        </w:tabs>
        <w:numPr>
          <w:ilvl w:val="0"/>
          <w:numId w:val="47"/>
        </w:numPr>
        <w:rPr>
          <w:rFonts w:ascii="Arial" w:cs="Arial" w:eastAsia="Arial" w:hAnsi="Arial"/>
          <w:sz w:val="17"/>
          <w:szCs w:val="17"/>
          <w:u w:val="single" w:color="auto"/>
          <w:color w:val="0000EE"/>
        </w:rPr>
      </w:pPr>
      <w:hyperlink w:anchor="page79">
        <w:r>
          <w:rPr>
            <w:rFonts w:ascii="Arial" w:cs="Arial" w:eastAsia="Arial" w:hAnsi="Arial"/>
            <w:sz w:val="17"/>
            <w:szCs w:val="17"/>
            <w:u w:val="single" w:color="auto"/>
            <w:color w:val="0000EE"/>
          </w:rPr>
          <w:t>Certification of CEO and CFO Pursuant to 18 U.S.C. Section 1350, as Adopted Pursuant to Section 906 of the Sarbanes-Oxley Act of 2002</w:t>
        </w:r>
      </w:hyperlink>
    </w:p>
    <w:p>
      <w:pPr>
        <w:spacing w:after="0" w:line="200" w:lineRule="exact"/>
        <w:rPr>
          <w:rFonts w:ascii="Arial" w:cs="Arial" w:eastAsia="Arial" w:hAnsi="Arial"/>
          <w:sz w:val="17"/>
          <w:szCs w:val="17"/>
          <w:u w:val="single" w:color="auto"/>
          <w:color w:val="0000EE"/>
        </w:rPr>
      </w:pPr>
    </w:p>
    <w:p>
      <w:pPr>
        <w:spacing w:after="0" w:line="200" w:lineRule="exact"/>
        <w:rPr>
          <w:rFonts w:ascii="Arial" w:cs="Arial" w:eastAsia="Arial" w:hAnsi="Arial"/>
          <w:sz w:val="17"/>
          <w:szCs w:val="17"/>
          <w:u w:val="single" w:color="auto"/>
          <w:color w:val="0000EE"/>
        </w:rPr>
      </w:pPr>
    </w:p>
    <w:p>
      <w:pPr>
        <w:spacing w:after="0" w:line="201" w:lineRule="exact"/>
        <w:rPr>
          <w:rFonts w:ascii="Arial" w:cs="Arial" w:eastAsia="Arial" w:hAnsi="Arial"/>
          <w:sz w:val="17"/>
          <w:szCs w:val="17"/>
          <w:u w:val="single" w:color="auto"/>
          <w:color w:val="0000EE"/>
        </w:rPr>
      </w:pPr>
    </w:p>
    <w:p>
      <w:pPr>
        <w:ind w:left="5620"/>
        <w:spacing w:after="0"/>
        <w:rPr>
          <w:rFonts w:ascii="Arial" w:cs="Arial" w:eastAsia="Arial" w:hAnsi="Arial"/>
          <w:sz w:val="17"/>
          <w:szCs w:val="17"/>
          <w:u w:val="single" w:color="auto"/>
          <w:color w:val="0000EE"/>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900" w:type="dxa"/>
            <w:vAlign w:val="bottom"/>
            <w:gridSpan w:val="2"/>
          </w:tcPr>
          <w:p>
            <w:pPr>
              <w:ind w:left="3360"/>
              <w:spacing w:after="0"/>
              <w:rPr>
                <w:sz w:val="20"/>
                <w:szCs w:val="20"/>
                <w:color w:val="auto"/>
              </w:rPr>
            </w:pPr>
            <w:r>
              <w:rPr>
                <w:rFonts w:ascii="Arial" w:cs="Arial" w:eastAsia="Arial" w:hAnsi="Arial"/>
                <w:sz w:val="18"/>
                <w:szCs w:val="18"/>
                <w:color w:val="auto"/>
              </w:rPr>
              <w:t>TPG SPECIALTY LENDING, INC.</w:t>
            </w:r>
          </w:p>
        </w:tc>
      </w:tr>
      <w:tr>
        <w:trPr>
          <w:trHeight w:val="459"/>
        </w:trPr>
        <w:tc>
          <w:tcPr>
            <w:tcW w:w="3520" w:type="dxa"/>
            <w:vAlign w:val="bottom"/>
          </w:tcPr>
          <w:p>
            <w:pPr>
              <w:spacing w:after="0"/>
              <w:rPr>
                <w:sz w:val="20"/>
                <w:szCs w:val="20"/>
                <w:color w:val="auto"/>
              </w:rPr>
            </w:pPr>
            <w:r>
              <w:rPr>
                <w:rFonts w:ascii="Arial" w:cs="Arial" w:eastAsia="Arial" w:hAnsi="Arial"/>
                <w:sz w:val="18"/>
                <w:szCs w:val="18"/>
                <w:color w:val="auto"/>
              </w:rPr>
              <w:t>Date: July 31, 2019</w:t>
            </w:r>
          </w:p>
        </w:tc>
        <w:tc>
          <w:tcPr>
            <w:tcW w:w="7900" w:type="dxa"/>
            <w:vAlign w:val="bottom"/>
            <w:gridSpan w:val="2"/>
          </w:tcPr>
          <w:p>
            <w:pPr>
              <w:ind w:left="3360"/>
              <w:spacing w:after="0"/>
              <w:rPr>
                <w:sz w:val="20"/>
                <w:szCs w:val="20"/>
                <w:color w:val="auto"/>
              </w:rPr>
            </w:pPr>
            <w:r>
              <w:rPr>
                <w:rFonts w:ascii="Arial" w:cs="Arial" w:eastAsia="Arial" w:hAnsi="Arial"/>
                <w:sz w:val="18"/>
                <w:szCs w:val="18"/>
                <w:color w:val="auto"/>
              </w:rPr>
              <w:t>By: /s/ Joshua Easterly</w:t>
            </w:r>
          </w:p>
        </w:tc>
      </w:tr>
      <w:tr>
        <w:trPr>
          <w:trHeight w:val="195"/>
        </w:trPr>
        <w:tc>
          <w:tcPr>
            <w:tcW w:w="35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Easterly</w:t>
            </w:r>
          </w:p>
        </w:tc>
      </w:tr>
      <w:tr>
        <w:trPr>
          <w:trHeight w:val="230"/>
        </w:trPr>
        <w:tc>
          <w:tcPr>
            <w:tcW w:w="35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59"/>
        </w:trPr>
        <w:tc>
          <w:tcPr>
            <w:tcW w:w="3520" w:type="dxa"/>
            <w:vAlign w:val="bottom"/>
          </w:tcPr>
          <w:p>
            <w:pPr>
              <w:spacing w:after="0"/>
              <w:rPr>
                <w:sz w:val="20"/>
                <w:szCs w:val="20"/>
                <w:color w:val="auto"/>
              </w:rPr>
            </w:pPr>
            <w:r>
              <w:rPr>
                <w:rFonts w:ascii="Arial" w:cs="Arial" w:eastAsia="Arial" w:hAnsi="Arial"/>
                <w:sz w:val="18"/>
                <w:szCs w:val="18"/>
                <w:color w:val="auto"/>
              </w:rPr>
              <w:t>Date: July 31, 2019</w:t>
            </w:r>
          </w:p>
        </w:tc>
        <w:tc>
          <w:tcPr>
            <w:tcW w:w="7900" w:type="dxa"/>
            <w:vAlign w:val="bottom"/>
            <w:gridSpan w:val="2"/>
          </w:tcPr>
          <w:p>
            <w:pPr>
              <w:ind w:left="3360"/>
              <w:spacing w:after="0"/>
              <w:rPr>
                <w:sz w:val="20"/>
                <w:szCs w:val="20"/>
                <w:color w:val="auto"/>
              </w:rPr>
            </w:pPr>
            <w:r>
              <w:rPr>
                <w:rFonts w:ascii="Arial" w:cs="Arial" w:eastAsia="Arial" w:hAnsi="Arial"/>
                <w:sz w:val="18"/>
                <w:szCs w:val="18"/>
                <w:color w:val="auto"/>
              </w:rPr>
              <w:t>By: /s/ Ian Simmonds</w:t>
            </w:r>
          </w:p>
        </w:tc>
      </w:tr>
      <w:tr>
        <w:trPr>
          <w:trHeight w:val="195"/>
        </w:trPr>
        <w:tc>
          <w:tcPr>
            <w:tcW w:w="35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4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5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3520" w:type="dxa"/>
            <w:vAlign w:val="bottom"/>
          </w:tcPr>
          <w:p>
            <w:pPr>
              <w:spacing w:after="0"/>
              <w:rPr>
                <w:sz w:val="24"/>
                <w:szCs w:val="24"/>
                <w:color w:val="auto"/>
              </w:rPr>
            </w:pPr>
          </w:p>
        </w:tc>
        <w:tc>
          <w:tcPr>
            <w:tcW w:w="3720" w:type="dxa"/>
            <w:vAlign w:val="bottom"/>
          </w:tcPr>
          <w:p>
            <w:pPr>
              <w:jc w:val="right"/>
              <w:ind w:right="1350"/>
              <w:spacing w:after="0"/>
              <w:rPr>
                <w:sz w:val="20"/>
                <w:szCs w:val="20"/>
                <w:color w:val="auto"/>
              </w:rPr>
            </w:pPr>
            <w:r>
              <w:rPr>
                <w:rFonts w:ascii="Arial" w:cs="Arial" w:eastAsia="Arial" w:hAnsi="Arial"/>
                <w:sz w:val="18"/>
                <w:szCs w:val="18"/>
                <w:color w:val="auto"/>
              </w:rPr>
              <w:t>76</w:t>
            </w:r>
          </w:p>
        </w:tc>
        <w:tc>
          <w:tcPr>
            <w:tcW w:w="41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Joshua Easterly, certify that:</w:t>
      </w:r>
    </w:p>
    <w:p>
      <w:pPr>
        <w:spacing w:after="0" w:line="117" w:lineRule="exact"/>
        <w:rPr>
          <w:sz w:val="20"/>
          <w:szCs w:val="20"/>
          <w:color w:val="auto"/>
        </w:rPr>
      </w:pPr>
    </w:p>
    <w:p>
      <w:pPr>
        <w:ind w:left="780" w:hanging="515"/>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117" w:lineRule="exact"/>
        <w:rPr>
          <w:rFonts w:ascii="Arial" w:cs="Arial" w:eastAsia="Arial" w:hAnsi="Arial"/>
          <w:sz w:val="18"/>
          <w:szCs w:val="18"/>
          <w:color w:val="auto"/>
        </w:rPr>
      </w:pPr>
    </w:p>
    <w:p>
      <w:pPr>
        <w:jc w:val="both"/>
        <w:ind w:left="780" w:right="180" w:hanging="515"/>
        <w:spacing w:after="0" w:line="264"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5"/>
        <w:spacing w:after="0" w:line="308" w:lineRule="auto"/>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5"/>
        <w:spacing w:after="0" w:line="264"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00" w:hanging="522"/>
        <w:spacing w:after="0" w:line="26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40" w:hanging="522"/>
        <w:spacing w:after="0" w:line="26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300" w:right="400" w:hanging="522"/>
        <w:spacing w:after="0" w:line="342" w:lineRule="auto"/>
        <w:tabs>
          <w:tab w:leader="none" w:pos="13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522"/>
        <w:spacing w:after="0" w:line="264"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60" w:hanging="515"/>
        <w:spacing w:after="0" w:line="308" w:lineRule="auto"/>
        <w:tabs>
          <w:tab w:leader="none" w:pos="7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40" w:hanging="522"/>
        <w:spacing w:after="0" w:line="342" w:lineRule="auto"/>
        <w:tabs>
          <w:tab w:leader="none" w:pos="13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40" w:hanging="522"/>
        <w:spacing w:after="0" w:line="277" w:lineRule="auto"/>
        <w:tabs>
          <w:tab w:leader="none" w:pos="13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 July 31,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Ian Simmonds, certify that:</w:t>
      </w:r>
    </w:p>
    <w:p>
      <w:pPr>
        <w:spacing w:after="0" w:line="117" w:lineRule="exact"/>
        <w:rPr>
          <w:sz w:val="20"/>
          <w:szCs w:val="20"/>
          <w:color w:val="auto"/>
        </w:rPr>
      </w:pPr>
    </w:p>
    <w:p>
      <w:pPr>
        <w:ind w:left="780" w:hanging="515"/>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117" w:lineRule="exact"/>
        <w:rPr>
          <w:rFonts w:ascii="Arial" w:cs="Arial" w:eastAsia="Arial" w:hAnsi="Arial"/>
          <w:sz w:val="18"/>
          <w:szCs w:val="18"/>
          <w:color w:val="auto"/>
        </w:rPr>
      </w:pPr>
    </w:p>
    <w:p>
      <w:pPr>
        <w:jc w:val="both"/>
        <w:ind w:left="780" w:right="180" w:hanging="515"/>
        <w:spacing w:after="0" w:line="264"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780" w:right="140" w:hanging="515"/>
        <w:spacing w:after="0" w:line="308" w:lineRule="auto"/>
        <w:tabs>
          <w:tab w:leader="none" w:pos="7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780" w:right="160" w:hanging="515"/>
        <w:spacing w:after="0" w:line="264"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00" w:hanging="522"/>
        <w:spacing w:after="0" w:line="264"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40" w:hanging="522"/>
        <w:spacing w:after="0" w:line="264"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300" w:right="400" w:hanging="522"/>
        <w:spacing w:after="0" w:line="342" w:lineRule="auto"/>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60" w:hanging="522"/>
        <w:spacing w:after="0" w:line="264"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80" w:right="60" w:hanging="515"/>
        <w:spacing w:after="0" w:line="308" w:lineRule="auto"/>
        <w:tabs>
          <w:tab w:leader="none" w:pos="7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40" w:hanging="522"/>
        <w:spacing w:after="0" w:line="342" w:lineRule="auto"/>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40" w:hanging="522"/>
        <w:spacing w:after="0" w:line="277"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 July 31,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Ian Simmonds</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337"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connection with the quarterly report on Form 10-Q of TPG Specialty Lending, Inc. (the “Company”) for the quarterly period ended June 30, 2019, as filed with the Securities and Exchange Commission on the date hereof (the “Report”), Joshua Easterly as Chief Executive Officer of the Company, and Ian Simmonds, as Chief Financial Officer of the Company, each hereby certifies, pursuant to 18 U.S.C. § 1350, as adopted pursuant to § 906 of the Sarbanes-Oxley Act of 2002, that, to such officer’s knowledge:</w:t>
      </w:r>
    </w:p>
    <w:p>
      <w:pPr>
        <w:spacing w:after="0" w:line="79" w:lineRule="exact"/>
        <w:rPr>
          <w:sz w:val="20"/>
          <w:szCs w:val="20"/>
          <w:color w:val="auto"/>
        </w:rPr>
      </w:pPr>
    </w:p>
    <w:p>
      <w:pPr>
        <w:ind w:left="780" w:hanging="254"/>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Joshua Easterly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Joshua Easterly</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ind w:left="100"/>
              <w:spacing w:after="0"/>
              <w:rPr>
                <w:sz w:val="20"/>
                <w:szCs w:val="20"/>
                <w:color w:val="auto"/>
              </w:rPr>
            </w:pPr>
            <w:r>
              <w:rPr>
                <w:rFonts w:ascii="Arial" w:cs="Arial" w:eastAsia="Arial" w:hAnsi="Arial"/>
                <w:sz w:val="18"/>
                <w:szCs w:val="18"/>
                <w:color w:val="auto"/>
              </w:rPr>
              <w:t>July 31, 2019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Ian Simmonds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Ian Simmonds</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20"/>
              <w:spacing w:after="0"/>
              <w:rPr>
                <w:sz w:val="20"/>
                <w:szCs w:val="20"/>
                <w:color w:val="auto"/>
              </w:rPr>
            </w:pPr>
            <w:r>
              <w:rPr>
                <w:rFonts w:ascii="Arial" w:cs="Arial" w:eastAsia="Arial" w:hAnsi="Arial"/>
                <w:sz w:val="18"/>
                <w:szCs w:val="18"/>
                <w:color w:val="auto"/>
              </w:rPr>
              <w:t>Chief Financial Officer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880" w:type="dxa"/>
            <w:vAlign w:val="bottom"/>
          </w:tcPr>
          <w:p>
            <w:pPr>
              <w:ind w:left="220"/>
              <w:spacing w:after="0"/>
              <w:rPr>
                <w:sz w:val="20"/>
                <w:szCs w:val="20"/>
                <w:color w:val="auto"/>
              </w:rPr>
            </w:pPr>
            <w:r>
              <w:rPr>
                <w:rFonts w:ascii="Arial" w:cs="Arial" w:eastAsia="Arial" w:hAnsi="Arial"/>
                <w:sz w:val="18"/>
                <w:szCs w:val="18"/>
                <w:color w:val="auto"/>
              </w:rPr>
              <w:t>July 31, 2019</w:t>
            </w:r>
          </w:p>
        </w:tc>
      </w:tr>
    </w:tbl>
    <w:p>
      <w:pPr>
        <w:spacing w:after="0" w:line="202"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§1350 and is not being filed as part of the Report or as a separate disclosure document.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1)"/>
      <w:numFmt w:val="lowerLetter"/>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decimal"/>
      <w:start w:val="1"/>
    </w:lvl>
    <w:lvl w:ilvl="1">
      <w:lvlJc w:val="left"/>
      <w:lvlText w:val="(%2)"/>
      <w:numFmt w:val="lowerLetter"/>
      <w:start w:val="1"/>
    </w:lvl>
  </w:abstractNum>
  <w:abstractNum w:abstractNumId="6">
    <w:nsid w:val="836C40E"/>
    <w:multiLevelType w:val="hybridMultilevel"/>
    <w:lvl w:ilvl="0">
      <w:lvlJc w:val="left"/>
      <w:lvlText w:val="(%1)"/>
      <w:numFmt w:val="decimal"/>
      <w:start w:val="7"/>
    </w:lvl>
    <w:lvl w:ilvl="1">
      <w:lvlJc w:val="left"/>
      <w:lvlText w:val="%2"/>
      <w:numFmt w:val="lowerLetter"/>
      <w:start w:val="1"/>
    </w:lvl>
  </w:abstractNum>
  <w:abstractNum w:abstractNumId="7">
    <w:nsid w:val="2901D82"/>
    <w:multiLevelType w:val="hybridMultilevel"/>
    <w:lvl w:ilvl="0">
      <w:lvlJc w:val="left"/>
      <w:lvlText w:val="(%1)"/>
      <w:numFmt w:val="lowerLetter"/>
      <w:start w:val="1"/>
    </w:lvl>
  </w:abstractNum>
  <w:abstractNum w:abstractNumId="8">
    <w:nsid w:val="3A95F874"/>
    <w:multiLevelType w:val="hybridMultilevel"/>
    <w:lvl w:ilvl="0">
      <w:lvlJc w:val="left"/>
      <w:lvlText w:val="(%1)"/>
      <w:numFmt w:val="decimal"/>
      <w:start w:val="8"/>
    </w:lvl>
  </w:abstractNum>
  <w:abstractNum w:abstractNumId="9">
    <w:nsid w:val="8138641"/>
    <w:multiLevelType w:val="hybridMultilevel"/>
    <w:lvl w:ilvl="0">
      <w:lvlJc w:val="left"/>
      <w:lvlText w:val="%1"/>
      <w:numFmt w:val="decimal"/>
      <w:start w:val="1"/>
    </w:lvl>
    <w:lvl w:ilvl="1">
      <w:lvlJc w:val="left"/>
      <w:lvlText w:val="(%2)"/>
      <w:numFmt w:val="lowerLetter"/>
      <w:start w:val="1"/>
    </w:lvl>
  </w:abstractNum>
  <w:abstractNum w:abstractNumId="10">
    <w:nsid w:val="1E7FF521"/>
    <w:multiLevelType w:val="hybridMultilevel"/>
    <w:lvl w:ilvl="0">
      <w:lvlJc w:val="left"/>
      <w:lvlText w:val="(%1)"/>
      <w:numFmt w:val="decimal"/>
      <w:start w:val="1"/>
    </w:lvl>
    <w:lvl w:ilvl="1">
      <w:lvlJc w:val="left"/>
      <w:lvlText w:val="%2"/>
      <w:numFmt w:val="lowerLetter"/>
      <w:start w:val="1"/>
    </w:lvl>
  </w:abstractNum>
  <w:abstractNum w:abstractNumId="11">
    <w:nsid w:val="7C3DBD3D"/>
    <w:multiLevelType w:val="hybridMultilevel"/>
    <w:lvl w:ilvl="0">
      <w:lvlJc w:val="left"/>
      <w:lvlText w:val="%1"/>
      <w:numFmt w:val="decimal"/>
      <w:start w:val="1"/>
    </w:lvl>
    <w:lvl w:ilvl="1">
      <w:lvlJc w:val="left"/>
      <w:lvlText w:val="(%2)"/>
      <w:numFmt w:val="lowerLetter"/>
      <w:start w:val="1"/>
    </w:lvl>
  </w:abstractNum>
  <w:abstractNum w:abstractNumId="12">
    <w:nsid w:val="737B8DDC"/>
    <w:multiLevelType w:val="hybridMultilevel"/>
    <w:lvl w:ilvl="0">
      <w:lvlJc w:val="left"/>
      <w:lvlText w:val="(%1)"/>
      <w:numFmt w:val="decimal"/>
      <w:start w:val="7"/>
    </w:lvl>
    <w:lvl w:ilvl="1">
      <w:lvlJc w:val="left"/>
      <w:lvlText w:val="%2"/>
      <w:numFmt w:val="lowerLetter"/>
      <w:start w:val="1"/>
    </w:lvl>
  </w:abstractNum>
  <w:abstractNum w:abstractNumId="13">
    <w:nsid w:val="6CEAF087"/>
    <w:multiLevelType w:val="hybridMultilevel"/>
    <w:lvl w:ilvl="0">
      <w:lvlJc w:val="left"/>
      <w:lvlText w:val="%1"/>
      <w:numFmt w:val="decimal"/>
      <w:start w:val="1"/>
    </w:lvl>
    <w:lvl w:ilvl="1">
      <w:lvlJc w:val="left"/>
      <w:lvlText w:val="(%2)"/>
      <w:numFmt w:val="lowerLetter"/>
      <w:start w:val="1"/>
    </w:lvl>
  </w:abstractNum>
  <w:abstractNum w:abstractNumId="14">
    <w:nsid w:val="22221A70"/>
    <w:multiLevelType w:val="hybridMultilevel"/>
    <w:lvl w:ilvl="0">
      <w:lvlJc w:val="left"/>
      <w:lvlText w:val="(%1)"/>
      <w:numFmt w:val="decimal"/>
      <w:start w:val="8"/>
    </w:lvl>
    <w:lvl w:ilvl="1">
      <w:lvlJc w:val="left"/>
      <w:lvlText w:val="%2"/>
      <w:numFmt w:val="lowerLetter"/>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1)"/>
      <w:numFmt w:val="lowerRoman"/>
      <w:start w:val="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10"/>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decimal"/>
      <w:start w:val="32"/>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lvl w:ilvl="1">
      <w:lvlJc w:val="left"/>
      <w:lvlText w:val="%2."/>
      <w:numFmt w:val="lowerLetter"/>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08" Type="http://schemas.openxmlformats.org/officeDocument/2006/relationships/hyperlink" Target="http://www.sec.gov/Archives/edgar/data/1508655/000119312519148064/d748149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2019-12-28T09:39:07Z</dcterms:created>
  <dcterms:modified xsi:type="dcterms:W3CDTF">2019-12-28T09:39:07Z</dcterms:modified>
</cp:coreProperties>
</file>