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September 28,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100" w:type="dxa"/>
            <w:vAlign w:val="bottom"/>
          </w:tcPr>
          <w:p>
            <w:pPr>
              <w:jc w:val="center"/>
              <w:ind w:right="2442"/>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00" w:type="dxa"/>
            <w:vAlign w:val="bottom"/>
          </w:tcPr>
          <w:p>
            <w:pPr>
              <w:jc w:val="center"/>
              <w:ind w:right="242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00" w:type="dxa"/>
            <w:vAlign w:val="bottom"/>
          </w:tcPr>
          <w:p>
            <w:pPr>
              <w:jc w:val="center"/>
              <w:ind w:right="2422"/>
              <w:spacing w:after="0"/>
              <w:rPr>
                <w:sz w:val="20"/>
                <w:szCs w:val="20"/>
                <w:color w:val="auto"/>
              </w:rPr>
            </w:pPr>
            <w:r>
              <w:rPr>
                <w:rFonts w:ascii="Arial" w:cs="Arial" w:eastAsia="Arial" w:hAnsi="Arial"/>
                <w:sz w:val="14"/>
                <w:szCs w:val="14"/>
                <w:b w:val="1"/>
                <w:bCs w:val="1"/>
                <w:color w:val="auto"/>
                <w:w w:val="89"/>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87"/>
              </w:rPr>
              <w:t>301 Commerce Street, Suite 3300</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95"/>
              </w:rPr>
              <w:t>Fort Worth, TX</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00" w:type="dxa"/>
            <w:vAlign w:val="bottom"/>
          </w:tcPr>
          <w:p>
            <w:pPr>
              <w:jc w:val="center"/>
              <w:ind w:left="118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Creation of Revolving Credit Facility</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September 28, 2011 (the “Closing Date”), TPG Specialty Lending, Inc. (the “Company”) entered into a revolving credit facility (the “Facility”) with Deutsche Bank Trust Company Americas (“DBTCA”) as administrative agent (the “Administrative Agent”), and DBTCA and certain of its affiliates as lenders. Proceeds from the Facility may be used for investment activities, expenses, working capital requirements and general purposes.</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maximum principal amount of the Facility is $150 million, subject to availability under the borrowing base which is based on unfunded capital commitments and outstanding indebtedness. The maximum principal amount of the Facility may be increased by request of the Company up to $250 million, at the discretion of the lenders. Amounts drawn under the Facility will bear interest at either a LIBOR plus a margin, or the prime lending rate plus a margin.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Facility will mature upon the earlier of the date two (2) years from the Closing Date and 25 days prior to a qualifying initial public offering of the Company.</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Facility is secured by a perfected first priority security interest in the unfunded capital commitments of the Company’s private investors, including assignment of the right to make capital calls, receive and apply capital contributions, enforce remedies and claims related thereto, and a pledge of the collateral account into which all capital calls flow.</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Facility contains customary covenants, including certain maintenance covenants, and events of default. The Company drew $98 million on the Closing Date with interest payable at the prime lending rate plus an applicable margin.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10795</wp:posOffset>
            </wp:positionV>
            <wp:extent cx="3413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October 3, 2011</w:t>
      </w:r>
      <w:r>
        <w:rPr>
          <w:sz w:val="20"/>
          <w:szCs w:val="20"/>
          <w:color w:val="auto"/>
        </w:rPr>
        <w:tab/>
      </w:r>
      <w:r>
        <w:rPr>
          <w:rFonts w:ascii="Arial" w:cs="Arial" w:eastAsia="Arial" w:hAnsi="Arial"/>
          <w:sz w:val="16"/>
          <w:szCs w:val="16"/>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3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Ronald Cami</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240" w:top="28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2019-12-11T09:04:07Z</dcterms:created>
  <dcterms:modified xsi:type="dcterms:W3CDTF">2019-12-11T09:04:07Z</dcterms:modified>
</cp:coreProperties>
</file>