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Waxman Alan</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jc w:val="center"/>
        <w:ind w:right="177"/>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TPG Specialty Lending,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03/26/2014</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1123"/>
        <w:spacing w:after="0"/>
        <w:rPr>
          <w:sz w:val="20"/>
          <w:szCs w:val="20"/>
          <w:color w:val="auto"/>
        </w:rPr>
      </w:pPr>
      <w:r>
        <w:rPr>
          <w:rFonts w:ascii="Times New Roman" w:cs="Times New Roman" w:eastAsia="Times New Roman" w:hAnsi="Times New Roman"/>
          <w:sz w:val="18"/>
          <w:szCs w:val="18"/>
          <w:color w:val="0000FF"/>
        </w:rPr>
        <w:t>Vice President</w:t>
      </w:r>
    </w:p>
    <w:p>
      <w:pPr>
        <w:spacing w:after="0" w:line="406" w:lineRule="exact"/>
        <w:rPr>
          <w:sz w:val="24"/>
          <w:szCs w:val="24"/>
          <w:color w:val="auto"/>
        </w:rPr>
      </w:pPr>
    </w:p>
    <w:p>
      <w:pPr>
        <w:sectPr>
          <w:pgSz w:w="11900" w:h="16838" w:orient="portrait"/>
          <w:cols w:equalWidth="0" w:num="3">
            <w:col w:w="3360" w:space="720"/>
            <w:col w:w="3257" w:space="720"/>
            <w:col w:w="3363"/>
          </w:cols>
          <w:pgMar w:left="240" w:top="220" w:right="239" w:bottom="1440" w:gutter="0" w:footer="0" w:header="0"/>
          <w:type w:val="continuous"/>
        </w:sect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40" w:type="dxa"/>
            <w:vAlign w:val="bottom"/>
            <w:gridSpan w:val="6"/>
          </w:tcPr>
          <w:p>
            <w:pPr>
              <w:ind w:left="160"/>
              <w:spacing w:after="0" w:line="152" w:lineRule="exact"/>
              <w:rPr>
                <w:sz w:val="20"/>
                <w:szCs w:val="20"/>
                <w:color w:val="auto"/>
              </w:rPr>
            </w:pPr>
            <w:r>
              <w:rPr>
                <w:rFonts w:ascii="Arial" w:cs="Arial" w:eastAsia="Arial" w:hAnsi="Arial"/>
                <w:sz w:val="14"/>
                <w:szCs w:val="14"/>
                <w:color w:val="auto"/>
                <w:w w:val="97"/>
              </w:rPr>
              <w:t>4. If Amendment, Date of Original Filed (Month/Day/Year)</w:t>
            </w:r>
          </w:p>
        </w:tc>
        <w:tc>
          <w:tcPr>
            <w:tcW w:w="3860" w:type="dxa"/>
            <w:vAlign w:val="bottom"/>
            <w:gridSpan w:val="9"/>
          </w:tcPr>
          <w:p>
            <w:pPr>
              <w:ind w:left="500"/>
              <w:spacing w:after="0" w:line="152"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60" w:type="dxa"/>
            <w:vAlign w:val="bottom"/>
            <w:gridSpan w:val="3"/>
          </w:tcPr>
          <w:p>
            <w:pPr>
              <w:ind w:left="50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6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FORT WORTH  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76102</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60" w:type="dxa"/>
            <w:vAlign w:val="bottom"/>
            <w:gridSpan w:val="7"/>
            <w:vMerge w:val="restart"/>
          </w:tcPr>
          <w:p>
            <w:pPr>
              <w:ind w:left="3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1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1240" w:type="dxa"/>
            <w:vAlign w:val="bottom"/>
            <w:gridSpan w:val="2"/>
            <w:vMerge w:val="restart"/>
          </w:tcPr>
          <w:p>
            <w:pPr>
              <w:ind w:left="360"/>
              <w:spacing w:after="0"/>
              <w:rPr>
                <w:sz w:val="20"/>
                <w:szCs w:val="20"/>
                <w:color w:val="auto"/>
              </w:rPr>
            </w:pPr>
            <w:r>
              <w:rPr>
                <w:rFonts w:ascii="Arial" w:cs="Arial" w:eastAsia="Arial" w:hAnsi="Arial"/>
                <w:sz w:val="14"/>
                <w:szCs w:val="14"/>
                <w:color w:val="auto"/>
              </w:rPr>
              <w:t>Person</w:t>
            </w: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4400" w:type="dxa"/>
            <w:vAlign w:val="bottom"/>
            <w:tcBorders>
              <w:bottom w:val="single" w:sz="8" w:color="2C2C2C"/>
            </w:tcBorders>
            <w:gridSpan w:val="9"/>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880" w:type="dxa"/>
            <w:vAlign w:val="bottom"/>
            <w:tcBorders>
              <w:top w:val="single" w:sz="8" w:color="2C2C2C"/>
            </w:tcBorders>
          </w:tcPr>
          <w:p>
            <w:pPr>
              <w:spacing w:after="0"/>
              <w:rPr>
                <w:sz w:val="23"/>
                <w:szCs w:val="23"/>
                <w:color w:val="auto"/>
              </w:rPr>
            </w:pPr>
          </w:p>
        </w:tc>
        <w:tc>
          <w:tcPr>
            <w:tcW w:w="7860" w:type="dxa"/>
            <w:vAlign w:val="bottom"/>
            <w:tcBorders>
              <w:top w:val="single" w:sz="8" w:color="2C2C2C"/>
            </w:tcBorders>
            <w:gridSpan w:val="13"/>
          </w:tcPr>
          <w:p>
            <w:pPr>
              <w:jc w:val="center"/>
              <w:ind w:left="20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4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26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40" w:type="dxa"/>
            <w:vAlign w:val="bottom"/>
            <w:tcBorders>
              <w:bottom w:val="single" w:sz="8" w:color="2C2C2C"/>
            </w:tcBorders>
            <w:gridSpan w:val="4"/>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3"/>
          </w:tcPr>
          <w:p>
            <w:pPr>
              <w:ind w:left="6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60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60" w:type="dxa"/>
            <w:vAlign w:val="bottom"/>
            <w:gridSpan w:val="3"/>
          </w:tcPr>
          <w:p>
            <w:pPr>
              <w:ind w:left="6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 or</w:t>
            </w: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1"/>
                <w:szCs w:val="11"/>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020" w:type="dxa"/>
            <w:vAlign w:val="bottom"/>
          </w:tcPr>
          <w:p>
            <w:pPr>
              <w:spacing w:after="0"/>
              <w:rPr>
                <w:sz w:val="18"/>
                <w:szCs w:val="18"/>
                <w:color w:val="auto"/>
              </w:rPr>
            </w:pPr>
          </w:p>
        </w:tc>
        <w:tc>
          <w:tcPr>
            <w:tcW w:w="1660" w:type="dxa"/>
            <w:vAlign w:val="bottom"/>
            <w:gridSpan w:val="3"/>
            <w:vMerge w:val="restart"/>
          </w:tcPr>
          <w:p>
            <w:pPr>
              <w:ind w:left="700"/>
              <w:spacing w:after="0"/>
              <w:rPr>
                <w:sz w:val="20"/>
                <w:szCs w:val="20"/>
                <w:color w:val="auto"/>
              </w:rPr>
            </w:pPr>
            <w:r>
              <w:rPr>
                <w:rFonts w:ascii="Times New Roman" w:cs="Times New Roman" w:eastAsia="Times New Roman" w:hAnsi="Times New Roman"/>
                <w:sz w:val="18"/>
                <w:szCs w:val="18"/>
                <w:color w:val="0000FF"/>
              </w:rPr>
              <w:t>03/26/2014</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vMerge w:val="restart"/>
          </w:tcPr>
          <w:p>
            <w:pPr>
              <w:jc w:val="center"/>
              <w:ind w:right="279"/>
              <w:spacing w:after="0"/>
              <w:rPr>
                <w:sz w:val="20"/>
                <w:szCs w:val="20"/>
                <w:color w:val="auto"/>
              </w:rPr>
            </w:pPr>
            <w:r>
              <w:rPr>
                <w:rFonts w:ascii="Times New Roman" w:cs="Times New Roman" w:eastAsia="Times New Roman" w:hAnsi="Times New Roman"/>
                <w:sz w:val="14"/>
                <w:szCs w:val="14"/>
                <w:color w:val="0000FF"/>
              </w:rPr>
              <w:t>P</w:t>
            </w: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0000FF"/>
              </w:rPr>
              <w:t>9,685.49</w:t>
            </w:r>
          </w:p>
        </w:tc>
        <w:tc>
          <w:tcPr>
            <w:tcW w:w="5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0000FF"/>
              </w:rPr>
              <w:t>A</w:t>
            </w:r>
          </w:p>
        </w:tc>
        <w:tc>
          <w:tcPr>
            <w:tcW w:w="600" w:type="dxa"/>
            <w:vAlign w:val="bottom"/>
            <w:vMerge w:val="restart"/>
          </w:tcPr>
          <w:p>
            <w:pPr>
              <w:ind w:left="26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16</w:t>
            </w:r>
          </w:p>
        </w:tc>
        <w:tc>
          <w:tcPr>
            <w:tcW w:w="13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color w:val="0000FF"/>
              </w:rPr>
              <w:t>139,082.79</w:t>
            </w:r>
          </w:p>
        </w:tc>
        <w:tc>
          <w:tcPr>
            <w:tcW w:w="340" w:type="dxa"/>
            <w:vAlign w:val="bottom"/>
          </w:tcPr>
          <w:p>
            <w:pPr>
              <w:spacing w:after="0"/>
              <w:rPr>
                <w:sz w:val="18"/>
                <w:szCs w:val="18"/>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0000FF"/>
              </w:rPr>
              <w:t>I</w:t>
            </w: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Explanation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620" w:type="dxa"/>
            <w:vAlign w:val="bottom"/>
            <w:gridSpan w:val="3"/>
            <w:vMerge w:val="continue"/>
          </w:tcPr>
          <w:p>
            <w:pPr>
              <w:spacing w:after="0"/>
              <w:rPr>
                <w:sz w:val="10"/>
                <w:szCs w:val="10"/>
                <w:color w:val="auto"/>
              </w:rPr>
            </w:pPr>
          </w:p>
        </w:tc>
        <w:tc>
          <w:tcPr>
            <w:tcW w:w="1020" w:type="dxa"/>
            <w:vAlign w:val="bottom"/>
          </w:tcPr>
          <w:p>
            <w:pPr>
              <w:spacing w:after="0"/>
              <w:rPr>
                <w:sz w:val="10"/>
                <w:szCs w:val="10"/>
                <w:color w:val="auto"/>
              </w:rPr>
            </w:pPr>
          </w:p>
        </w:tc>
        <w:tc>
          <w:tcPr>
            <w:tcW w:w="1660" w:type="dxa"/>
            <w:vAlign w:val="bottom"/>
            <w:gridSpan w:val="3"/>
            <w:vMerge w:val="continue"/>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134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of</w:t>
            </w: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6"/>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8"/>
                <w:szCs w:val="18"/>
                <w:color w:val="0000FF"/>
              </w:rPr>
              <w:t>Responses</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2"/>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500" w:type="dxa"/>
            <w:vAlign w:val="bottom"/>
            <w:gridSpan w:val="9"/>
          </w:tcPr>
          <w:p>
            <w:pPr>
              <w:jc w:val="center"/>
              <w:ind w:left="5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Date</w:t>
            </w:r>
          </w:p>
        </w:tc>
        <w:tc>
          <w:tcPr>
            <w:tcW w:w="7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00" w:type="dxa"/>
            <w:vAlign w:val="bottom"/>
            <w:vMerge w:val="continue"/>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85" w:lineRule="auto"/>
        <w:tabs>
          <w:tab w:leader="none" w:pos="17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TSL Advisers, LLC ("TSL Advisers") directly holds 2,799,517 shares of Common Stock of the Issuer (the "TSL Shares"), including 139,082.79 shares of Common Stock of the Issuer indirectly beneficially owned by Mr. Waxman (through his limited partnership interest in TSL Equity Partners, L.P., which is a member of TSL Advisers). In addition, Mr. Waxman is a member of the board of managers of TSL Advisers and therefore may be deemed to beneficially own all of the TSL Shares. Mr. Waxman disclaims beneficial ownership of the TSL Shares except to the extent of his pecuniary interest therein.</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00" w:firstLine="9"/>
        <w:spacing w:after="0" w:line="241" w:lineRule="auto"/>
        <w:tabs>
          <w:tab w:leader="none" w:pos="231"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Ronald Cami is signing on behalf of Mr. Waxman pursuant to the authorization and designation letter dated March 10, 2014, which was previously filed with the Securities and Exchange Commission as an exhibit to a Schedule 13D filed by Mr. Waxman on March 13, 2014 (SEC File No. 005-86304).</w:t>
      </w:r>
    </w:p>
    <w:p>
      <w:pPr>
        <w:spacing w:after="0" w:line="36"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 Ronald Cami, on behalf of</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0000FF"/>
                <w:w w:val="95"/>
              </w:rPr>
              <w:t>03/27/2014</w:t>
            </w: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Alan Waxman (2)</w:t>
            </w: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132"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2019-12-16T07:38:59Z</dcterms:created>
  <dcterms:modified xsi:type="dcterms:W3CDTF">2019-12-16T07:38:59Z</dcterms:modified>
</cp:coreProperties>
</file>