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11,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40" w:type="dxa"/>
            <w:vAlign w:val="bottom"/>
          </w:tcPr>
          <w:p>
            <w:pPr>
              <w:jc w:val="center"/>
              <w:ind w:right="2482"/>
              <w:spacing w:after="0"/>
              <w:rPr>
                <w:sz w:val="20"/>
                <w:szCs w:val="20"/>
                <w:color w:val="auto"/>
              </w:rPr>
            </w:pPr>
            <w:r>
              <w:rPr>
                <w:rFonts w:ascii="Arial" w:cs="Arial" w:eastAsia="Arial" w:hAnsi="Arial"/>
                <w:sz w:val="18"/>
                <w:szCs w:val="18"/>
                <w:b w:val="1"/>
                <w:bCs w:val="1"/>
                <w:color w:val="auto"/>
                <w:w w:val="88"/>
              </w:rPr>
              <w:t>Delaware</w:t>
            </w:r>
          </w:p>
        </w:tc>
        <w:tc>
          <w:tcPr>
            <w:tcW w:w="2340" w:type="dxa"/>
            <w:vAlign w:val="bottom"/>
          </w:tcPr>
          <w:p>
            <w:pPr>
              <w:ind w:left="16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27-3380000</w:t>
            </w:r>
          </w:p>
        </w:tc>
      </w:tr>
      <w:tr>
        <w:trPr>
          <w:trHeight w:val="149"/>
        </w:trPr>
        <w:tc>
          <w:tcPr>
            <w:tcW w:w="414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40" w:type="dxa"/>
            <w:vAlign w:val="bottom"/>
          </w:tcPr>
          <w:p>
            <w:pPr>
              <w:jc w:val="center"/>
              <w:ind w:right="2462"/>
              <w:spacing w:after="0"/>
              <w:rPr>
                <w:sz w:val="20"/>
                <w:szCs w:val="20"/>
                <w:color w:val="auto"/>
              </w:rPr>
            </w:pPr>
            <w:r>
              <w:rPr>
                <w:rFonts w:ascii="Arial" w:cs="Arial" w:eastAsia="Arial" w:hAnsi="Arial"/>
                <w:sz w:val="14"/>
                <w:szCs w:val="14"/>
                <w:b w:val="1"/>
                <w:bCs w:val="1"/>
                <w:color w:val="auto"/>
                <w:w w:val="89"/>
              </w:rPr>
              <w:t>of Incorporation)</w:t>
            </w:r>
          </w:p>
        </w:tc>
        <w:tc>
          <w:tcPr>
            <w:tcW w:w="234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140" w:type="dxa"/>
            <w:vAlign w:val="bottom"/>
          </w:tcPr>
          <w:p>
            <w:pPr>
              <w:jc w:val="center"/>
              <w:ind w:left="1262"/>
              <w:spacing w:after="0"/>
              <w:rPr>
                <w:sz w:val="20"/>
                <w:szCs w:val="20"/>
                <w:color w:val="auto"/>
              </w:rPr>
            </w:pPr>
            <w:r>
              <w:rPr>
                <w:rFonts w:ascii="Arial" w:cs="Arial" w:eastAsia="Arial" w:hAnsi="Arial"/>
                <w:sz w:val="18"/>
                <w:szCs w:val="18"/>
                <w:b w:val="1"/>
                <w:bCs w:val="1"/>
                <w:color w:val="auto"/>
                <w:w w:val="87"/>
              </w:rPr>
              <w:t>301 Commerce Street, Suite 3300</w:t>
            </w:r>
          </w:p>
        </w:tc>
        <w:tc>
          <w:tcPr>
            <w:tcW w:w="2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8"/>
        </w:trPr>
        <w:tc>
          <w:tcPr>
            <w:tcW w:w="4140" w:type="dxa"/>
            <w:vAlign w:val="bottom"/>
          </w:tcPr>
          <w:p>
            <w:pPr>
              <w:jc w:val="center"/>
              <w:ind w:left="1262"/>
              <w:spacing w:after="0"/>
              <w:rPr>
                <w:sz w:val="20"/>
                <w:szCs w:val="20"/>
                <w:color w:val="auto"/>
              </w:rPr>
            </w:pPr>
            <w:r>
              <w:rPr>
                <w:rFonts w:ascii="Arial" w:cs="Arial" w:eastAsia="Arial" w:hAnsi="Arial"/>
                <w:sz w:val="18"/>
                <w:szCs w:val="18"/>
                <w:b w:val="1"/>
                <w:bCs w:val="1"/>
                <w:color w:val="auto"/>
                <w:w w:val="95"/>
              </w:rPr>
              <w:t>Fort Worth, TX</w:t>
            </w:r>
          </w:p>
        </w:tc>
        <w:tc>
          <w:tcPr>
            <w:tcW w:w="2340" w:type="dxa"/>
            <w:vAlign w:val="bottom"/>
          </w:tcPr>
          <w:p>
            <w:pPr>
              <w:spacing w:after="0"/>
              <w:rPr>
                <w:sz w:val="18"/>
                <w:szCs w:val="18"/>
                <w:color w:val="auto"/>
              </w:rPr>
            </w:pPr>
          </w:p>
        </w:tc>
        <w:tc>
          <w:tcPr>
            <w:tcW w:w="2480" w:type="dxa"/>
            <w:vAlign w:val="bottom"/>
          </w:tcPr>
          <w:p>
            <w:pPr>
              <w:jc w:val="right"/>
              <w:ind w:right="16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40" w:type="dxa"/>
            <w:vAlign w:val="bottom"/>
          </w:tcPr>
          <w:p>
            <w:pPr>
              <w:jc w:val="center"/>
              <w:ind w:left="126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40" w:type="dxa"/>
            <w:vAlign w:val="bottom"/>
          </w:tcPr>
          <w:p>
            <w:pPr>
              <w:spacing w:after="0"/>
              <w:rPr>
                <w:sz w:val="15"/>
                <w:szCs w:val="15"/>
                <w:color w:val="auto"/>
              </w:rPr>
            </w:pP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June 11, 2012, TPG Specialty Lending, Inc. (the “Company”) held its annual meeting of stockholders. A total of 295,059 shares were entitled to vote at the meeting with 279,318 shares represented by proxy. Stockholders considered two proposals as described in the Company’s proxy statement filed on April 30, 2012. The final results of the voting on each matter submitted to stockholders at the annual meeting are set forth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 Directors. </w:t>
      </w:r>
      <w:r>
        <w:rPr>
          <w:rFonts w:ascii="Arial" w:cs="Arial" w:eastAsia="Arial" w:hAnsi="Arial"/>
          <w:sz w:val="18"/>
          <w:szCs w:val="18"/>
          <w:color w:val="auto"/>
        </w:rPr>
        <w:t>The stockholders elected the nominees for Class I director by the vote shown below.</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Nominee</w:t>
            </w:r>
          </w:p>
        </w:tc>
        <w:tc>
          <w:tcPr>
            <w:tcW w:w="4540" w:type="dxa"/>
            <w:vAlign w:val="bottom"/>
          </w:tcPr>
          <w:p>
            <w:pPr>
              <w:spacing w:after="0"/>
              <w:rPr>
                <w:sz w:val="15"/>
                <w:szCs w:val="15"/>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3"/>
              </w:rPr>
              <w:t>Votes “For”</w:t>
            </w:r>
          </w:p>
        </w:tc>
        <w:tc>
          <w:tcPr>
            <w:tcW w:w="18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6"/>
              </w:rPr>
              <w:t>Votes “Withheld”</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Broker Non-Votes</w:t>
            </w:r>
          </w:p>
        </w:tc>
      </w:tr>
      <w:tr>
        <w:trPr>
          <w:trHeight w:val="203"/>
        </w:trPr>
        <w:tc>
          <w:tcPr>
            <w:tcW w:w="5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255,915</w:t>
            </w:r>
          </w:p>
        </w:tc>
        <w:tc>
          <w:tcPr>
            <w:tcW w:w="8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23,403</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255,915</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23,403</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 LLP as our</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registered public accounting firm for the fiscal year ending December 31, 2012.</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Votes “For”</w:t>
            </w:r>
          </w:p>
        </w:tc>
        <w:tc>
          <w:tcPr>
            <w:tcW w:w="196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Votes “Against”</w:t>
            </w:r>
          </w:p>
        </w:tc>
        <w:tc>
          <w:tcPr>
            <w:tcW w:w="1540" w:type="dxa"/>
            <w:vAlign w:val="bottom"/>
          </w:tcPr>
          <w:p>
            <w:pPr>
              <w:spacing w:after="0"/>
              <w:rPr>
                <w:sz w:val="15"/>
                <w:szCs w:val="15"/>
                <w:color w:val="auto"/>
              </w:rPr>
            </w:pPr>
          </w:p>
        </w:tc>
        <w:tc>
          <w:tcPr>
            <w:tcW w:w="2740" w:type="dxa"/>
            <w:vAlign w:val="bottom"/>
            <w:gridSpan w:val="2"/>
          </w:tcPr>
          <w:p>
            <w:pPr>
              <w:jc w:val="right"/>
              <w:ind w:right="2060"/>
              <w:spacing w:after="0"/>
              <w:rPr>
                <w:sz w:val="20"/>
                <w:szCs w:val="20"/>
                <w:color w:val="auto"/>
              </w:rPr>
            </w:pPr>
            <w:r>
              <w:rPr>
                <w:rFonts w:ascii="Arial" w:cs="Arial" w:eastAsia="Arial" w:hAnsi="Arial"/>
                <w:sz w:val="14"/>
                <w:szCs w:val="14"/>
                <w:b w:val="1"/>
                <w:bCs w:val="1"/>
                <w:color w:val="auto"/>
                <w:w w:val="81"/>
              </w:rPr>
              <w:t>Abstentions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Broker Non-Votes</w:t>
            </w:r>
          </w:p>
        </w:tc>
      </w:tr>
      <w:tr>
        <w:trPr>
          <w:trHeight w:val="203"/>
        </w:trPr>
        <w:tc>
          <w:tcPr>
            <w:tcW w:w="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279,318</w:t>
            </w:r>
          </w:p>
        </w:tc>
        <w:tc>
          <w:tcPr>
            <w:tcW w:w="19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0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r>
      <w:tr>
        <w:trPr>
          <w:trHeight w:val="363"/>
        </w:trPr>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jc w:val="right"/>
              <w:ind w:right="712"/>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27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4"/>
              </w:rPr>
              <w:t>TPG SPECIALTY LENDING, INC.</w:t>
            </w:r>
          </w:p>
        </w:tc>
      </w:tr>
      <w:tr>
        <w:trPr>
          <w:trHeight w:val="217"/>
        </w:trPr>
        <w:tc>
          <w:tcPr>
            <w:tcW w:w="3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jc w:val="center"/>
              <w:ind w:right="152"/>
              <w:spacing w:after="0"/>
              <w:rPr>
                <w:sz w:val="20"/>
                <w:szCs w:val="20"/>
                <w:color w:val="auto"/>
              </w:rPr>
            </w:pPr>
            <w:r>
              <w:rPr>
                <w:rFonts w:ascii="Arial" w:cs="Arial" w:eastAsia="Arial" w:hAnsi="Arial"/>
                <w:sz w:val="18"/>
                <w:szCs w:val="18"/>
                <w:color w:val="auto"/>
                <w:w w:val="89"/>
              </w:rPr>
              <w:t>(Registrant)</w:t>
            </w:r>
          </w:p>
        </w:tc>
      </w:tr>
      <w:tr>
        <w:trPr>
          <w:trHeight w:val="425"/>
        </w:trPr>
        <w:tc>
          <w:tcPr>
            <w:tcW w:w="3520" w:type="dxa"/>
            <w:vAlign w:val="bottom"/>
          </w:tcPr>
          <w:p>
            <w:pPr>
              <w:spacing w:after="0"/>
              <w:rPr>
                <w:sz w:val="20"/>
                <w:szCs w:val="20"/>
                <w:color w:val="auto"/>
              </w:rPr>
            </w:pPr>
            <w:r>
              <w:rPr>
                <w:rFonts w:ascii="Arial" w:cs="Arial" w:eastAsia="Arial" w:hAnsi="Arial"/>
                <w:sz w:val="18"/>
                <w:szCs w:val="18"/>
                <w:color w:val="auto"/>
              </w:rPr>
              <w:t>Date: June 12, 2012</w:t>
            </w:r>
          </w:p>
        </w:tc>
        <w:tc>
          <w:tcPr>
            <w:tcW w:w="2300" w:type="dxa"/>
            <w:vAlign w:val="bottom"/>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By:  /s/ Ronald Cami</w:t>
            </w:r>
          </w:p>
        </w:tc>
      </w:tr>
      <w:tr>
        <w:trPr>
          <w:trHeight w:val="202"/>
        </w:trPr>
        <w:tc>
          <w:tcPr>
            <w:tcW w:w="35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365"/>
        </w:trPr>
        <w:tc>
          <w:tcPr>
            <w:tcW w:w="3520" w:type="dxa"/>
            <w:vAlign w:val="bottom"/>
          </w:tcPr>
          <w:p>
            <w:pPr>
              <w:spacing w:after="0"/>
              <w:rPr>
                <w:sz w:val="24"/>
                <w:szCs w:val="24"/>
                <w:color w:val="auto"/>
              </w:rPr>
            </w:pPr>
          </w:p>
        </w:tc>
        <w:tc>
          <w:tcPr>
            <w:tcW w:w="2660" w:type="dxa"/>
            <w:vAlign w:val="bottom"/>
            <w:gridSpan w:val="2"/>
          </w:tcPr>
          <w:p>
            <w:pPr>
              <w:jc w:val="right"/>
              <w:ind w:right="27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2019-12-09T19:45:26Z</dcterms:created>
  <dcterms:modified xsi:type="dcterms:W3CDTF">2019-12-09T19:45:26Z</dcterms:modified>
</cp:coreProperties>
</file>