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8140" w:type="dxa"/>
            <w:vAlign w:val="bottom"/>
            <w:gridSpan w:val="3"/>
          </w:tcPr>
          <w:p>
            <w:pPr>
              <w:jc w:val="center"/>
              <w:ind w:right="2790"/>
              <w:spacing w:after="0"/>
              <w:rPr>
                <w:sz w:val="20"/>
                <w:szCs w:val="20"/>
                <w:color w:val="auto"/>
              </w:rPr>
            </w:pPr>
            <w:r>
              <w:rPr>
                <w:rFonts w:ascii="Times New Roman" w:cs="Times New Roman" w:eastAsia="Times New Roman" w:hAnsi="Times New Roman"/>
                <w:sz w:val="18"/>
                <w:szCs w:val="18"/>
                <w:color w:val="auto"/>
              </w:rPr>
              <w:t xml:space="preserve">Simpson Thacher &amp; Bartlett </w:t>
            </w:r>
            <w:r>
              <w:rPr>
                <w:rFonts w:ascii="Times New Roman" w:cs="Times New Roman" w:eastAsia="Times New Roman" w:hAnsi="Times New Roman"/>
                <w:sz w:val="14"/>
                <w:szCs w:val="14"/>
                <w:color w:val="auto"/>
              </w:rPr>
              <w:t>LLP</w:t>
            </w:r>
          </w:p>
        </w:tc>
      </w:tr>
      <w:tr>
        <w:trPr>
          <w:trHeight w:val="216"/>
        </w:trPr>
        <w:tc>
          <w:tcPr>
            <w:tcW w:w="2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80" w:type="dxa"/>
            <w:vAlign w:val="bottom"/>
            <w:gridSpan w:val="2"/>
          </w:tcPr>
          <w:p>
            <w:pPr>
              <w:jc w:val="center"/>
              <w:ind w:right="4270"/>
              <w:spacing w:after="0"/>
              <w:rPr>
                <w:sz w:val="20"/>
                <w:szCs w:val="20"/>
                <w:color w:val="auto"/>
              </w:rPr>
            </w:pPr>
            <w:r>
              <w:rPr>
                <w:rFonts w:ascii="Times New Roman" w:cs="Times New Roman" w:eastAsia="Times New Roman" w:hAnsi="Times New Roman"/>
                <w:sz w:val="18"/>
                <w:szCs w:val="18"/>
                <w:color w:val="auto"/>
              </w:rPr>
              <w:t>900 G S</w:t>
            </w:r>
            <w:r>
              <w:rPr>
                <w:rFonts w:ascii="Times New Roman" w:cs="Times New Roman" w:eastAsia="Times New Roman" w:hAnsi="Times New Roman"/>
                <w:sz w:val="14"/>
                <w:szCs w:val="14"/>
                <w:color w:val="auto"/>
              </w:rPr>
              <w:t>TREET</w:t>
            </w:r>
            <w:r>
              <w:rPr>
                <w:rFonts w:ascii="Times New Roman" w:cs="Times New Roman" w:eastAsia="Times New Roman" w:hAnsi="Times New Roman"/>
                <w:sz w:val="18"/>
                <w:szCs w:val="18"/>
                <w:color w:val="auto"/>
              </w:rPr>
              <w:t>, NW</w:t>
            </w:r>
          </w:p>
        </w:tc>
      </w:tr>
      <w:tr>
        <w:trPr>
          <w:trHeight w:val="234"/>
        </w:trPr>
        <w:tc>
          <w:tcPr>
            <w:tcW w:w="2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80" w:type="dxa"/>
            <w:vAlign w:val="bottom"/>
            <w:gridSpan w:val="2"/>
          </w:tcPr>
          <w:p>
            <w:pPr>
              <w:jc w:val="center"/>
              <w:ind w:right="4270"/>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ASHINGTON</w:t>
            </w:r>
            <w:r>
              <w:rPr>
                <w:rFonts w:ascii="Times New Roman" w:cs="Times New Roman" w:eastAsia="Times New Roman" w:hAnsi="Times New Roman"/>
                <w:sz w:val="18"/>
                <w:szCs w:val="18"/>
                <w:color w:val="auto"/>
              </w:rPr>
              <w:t>, D.C. 20001</w:t>
            </w:r>
          </w:p>
        </w:tc>
      </w:tr>
      <w:tr>
        <w:trPr>
          <w:trHeight w:val="351"/>
        </w:trPr>
        <w:tc>
          <w:tcPr>
            <w:tcW w:w="2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07"/>
        </w:trPr>
        <w:tc>
          <w:tcPr>
            <w:tcW w:w="2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80" w:type="dxa"/>
            <w:vAlign w:val="bottom"/>
            <w:gridSpan w:val="2"/>
          </w:tcPr>
          <w:p>
            <w:pPr>
              <w:jc w:val="center"/>
              <w:ind w:right="427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+1-202-636-5500</w:t>
            </w:r>
          </w:p>
        </w:tc>
      </w:tr>
      <w:tr>
        <w:trPr>
          <w:trHeight w:val="234"/>
        </w:trPr>
        <w:tc>
          <w:tcPr>
            <w:tcW w:w="2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80" w:type="dxa"/>
            <w:vAlign w:val="bottom"/>
            <w:gridSpan w:val="2"/>
          </w:tcPr>
          <w:p>
            <w:pPr>
              <w:jc w:val="center"/>
              <w:ind w:right="425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+1-202-636-5502</w:t>
            </w:r>
          </w:p>
        </w:tc>
      </w:tr>
      <w:tr>
        <w:trPr>
          <w:trHeight w:val="441"/>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Direct Dial Number</w:t>
            </w:r>
          </w:p>
        </w:tc>
        <w:tc>
          <w:tcPr>
            <w:tcW w:w="1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E-mail Address</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(202) 636-5592</w:t>
            </w:r>
          </w:p>
        </w:tc>
        <w:tc>
          <w:tcPr>
            <w:tcW w:w="1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steven.grigoriou@stblaw.com</w:t>
            </w:r>
          </w:p>
        </w:tc>
      </w:tr>
      <w:tr>
        <w:trPr>
          <w:trHeight w:val="44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April 10, 2025</w:t>
            </w:r>
          </w:p>
        </w:tc>
        <w:tc>
          <w:tcPr>
            <w:tcW w:w="1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spacing w:after="0"/>
              <w:rPr>
                <w:sz w:val="24"/>
                <w:szCs w:val="24"/>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John Lee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Sixth Street Specialty Lending, Inc. (File No. 001-36364)</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Preliminary Proxy Statement on Schedule 14A filed on March 21, 2025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Lee:</w:t>
      </w:r>
    </w:p>
    <w:p>
      <w:pPr>
        <w:spacing w:after="0" w:line="117" w:lineRule="exact"/>
        <w:rPr>
          <w:sz w:val="24"/>
          <w:szCs w:val="24"/>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On behalf of Sixth Street Specialty Lending, Inc. (the “Company”), in response to a comment from the staff (the “Staff”) of the Securities and Exchange Commission in correspondence on March 28, 2025, we transmit for filing the Company’s response to the comment.</w:t>
      </w:r>
    </w:p>
    <w:p>
      <w:pPr>
        <w:spacing w:after="0" w:line="162"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For convenience of reference, the comment of the Staff has been reproduced herein. We have discussed the Staff’s comment with representatives of the Company. The Company’s response to the Staff’s comment is set out immediately under the reproduced comment.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Quorum, Effect of Abstentions and Broker Non-Votes, Vote Required to Approve the Proposal</w:t>
      </w:r>
    </w:p>
    <w:p>
      <w:pPr>
        <w:spacing w:after="0" w:line="22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 Comment</w:t>
      </w:r>
      <w:r>
        <w:rPr>
          <w:rFonts w:ascii="Times New Roman" w:cs="Times New Roman" w:eastAsia="Times New Roman" w:hAnsi="Times New Roman"/>
          <w:sz w:val="18"/>
          <w:szCs w:val="18"/>
          <w:color w:val="auto"/>
        </w:rPr>
        <w:t>: Please revise the disclosure to make clear that broker non-votes are not expected at the Special Meeting of the Stockholders.</w:t>
      </w:r>
    </w:p>
    <w:p>
      <w:pPr>
        <w:spacing w:after="0" w:line="22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has revised the disclosure accordingly.</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      *</w:t>
      </w:r>
    </w:p>
    <w:p>
      <w:pPr>
        <w:sectPr>
          <w:pgSz w:w="11900" w:h="16838" w:orient="portrait"/>
          <w:cols w:equalWidth="0" w:num="1">
            <w:col w:w="11020"/>
          </w:cols>
          <w:pgMar w:left="440" w:top="229" w:right="439" w:bottom="1440" w:gutter="0" w:footer="0" w:header="0"/>
        </w:sectPr>
      </w:pPr>
    </w:p>
    <w:bookmarkStart w:id="1" w:name="page2"/>
    <w:bookmarkEnd w:id="1"/>
    <w:p>
      <w:pPr>
        <w:ind w:left="99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10, 2025</w:t>
      </w:r>
    </w:p>
    <w:p>
      <w:pPr>
        <w:spacing w:after="0" w:line="158"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The definitive proxy statement is expected to be filed on or about April 10, 2025. If the Staff has any questions concerning this letter or requires further information, please do not hesitate to contact me at (202) 636-5592.</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Steven Grigoriou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Steven Grigoriou</w:t>
      </w:r>
    </w:p>
    <w:p>
      <w:pPr>
        <w:spacing w:after="0" w:line="252"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Simmonds, Sixth Street Specialty Lending, Inc.</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2025-07-31T23:09:34Z</dcterms:created>
  <dcterms:modified xsi:type="dcterms:W3CDTF">2025-07-31T23:09:34Z</dcterms:modified>
</cp:coreProperties>
</file>