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333-231271</w:t>
      </w:r>
    </w:p>
    <w:p>
      <w:pPr>
        <w:spacing w:after="0" w:line="135" w:lineRule="exact"/>
        <w:rPr>
          <w:sz w:val="24"/>
          <w:szCs w:val="24"/>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color w:val="FF4338"/>
        </w:rPr>
        <w:t>The information in this prospectus supplement is not complete and may be changed. A registration statement relating to these securities has been filed with and declared effective by the Securities and Exchange Commission. This prospectus supplement and the accompanying prospectus are not an offer to sell these securities and are not soliciting an offer to buy these securities in any jurisdiction where the offer or sale is not permitted.</w:t>
      </w:r>
    </w:p>
    <w:p>
      <w:pPr>
        <w:spacing w:after="0" w:line="10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FF4338"/>
        </w:rPr>
        <w:t>Subject to Completion</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FF4338"/>
        </w:rPr>
        <w:t>Preliminary Prospectus Supplement dated February 18, 2021</w:t>
      </w:r>
    </w:p>
    <w:p>
      <w:pPr>
        <w:spacing w:after="0" w:line="7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4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(To Prospectus dated May 7, 2019)</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4,000,000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92710</wp:posOffset>
            </wp:positionV>
            <wp:extent cx="135445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We are offering for sale 4,000,000 shares of our common stock. We have also granted the underwriters a 30-day option to purchase up to 600,000 additional shares of our common</w:t>
      </w:r>
    </w:p>
    <w:p>
      <w:pPr>
        <w:spacing w:after="0" w:line="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stock.</w:t>
      </w:r>
    </w:p>
    <w:p>
      <w:pPr>
        <w:spacing w:after="0" w:line="26" w:lineRule="exact"/>
        <w:rPr>
          <w:sz w:val="24"/>
          <w:szCs w:val="24"/>
          <w:color w:val="auto"/>
        </w:rPr>
      </w:pPr>
    </w:p>
    <w:p>
      <w:pPr>
        <w:jc w:val="both"/>
        <w:ind w:left="120" w:right="340" w:firstLine="440"/>
        <w:spacing w:after="0" w:line="241" w:lineRule="auto"/>
        <w:rPr>
          <w:sz w:val="20"/>
          <w:szCs w:val="20"/>
          <w:color w:val="auto"/>
        </w:rPr>
      </w:pPr>
      <w:r>
        <w:rPr>
          <w:rFonts w:ascii="Times New Roman" w:cs="Times New Roman" w:eastAsia="Times New Roman" w:hAnsi="Times New Roman"/>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15" w:lineRule="exact"/>
        <w:rPr>
          <w:sz w:val="24"/>
          <w:szCs w:val="24"/>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4"/>
          <w:szCs w:val="14"/>
          <w:color w:val="auto"/>
        </w:rPr>
        <w:t>As of December 31, 2020, our investment portfolio consisted of investments in 70 portfolio companies with an aggregate fair value of $2,298.9 million. We intend to continue to pursue an investment strategy focused on direct origination of loans to middle-market companies principally domiciled in the United States.</w:t>
      </w:r>
    </w:p>
    <w:p>
      <w:pPr>
        <w:spacing w:after="0" w:line="1" w:lineRule="exact"/>
        <w:rPr>
          <w:sz w:val="24"/>
          <w:szCs w:val="24"/>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4"/>
          <w:szCs w:val="14"/>
          <w:color w:val="auto"/>
        </w:rPr>
        <w:t>We are an externally managed, closed-end, non-diversified management investment company. Sixth Street Specialty Lending Advisers, LLC, or the Adviser, acts as our investment adviser and administrator. We and the Adviser are part of Sixth Street Partners, LLC, a global investment firm with over $50 billion in assets under management and committed capital.</w:t>
      </w:r>
    </w:p>
    <w:p>
      <w:pPr>
        <w:spacing w:after="0" w:line="1" w:lineRule="exact"/>
        <w:rPr>
          <w:sz w:val="24"/>
          <w:szCs w:val="24"/>
          <w:color w:val="auto"/>
        </w:rPr>
      </w:pPr>
    </w:p>
    <w:p>
      <w:pPr>
        <w:ind w:left="120" w:right="40" w:firstLine="440"/>
        <w:spacing w:after="0"/>
        <w:rPr>
          <w:sz w:val="20"/>
          <w:szCs w:val="20"/>
          <w:color w:val="auto"/>
        </w:rPr>
      </w:pPr>
      <w:r>
        <w:rPr>
          <w:rFonts w:ascii="Times New Roman" w:cs="Times New Roman" w:eastAsia="Times New Roman" w:hAnsi="Times New Roman"/>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53" w:lineRule="exact"/>
        <w:rPr>
          <w:sz w:val="24"/>
          <w:szCs w:val="24"/>
          <w:color w:val="auto"/>
        </w:rPr>
      </w:pPr>
    </w:p>
    <w:p>
      <w:pPr>
        <w:jc w:val="both"/>
        <w:ind w:left="120" w:right="80" w:firstLine="440"/>
        <w:spacing w:after="0" w:line="241" w:lineRule="auto"/>
        <w:rPr>
          <w:sz w:val="20"/>
          <w:szCs w:val="20"/>
          <w:color w:val="auto"/>
        </w:rPr>
      </w:pPr>
      <w:r>
        <w:rPr>
          <w:rFonts w:ascii="Times New Roman" w:cs="Times New Roman" w:eastAsia="Times New Roman" w:hAnsi="Times New Roman"/>
          <w:sz w:val="14"/>
          <w:szCs w:val="14"/>
          <w:color w:val="auto"/>
        </w:rPr>
        <w:t>Substantially all of our debt investments have variable interest rates that reset periodically based on interest rate benchmarks such as the London Interbank Offered Rate, the Canadian Dollar Offered Rate, the Bank Bill Swap Bid Rate, the Euro Interbank Offered Rate, the Federal Funds Effective Rate or the Prime Rate. As a result, significant increases in such interest rate benchmarks (or any replacement benchmarks) in the future would make it more difficult for these borrowers to service their obligations under the debt investments that we hold.</w:t>
      </w:r>
    </w:p>
    <w:p>
      <w:pPr>
        <w:spacing w:after="0" w:line="15" w:lineRule="exact"/>
        <w:rPr>
          <w:sz w:val="24"/>
          <w:szCs w:val="24"/>
          <w:color w:val="auto"/>
        </w:rPr>
      </w:pPr>
    </w:p>
    <w:p>
      <w:pPr>
        <w:jc w:val="both"/>
        <w:ind w:left="120" w:right="100" w:firstLine="440"/>
        <w:spacing w:after="0" w:line="241" w:lineRule="auto"/>
        <w:rPr>
          <w:sz w:val="20"/>
          <w:szCs w:val="20"/>
          <w:color w:val="auto"/>
        </w:rPr>
      </w:pPr>
      <w:r>
        <w:rPr>
          <w:rFonts w:ascii="Times New Roman" w:cs="Times New Roman" w:eastAsia="Times New Roman" w:hAnsi="Times New Roman"/>
          <w:sz w:val="14"/>
          <w:szCs w:val="14"/>
          <w:color w:val="auto"/>
        </w:rPr>
        <w:t>Our common stock is traded on the New York Stock Exchange, or NYSE, under the symbol “TSLX.” On February 17, 2021, the last reported sales price of our common stock on the NYSE was $21.72 per share. The net asset value per share of our common stock at December 31, 2020 (the last date prior to the date of this prospectus supplement for which we reported net asset value) was $17.16.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66675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28" w:lineRule="exact"/>
        <w:rPr>
          <w:sz w:val="24"/>
          <w:szCs w:val="24"/>
          <w:color w:val="auto"/>
        </w:rPr>
      </w:pPr>
    </w:p>
    <w:p>
      <w:pPr>
        <w:ind w:left="120" w:right="240" w:firstLine="440"/>
        <w:spacing w:after="0" w:line="24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Investing in our common stock involves risks, including the risk of leverage, that are described in the “</w:t>
      </w:r>
      <w:hyperlink w:anchor="page10">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u w:val="single" w:color="auto"/>
            <w:color w:val="auto"/>
          </w:rPr>
          <w:t xml:space="preserve"> </w:t>
        </w:r>
      </w:hyperlink>
      <w:r>
        <w:rPr>
          <w:rFonts w:ascii="Times New Roman" w:cs="Times New Roman" w:eastAsia="Times New Roman" w:hAnsi="Times New Roman"/>
          <w:sz w:val="14"/>
          <w:szCs w:val="14"/>
          <w:b w:val="1"/>
          <w:bCs w:val="1"/>
          <w:color w:val="auto"/>
        </w:rPr>
        <w:t>” section beginning on page S-7 of this prospectus supplement and page 23 of the accompanying prospectus and the matters discussed in the documents incorporated or deemed to be incorporated by reference in this prospectus supplement and the accompanying prospectus.</w:t>
      </w:r>
    </w:p>
    <w:p>
      <w:pPr>
        <w:spacing w:after="0" w:line="13" w:lineRule="exact"/>
        <w:rPr>
          <w:sz w:val="24"/>
          <w:szCs w:val="24"/>
          <w:color w:val="auto"/>
        </w:rPr>
      </w:pPr>
    </w:p>
    <w:p>
      <w:pPr>
        <w:ind w:left="120" w:right="140" w:firstLine="440"/>
        <w:spacing w:after="0" w:line="229" w:lineRule="auto"/>
        <w:rPr>
          <w:sz w:val="20"/>
          <w:szCs w:val="20"/>
          <w:color w:val="auto"/>
        </w:rPr>
      </w:pPr>
      <w:r>
        <w:rPr>
          <w:rFonts w:ascii="Times New Roman" w:cs="Times New Roman" w:eastAsia="Times New Roman" w:hAnsi="Times New Roman"/>
          <w:sz w:val="14"/>
          <w:szCs w:val="14"/>
          <w:color w:val="auto"/>
        </w:rPr>
        <w:t>Please read this prospectus supplement and the accompanying prospectus, including any information incorporated by reference herein or therein, before investing and keep such documents for future reference. This prospectus supplement and the accompanying prospectus,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supplement and the accompanying prospectus or incorporated by reference herein or therein. We also file periodic and current reports, proxy statements and other information about us with the Securities and Exchange Commission (the “SEC”). This information is available free of charge by contacting us at 888 7th Avenue, 35th Floor, New York, NY 10106, Attention: TSLX Investor Relations, by emailing us at IRTSLX@sixthstreet.com or visiting our website at http://www.sixthstreetspecialtylending.com. Information on our website is not incorporated into or a part of this prospectus supplement or the accompanying prospectus. The SEC also maintains a website at http://www.sec.gov that contains this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102870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7" w:lineRule="exact"/>
        <w:rPr>
          <w:sz w:val="24"/>
          <w:szCs w:val="24"/>
          <w:color w:val="auto"/>
        </w:rPr>
      </w:pPr>
    </w:p>
    <w:p>
      <w:pPr>
        <w:ind w:left="120" w:right="20" w:firstLine="440"/>
        <w:spacing w:after="0" w:line="241" w:lineRule="auto"/>
        <w:rPr>
          <w:sz w:val="20"/>
          <w:szCs w:val="20"/>
          <w:color w:val="auto"/>
        </w:rPr>
      </w:pPr>
      <w:r>
        <w:rPr>
          <w:rFonts w:ascii="Times New Roman" w:cs="Times New Roman" w:eastAsia="Times New Roman" w:hAnsi="Times New Roman"/>
          <w:sz w:val="14"/>
          <w:szCs w:val="14"/>
          <w:color w:val="auto"/>
        </w:rPr>
        <w:t>The underwriters have agreed to purchase our common stock from us at a price of $ per share, which will result in approximately $ million of net proceeds to us after deducting offering expenses. The underwriters propose to offer the shares of common stock from time to time for sale in negotiated transactions or otherwise, at market prices prevailing at the time of sale, at prices related to such prevailing market prices or at negotiated prices. See “Underwriting.”</w:t>
      </w:r>
    </w:p>
    <w:p>
      <w:pPr>
        <w:spacing w:after="0" w:line="15" w:lineRule="exact"/>
        <w:rPr>
          <w:sz w:val="24"/>
          <w:szCs w:val="24"/>
          <w:color w:val="auto"/>
        </w:rPr>
      </w:pPr>
    </w:p>
    <w:p>
      <w:pPr>
        <w:ind w:left="120" w:right="140" w:firstLine="440"/>
        <w:spacing w:after="0" w:line="260" w:lineRule="auto"/>
        <w:rPr>
          <w:sz w:val="20"/>
          <w:szCs w:val="20"/>
          <w:color w:val="auto"/>
        </w:rPr>
      </w:pPr>
      <w:r>
        <w:rPr>
          <w:rFonts w:ascii="Times New Roman" w:cs="Times New Roman" w:eastAsia="Times New Roman" w:hAnsi="Times New Roman"/>
          <w:sz w:val="14"/>
          <w:szCs w:val="14"/>
          <w:color w:val="auto"/>
        </w:rPr>
        <w:t>We have also granted the underwriters an option to purchase up to an additional shares from us at the public offering price, less the underwriting discount, within 30 days of the date of this prospectus supplement. If the underwriters exercise this option in full, the total public offering price will be $ , and total proceeds, before expenses, will be $ .</w:t>
      </w:r>
    </w:p>
    <w:p>
      <w:pPr>
        <w:ind w:left="120" w:right="380" w:firstLine="440"/>
        <w:spacing w:after="0" w:line="263"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tbl>
      <w:tblPr>
        <w:tblLayout w:type="fixed"/>
        <w:tblInd w:w="120" w:type="dxa"/>
        <w:tblCellMar>
          <w:top w:w="0" w:type="dxa"/>
          <w:left w:w="0" w:type="dxa"/>
          <w:bottom w:w="0" w:type="dxa"/>
          <w:right w:w="0" w:type="dxa"/>
        </w:tblCellMar>
      </w:tblPr>
      <w:tr>
        <w:trPr>
          <w:trHeight w:val="188"/>
        </w:trPr>
        <w:tc>
          <w:tcPr>
            <w:tcW w:w="33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The shares will be ready for delivery on or about</w:t>
            </w:r>
          </w:p>
        </w:tc>
        <w:tc>
          <w:tcPr>
            <w:tcW w:w="2360" w:type="dxa"/>
            <w:vAlign w:val="bottom"/>
            <w:gridSpan w:val="2"/>
          </w:tcPr>
          <w:p>
            <w:pPr>
              <w:jc w:val="right"/>
              <w:ind w:right="1250"/>
              <w:spacing w:after="0"/>
              <w:rPr>
                <w:sz w:val="20"/>
                <w:szCs w:val="20"/>
                <w:color w:val="auto"/>
              </w:rPr>
            </w:pPr>
            <w:r>
              <w:rPr>
                <w:rFonts w:ascii="Times New Roman" w:cs="Times New Roman" w:eastAsia="Times New Roman" w:hAnsi="Times New Roman"/>
                <w:sz w:val="14"/>
                <w:szCs w:val="14"/>
                <w:color w:val="auto"/>
              </w:rPr>
              <w:t>, 2021.</w:t>
            </w: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158"/>
        </w:trPr>
        <w:tc>
          <w:tcPr>
            <w:tcW w:w="3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320" w:type="dxa"/>
            <w:vAlign w:val="bottom"/>
            <w:tcBorders>
              <w:bottom w:val="single" w:sz="8" w:color="auto"/>
            </w:tcBorders>
            <w:gridSpan w:val="2"/>
          </w:tcPr>
          <w:p>
            <w:pPr>
              <w:spacing w:after="0"/>
              <w:rPr>
                <w:sz w:val="13"/>
                <w:szCs w:val="13"/>
                <w:color w:val="auto"/>
              </w:rPr>
            </w:pPr>
          </w:p>
        </w:tc>
        <w:tc>
          <w:tcPr>
            <w:tcW w:w="980" w:type="dxa"/>
            <w:vAlign w:val="bottom"/>
          </w:tcPr>
          <w:p>
            <w:pPr>
              <w:spacing w:after="0"/>
              <w:rPr>
                <w:sz w:val="13"/>
                <w:szCs w:val="13"/>
                <w:color w:val="auto"/>
              </w:rPr>
            </w:pPr>
          </w:p>
        </w:tc>
        <w:tc>
          <w:tcPr>
            <w:tcW w:w="3380" w:type="dxa"/>
            <w:vAlign w:val="bottom"/>
          </w:tcPr>
          <w:p>
            <w:pPr>
              <w:spacing w:after="0"/>
              <w:rPr>
                <w:sz w:val="13"/>
                <w:szCs w:val="13"/>
                <w:color w:val="auto"/>
              </w:rPr>
            </w:pPr>
          </w:p>
        </w:tc>
      </w:tr>
      <w:tr>
        <w:trPr>
          <w:trHeight w:val="213"/>
        </w:trPr>
        <w:tc>
          <w:tcPr>
            <w:tcW w:w="3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0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tc>
        <w:tc>
          <w:tcPr>
            <w:tcW w:w="3380" w:type="dxa"/>
            <w:vAlign w:val="bottom"/>
          </w:tcPr>
          <w:p>
            <w:pPr>
              <w:spacing w:after="0"/>
              <w:rPr>
                <w:sz w:val="18"/>
                <w:szCs w:val="18"/>
                <w:color w:val="auto"/>
              </w:rPr>
            </w:pPr>
          </w:p>
        </w:tc>
      </w:tr>
      <w:tr>
        <w:trPr>
          <w:trHeight w:val="356"/>
        </w:trPr>
        <w:tc>
          <w:tcPr>
            <w:tcW w:w="33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Morgan Stanley</w:t>
            </w:r>
          </w:p>
        </w:tc>
        <w:tc>
          <w:tcPr>
            <w:tcW w:w="960" w:type="dxa"/>
            <w:vAlign w:val="bottom"/>
          </w:tcPr>
          <w:p>
            <w:pPr>
              <w:spacing w:after="0"/>
              <w:rPr>
                <w:sz w:val="24"/>
                <w:szCs w:val="24"/>
                <w:color w:val="auto"/>
              </w:rPr>
            </w:pPr>
          </w:p>
        </w:tc>
        <w:tc>
          <w:tcPr>
            <w:tcW w:w="3300" w:type="dxa"/>
            <w:vAlign w:val="bottom"/>
            <w:gridSpan w:val="3"/>
          </w:tcPr>
          <w:p>
            <w:pPr>
              <w:ind w:left="440"/>
              <w:spacing w:after="0"/>
              <w:rPr>
                <w:sz w:val="20"/>
                <w:szCs w:val="20"/>
                <w:color w:val="auto"/>
              </w:rPr>
            </w:pPr>
            <w:r>
              <w:rPr>
                <w:rFonts w:ascii="Times New Roman" w:cs="Times New Roman" w:eastAsia="Times New Roman" w:hAnsi="Times New Roman"/>
                <w:sz w:val="25"/>
                <w:szCs w:val="25"/>
                <w:b w:val="1"/>
                <w:bCs w:val="1"/>
                <w:color w:val="auto"/>
              </w:rPr>
              <w:t>BofA Securities</w:t>
            </w:r>
          </w:p>
        </w:tc>
        <w:tc>
          <w:tcPr>
            <w:tcW w:w="338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Wells Fargo Securities</w:t>
            </w:r>
          </w:p>
        </w:tc>
      </w:tr>
      <w:tr>
        <w:trPr>
          <w:trHeight w:val="289"/>
        </w:trPr>
        <w:tc>
          <w:tcPr>
            <w:tcW w:w="3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Goldman Sachs &amp; Co. LLC</w:t>
            </w:r>
          </w:p>
        </w:tc>
        <w:tc>
          <w:tcPr>
            <w:tcW w:w="2360" w:type="dxa"/>
            <w:vAlign w:val="bottom"/>
            <w:gridSpan w:val="2"/>
          </w:tcPr>
          <w:p>
            <w:pPr>
              <w:jc w:val="right"/>
              <w:ind w:right="250"/>
              <w:spacing w:after="0"/>
              <w:rPr>
                <w:sz w:val="20"/>
                <w:szCs w:val="20"/>
                <w:color w:val="auto"/>
              </w:rPr>
            </w:pPr>
            <w:r>
              <w:rPr>
                <w:rFonts w:ascii="Times New Roman" w:cs="Times New Roman" w:eastAsia="Times New Roman" w:hAnsi="Times New Roman"/>
                <w:sz w:val="17"/>
                <w:szCs w:val="17"/>
                <w:b w:val="1"/>
                <w:bCs w:val="1"/>
                <w:color w:val="auto"/>
              </w:rPr>
              <w:t>Keefe, Bruyette &amp; Woods,</w:t>
            </w:r>
          </w:p>
        </w:tc>
        <w:tc>
          <w:tcPr>
            <w:tcW w:w="190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Raymond James</w:t>
            </w:r>
          </w:p>
        </w:tc>
        <w:tc>
          <w:tcPr>
            <w:tcW w:w="3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RBC Capital Markets   JMP Securities</w:t>
            </w:r>
          </w:p>
        </w:tc>
      </w:tr>
      <w:tr>
        <w:trPr>
          <w:trHeight w:val="192"/>
        </w:trPr>
        <w:tc>
          <w:tcPr>
            <w:tcW w:w="3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i w:val="1"/>
                <w:iCs w:val="1"/>
                <w:color w:val="auto"/>
              </w:rPr>
              <w:t>A Stifel Company</w:t>
            </w: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3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74930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1" w:lineRule="exact"/>
        <w:rPr>
          <w:sz w:val="24"/>
          <w:szCs w:val="24"/>
          <w:color w:val="auto"/>
        </w:rPr>
      </w:pPr>
    </w:p>
    <w:tbl>
      <w:tblPr>
        <w:tblLayout w:type="fixed"/>
        <w:tblInd w:w="3680" w:type="dxa"/>
        <w:tblCellMar>
          <w:top w:w="0" w:type="dxa"/>
          <w:left w:w="0" w:type="dxa"/>
          <w:bottom w:w="0" w:type="dxa"/>
          <w:right w:w="0" w:type="dxa"/>
        </w:tblCellMar>
      </w:tblPr>
      <w:tr>
        <w:trPr>
          <w:trHeight w:val="190"/>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February</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2021.</w:t>
            </w:r>
          </w:p>
        </w:tc>
      </w:tr>
    </w:tbl>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We have not, and the underwriters have not, authorized anyone to give you any information other than in this prospectus supplement, the accompanying prospectus or any information that we have incorporated by reference herein or therein,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as well as the information incorporated by reference herein or therein, is accurate only as of the date of such documents. Our business, financial condition, results of operations and prospects may have changed since that date. We will update these documents to reflect material changes only as required by law.</w:t>
      </w:r>
    </w:p>
    <w:p>
      <w:pPr>
        <w:spacing w:after="0" w:line="2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SPECIAL NOTE REGARDING FORWARD-LOOKING STATEMENTS</w:t>
              </w:r>
            </w:hyperlink>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560" w:type="dxa"/>
            <w:vAlign w:val="bottom"/>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THE COMPANY</w:t>
              </w:r>
            </w:hyperlink>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THE OFFERING</w:t>
              </w:r>
            </w:hyperlink>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RISK FACTORS</w:t>
              </w:r>
            </w:hyperlink>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FEES AND EXPENSES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USE OF PROCEEDS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CAPITALIZATION</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PRICE RANGE OF COMMON STOCK AND DISTRIBUTIONS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UNDERWRITING</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LEGAL MATTERS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S-24</w:t>
            </w:r>
          </w:p>
        </w:tc>
        <w:tc>
          <w:tcPr>
            <w:tcW w:w="0" w:type="dxa"/>
            <w:vAlign w:val="bottom"/>
          </w:tcPr>
          <w:p>
            <w:pPr>
              <w:spacing w:after="0"/>
              <w:rPr>
                <w:sz w:val="1"/>
                <w:szCs w:val="1"/>
                <w:color w:val="auto"/>
              </w:rPr>
            </w:pPr>
          </w:p>
        </w:tc>
      </w:tr>
      <w:tr>
        <w:trPr>
          <w:trHeight w:val="234"/>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INFORMATION INCORPORATED BY REFERENCE</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S-25</w:t>
            </w:r>
          </w:p>
        </w:tc>
        <w:tc>
          <w:tcPr>
            <w:tcW w:w="0" w:type="dxa"/>
            <w:vAlign w:val="bottom"/>
          </w:tcPr>
          <w:p>
            <w:pPr>
              <w:spacing w:after="0"/>
              <w:rPr>
                <w:sz w:val="1"/>
                <w:szCs w:val="1"/>
                <w:color w:val="auto"/>
              </w:rPr>
            </w:pPr>
          </w:p>
        </w:tc>
      </w:tr>
      <w:tr>
        <w:trPr>
          <w:trHeight w:val="540"/>
        </w:trPr>
        <w:tc>
          <w:tcPr>
            <w:tcW w:w="10560" w:type="dxa"/>
            <w:vAlign w:val="bottom"/>
          </w:tcPr>
          <w:p>
            <w:pPr>
              <w:ind w:left="50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56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ABOUT THIS PROSPECTUS</w:t>
              </w:r>
            </w:hyperlink>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10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iii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SUMMARY</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THE OFFERING</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FEES AND EXPENSES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SELECTED FINANCIAL DATA AND OTHER INFORMATION</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SELECTED QUARTERLY FINANCIAL DATA</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RISK FACTORS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SPECIAL NOTE REGARDING FORWARD-LOOKING STATEMENTS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USE OF PROCEEDS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PRICE RANGE OF COMMON STOCK AND DISTRIBUTIONS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SENIOR SECURITIES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THE COMPANY</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PORTFOLIO COMPANIES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MANAGEMENT</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MANAGEMENT AND OTHER AGREEMENTS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RELATED-PARTY TRANSACTIONS AND CERTAIN RELATIONSHIPS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CONTROL PERSONS AND PRINCIPAL STOCKHOLDERS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4"/>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DETERMINATION OF NET ASSET VALUE</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20"/>
          </w:cols>
          <w:pgMar w:left="320" w:top="455" w:right="4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SALES OF COMMON STOCK BELOW NET ASSET VALUE</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1066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DIVIDEND REINVESTMENT PLAN</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MATERIAL U.S. FEDERAL INCOME TAX CONSIDERATIONS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DESCRIPTION OF OUR SECURITIES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DESCRIPTION OF OUR CAPITAL STOCK</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97">
              <w:r>
                <w:rPr>
                  <w:rFonts w:ascii="Times New Roman" w:cs="Times New Roman" w:eastAsia="Times New Roman" w:hAnsi="Times New Roman"/>
                  <w:sz w:val="18"/>
                  <w:szCs w:val="18"/>
                  <w:u w:val="single" w:color="auto"/>
                  <w:color w:val="0000EE"/>
                </w:rPr>
                <w:t>DESCRIPTION OF OUR PREFERRED STOCK</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DESCRIPTION OF OUR SUBSCRIPTION RIGHTS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DESCRIPTION OF OUR WARRANTS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03">
              <w:r>
                <w:rPr>
                  <w:rFonts w:ascii="Times New Roman" w:cs="Times New Roman" w:eastAsia="Times New Roman" w:hAnsi="Times New Roman"/>
                  <w:sz w:val="18"/>
                  <w:szCs w:val="18"/>
                  <w:u w:val="single" w:color="auto"/>
                  <w:color w:val="0000EE"/>
                </w:rPr>
                <w:t>DESCRIPTION OF OUR DEBT SECURITIES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16">
              <w:r>
                <w:rPr>
                  <w:rFonts w:ascii="Times New Roman" w:cs="Times New Roman" w:eastAsia="Times New Roman" w:hAnsi="Times New Roman"/>
                  <w:sz w:val="18"/>
                  <w:szCs w:val="18"/>
                  <w:u w:val="single" w:color="auto"/>
                  <w:color w:val="0000EE"/>
                </w:rPr>
                <w:t>SHARES ELIGIBLE FOR FUTURE SALE</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REGULATION</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CUSTODIAN, TRANSFER AND DIVIDEND PAYING AGENT AND REGISTRAR</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BROKERAGE ALLOCATION AND OTHER PRACTICES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19">
              <w:r>
                <w:rPr>
                  <w:rFonts w:ascii="Times New Roman" w:cs="Times New Roman" w:eastAsia="Times New Roman" w:hAnsi="Times New Roman"/>
                  <w:sz w:val="18"/>
                  <w:szCs w:val="18"/>
                  <w:u w:val="single" w:color="auto"/>
                  <w:color w:val="0000EE"/>
                </w:rPr>
                <w:t>PLAN OF DISTRIBUTION</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LEGAL MATTERS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EXPERTS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AVAILABLE INFORMATION</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4"/>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22">
              <w:r>
                <w:rPr>
                  <w:rFonts w:ascii="Times New Roman" w:cs="Times New Roman" w:eastAsia="Times New Roman" w:hAnsi="Times New Roman"/>
                  <w:sz w:val="18"/>
                  <w:szCs w:val="18"/>
                  <w:u w:val="single" w:color="auto"/>
                  <w:color w:val="0000EE"/>
                </w:rPr>
                <w:t>INFORMATION INCORPORATED BY REFERENCE</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80"/>
          </w:cols>
          <w:pgMar w:left="320" w:top="455" w:right="4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9"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supplement, the accompanying prospectus and the documents incorporated by reference herein or therein, the following factors, among others, could cause actual results to differ materially from forward-looking statements or historical performance:</w:t>
      </w:r>
    </w:p>
    <w:p>
      <w:pPr>
        <w:spacing w:after="0" w:line="81" w:lineRule="exact"/>
        <w:rPr>
          <w:sz w:val="20"/>
          <w:szCs w:val="20"/>
          <w:color w:val="auto"/>
        </w:rPr>
      </w:pPr>
    </w:p>
    <w:p>
      <w:pPr>
        <w:ind w:left="1080" w:right="320" w:hanging="424"/>
        <w:spacing w:after="0" w:line="312" w:lineRule="auto"/>
        <w:tabs>
          <w:tab w:leader="none" w:pos="10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economic downturn, including the current and future economic effects of the COVID-19 pandemic, could impair our portfolio companies’ abilities to continue to operate, which could lead to the loss of some or all of our investments in those portfolio companies;</w:t>
      </w:r>
    </w:p>
    <w:p>
      <w:pPr>
        <w:spacing w:after="0" w:line="45" w:lineRule="exact"/>
        <w:rPr>
          <w:rFonts w:ascii="Times New Roman" w:cs="Times New Roman" w:eastAsia="Times New Roman" w:hAnsi="Times New Roman"/>
          <w:sz w:val="17"/>
          <w:szCs w:val="17"/>
          <w:color w:val="auto"/>
        </w:rPr>
      </w:pPr>
    </w:p>
    <w:p>
      <w:pPr>
        <w:jc w:val="both"/>
        <w:ind w:left="1080" w:right="14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prospectus supplement, the accompanying prospectus and in Part I, Item 1A of our 2020 Annual Report, any subsequent Quarterly Reports on Form 10-Q or Current Reports on Form 8-K we file after the date of this prospectus supplement, and those discussed in other documents we file with the SEC.</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in this prospectus supplement, the accompanying prospectus and in Part I, Item 1A of our 2020 Annual Report, any subsequent Quarterly Reports on Form 10-Q or Current Reports on Form 8-K we file after the date of this prospectus supplement, and those discussed in other documents we file with the SEC and elsewhere in this prospectus supplement, the accompanying prospectus and the documents incorporated by reference herein or therein. You should not place undue reliance on these forward-looking statements, which apply only as of the date of this prospectus supplement. We do not undertake any obligation to update or revise any forward-looking statements or any other information contained herein or therein, except as required by applicable law.</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44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left="300" w:right="120" w:firstLine="426"/>
        <w:spacing w:after="0" w:line="275" w:lineRule="auto"/>
        <w:rPr>
          <w:sz w:val="20"/>
          <w:szCs w:val="20"/>
          <w:color w:val="auto"/>
        </w:rPr>
      </w:pPr>
      <w:r>
        <w:rPr>
          <w:rFonts w:ascii="Times New Roman" w:cs="Times New Roman" w:eastAsia="Times New Roman" w:hAnsi="Times New Roman"/>
          <w:sz w:val="17"/>
          <w:szCs w:val="17"/>
          <w:i w:val="1"/>
          <w:iCs w:val="1"/>
          <w:color w:val="auto"/>
        </w:rPr>
        <w:t>This summary highlights some of the information contained elsewhere or incorporated by reference in this prospectus supplement and the accompanying prospectus. It is not complete and may not contain all of the information that you may want to consider. You should read this entire prospectus supplement, the accompanying prospectus, any free writing prospectus relating to this offering and the documents incorporated by reference in this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or incorporated by reference in this prospectus supplement and the accompanying prospectus.</w:t>
      </w:r>
    </w:p>
    <w:p>
      <w:pPr>
        <w:spacing w:after="0" w:line="2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As used in the prospectus supplement and the accompanying prospectus, except where the context suggests otherwise, references to:</w:t>
      </w:r>
    </w:p>
    <w:p>
      <w:pPr>
        <w:spacing w:after="0" w:line="131" w:lineRule="exact"/>
        <w:rPr>
          <w:sz w:val="20"/>
          <w:szCs w:val="20"/>
          <w:color w:val="auto"/>
        </w:rPr>
      </w:pPr>
    </w:p>
    <w:p>
      <w:pPr>
        <w:ind w:left="1240" w:right="180" w:hanging="415"/>
        <w:spacing w:after="0" w:line="284"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“TSLX,” “Sixth Street Specialty Lending,” “we,” “us,” “our,” the “Company,” and the “Registrant” refer to Sixth Street Specialty Lending, Inc., a Delaware corporation, and its consolidated subsidiaries;</w:t>
      </w:r>
    </w:p>
    <w:p>
      <w:pPr>
        <w:spacing w:after="0" w:line="63" w:lineRule="exact"/>
        <w:rPr>
          <w:rFonts w:ascii="Times New Roman" w:cs="Times New Roman" w:eastAsia="Times New Roman" w:hAnsi="Times New Roman"/>
          <w:sz w:val="18"/>
          <w:szCs w:val="18"/>
          <w:color w:val="auto"/>
        </w:rPr>
      </w:pPr>
    </w:p>
    <w:p>
      <w:pPr>
        <w:ind w:left="1240" w:hanging="415"/>
        <w:spacing w:after="0" w:line="267"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consolidated subsidiaries of Sixth Street Specialty Lending, Inc. refers to TC Lending, LLC, Sixth Street SL SPV, LLC, Sixth Street SL Holding, LLC, each a Delaware limited liability company, and Sixth Street Specialty Lending Sub, LLC, a limited liability company incorporated under the laws of the Cayman Islands;</w:t>
      </w:r>
    </w:p>
    <w:p>
      <w:pPr>
        <w:spacing w:after="0" w:line="78"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“Adviser” refers to Sixth Street Specialty Lending Advisers, LLC, a Delaware limited liability company;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“Sixth Street” refers to Sixth Street Partners, LLC together with its affiliates.</w:t>
      </w:r>
    </w:p>
    <w:p>
      <w:pPr>
        <w:spacing w:after="0" w:line="333" w:lineRule="exact"/>
        <w:rPr>
          <w:sz w:val="20"/>
          <w:szCs w:val="20"/>
          <w:color w:val="auto"/>
        </w:rPr>
      </w:pPr>
    </w:p>
    <w:p>
      <w:pPr>
        <w:ind w:left="300" w:right="4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Sixth Street Specialty Lending</w:t>
      </w:r>
    </w:p>
    <w:p>
      <w:pPr>
        <w:spacing w:after="0" w:line="121"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December 31, 2020, we have originated more than $15.8 billion aggregate principal amount of investments and retained approximately $7.2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83"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2020, our core portfolio companies, which excludes certain investments that fall outside of our typical borrower profile and represent 87.1% of our total investments based on fair value, had weighted average annual revenue of $116.6 million and weighted average annual EBITDA of $40.9 million.</w:t>
      </w:r>
    </w:p>
    <w:p>
      <w:pPr>
        <w:spacing w:after="0" w:line="183"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84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firstLine="426"/>
        <w:spacing w:after="0" w:line="312" w:lineRule="auto"/>
        <w:rPr>
          <w:sz w:val="20"/>
          <w:szCs w:val="20"/>
          <w:color w:val="auto"/>
        </w:rPr>
      </w:pPr>
      <w:r>
        <w:rPr>
          <w:rFonts w:ascii="Times New Roman" w:cs="Times New Roman" w:eastAsia="Times New Roman" w:hAnsi="Times New Roman"/>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21"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w:t>
      </w:r>
    </w:p>
    <w:p>
      <w:pPr>
        <w:spacing w:after="0" w:line="16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3"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As of December 31, 2020, our portfolio based on fair value consisted of 95.6% first-lien debt investments, 0.2% second-lien debt investments, 0.5% mezzanine debt investments, and 3.7% equity and other investments. As of December 31, 2020, 99.1% of our debt investments based on fair value bore interest at floating rates (when including investment specific hedges), with 99.2% of these subject to interest rate floors, which we believe helps act as a portfolio-wide hedge against inflation.</w:t>
      </w:r>
    </w:p>
    <w:p>
      <w:pPr>
        <w:spacing w:after="0" w:line="180"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As of December 31, 2020 and December 31, 2019, we had investments in 70 and 63 portfolio companies, respectively, with an aggregate fair value of $2,298.9 million and $2,245.9 million, respectively.</w:t>
      </w:r>
    </w:p>
    <w:p>
      <w:pPr>
        <w:spacing w:after="0" w:line="162"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the principal amount of new investments funded was $939.0 million in 31 new portfolio companies and 27 existing portfolio companies. For this period, we had $941.3 million aggregate principal amount in exits and repayments.</w:t>
      </w:r>
    </w:p>
    <w:p>
      <w:pPr>
        <w:spacing w:after="0" w:line="162"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2019, the principal amount of new investments funded was $1,087.6 million in 32 new portfolio companies and 14 existing portfolio companies. For this period, we had $575.2 million aggregate principal amount in exits and repayments.</w:t>
      </w:r>
    </w:p>
    <w:p>
      <w:pPr>
        <w:spacing w:after="0" w:line="162" w:lineRule="exact"/>
        <w:rPr>
          <w:sz w:val="20"/>
          <w:szCs w:val="20"/>
          <w:color w:val="auto"/>
        </w:rPr>
      </w:pPr>
    </w:p>
    <w:p>
      <w:pPr>
        <w:ind w:left="300" w:right="300" w:firstLine="426"/>
        <w:spacing w:after="0" w:line="266" w:lineRule="auto"/>
        <w:rPr>
          <w:sz w:val="20"/>
          <w:szCs w:val="20"/>
          <w:color w:val="auto"/>
        </w:rPr>
      </w:pPr>
      <w:r>
        <w:rPr>
          <w:rFonts w:ascii="Times New Roman" w:cs="Times New Roman" w:eastAsia="Times New Roman" w:hAnsi="Times New Roman"/>
          <w:sz w:val="18"/>
          <w:szCs w:val="18"/>
          <w:color w:val="auto"/>
        </w:rPr>
        <w:t>As of December 31, 2020, the largest single investment based on fair value represented 3.7% of our total investment portfolio. As of December 31, 2020, the average investment size in each of our portfolio companies was approximately $32.8 million based on fair value. As of December 31, 2020, the largest industry represented 22.2% of our total investment portfolio based on fair value.</w:t>
      </w:r>
    </w:p>
    <w:p>
      <w:pPr>
        <w:spacing w:after="0" w:line="176"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Since we began investing in 2011 through December 31, 2020, weighted by capital invested, our exited investments have generated an average realized gross internal rate of return to us of 19.2% (based on total capital invested of $4.9 billion and total proceeds from these exited investments of $6.2 billion). Ninety-one percent of these exited investments resulted in a realized gross internal rate of return to us of 10% or greater. For a description of how we calculate gross internal rates of return, see “Management’s Discussion and Analysis of Financial Condition and Results of Operations—Results of Operations—Realized Gross Internal Rate of Return” in Part II, Item 7 of our 2020 Annual Report, which is incorporated herein by reference.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Sixth Street Specialty Lending, Inc. is a Delaware corporation formed on July 21, 2010. Sixth Street Specialty Advisers, LLC is our external manager.</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36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2020 Annual Report, which is incorporated by reference in the accompanying prospectus, for more information on these requirements.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left="300" w:right="580" w:firstLine="426"/>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62"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The members of our Investment Review Committee are Joshua Easterly, Michael Fishman, Alan Waxman, Robert “Bo” Stanley and David Stiepleman.</w:t>
      </w:r>
    </w:p>
    <w:p>
      <w:pPr>
        <w:spacing w:after="0" w:line="187"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Sixth Street is a global investment firm with over $50 billion in assets under management and committed capital.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a “public-side” credit investment platform focused on investment opportunities in broadly syndicated leveraged loan markets, and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315 investment and operating professionals. As of December 31, 2020, thirty-two (32) of these personnel are dedicated to our business, including twenty-four (24) investment professionals.</w:t>
      </w:r>
    </w:p>
    <w:p>
      <w:pPr>
        <w:spacing w:after="0" w:line="192"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2100 McKinney Avenue, Suite 1500, Dallas, Texas 75201 and our telephone number is (469) 621-3001. Our corporate website is located at http://www.sixthstreetspecialtylending.com. Information on our website is not incorporated into or a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20"/>
          </w:cols>
          <w:pgMar w:left="320" w:top="455" w:right="6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44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6445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2300" w:type="dxa"/>
            <w:vAlign w:val="bottom"/>
          </w:tcPr>
          <w:p>
            <w:pPr>
              <w:spacing w:after="0"/>
              <w:rPr>
                <w:sz w:val="20"/>
                <w:szCs w:val="20"/>
                <w:color w:val="auto"/>
              </w:rPr>
            </w:pPr>
          </w:p>
        </w:tc>
      </w:tr>
      <w:tr>
        <w:trPr>
          <w:trHeight w:val="441"/>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6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4,000,000 shares, or 4,600,000 shares if the underwriters exercise their option to purchase</w:t>
            </w:r>
          </w:p>
        </w:tc>
      </w:tr>
      <w:tr>
        <w:trPr>
          <w:trHeight w:val="234"/>
        </w:trPr>
        <w:tc>
          <w:tcPr>
            <w:tcW w:w="3880" w:type="dxa"/>
            <w:vAlign w:val="bottom"/>
          </w:tcPr>
          <w:p>
            <w:pPr>
              <w:spacing w:after="0"/>
              <w:rPr>
                <w:sz w:val="20"/>
                <w:szCs w:val="20"/>
                <w:color w:val="auto"/>
              </w:rPr>
            </w:pP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additional shares in full.</w:t>
            </w:r>
          </w:p>
        </w:tc>
        <w:tc>
          <w:tcPr>
            <w:tcW w:w="2300" w:type="dxa"/>
            <w:vAlign w:val="bottom"/>
          </w:tcPr>
          <w:p>
            <w:pPr>
              <w:spacing w:after="0"/>
              <w:rPr>
                <w:sz w:val="20"/>
                <w:szCs w:val="20"/>
                <w:color w:val="auto"/>
              </w:rPr>
            </w:pPr>
          </w:p>
        </w:tc>
      </w:tr>
      <w:tr>
        <w:trPr>
          <w:trHeight w:val="459"/>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outstanding prior to this offering</w:t>
            </w: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67,209,078 shares.</w:t>
            </w:r>
          </w:p>
        </w:tc>
        <w:tc>
          <w:tcPr>
            <w:tcW w:w="2300" w:type="dxa"/>
            <w:vAlign w:val="bottom"/>
          </w:tcPr>
          <w:p>
            <w:pPr>
              <w:spacing w:after="0"/>
              <w:rPr>
                <w:sz w:val="24"/>
                <w:szCs w:val="24"/>
                <w:color w:val="auto"/>
              </w:rPr>
            </w:pPr>
          </w:p>
        </w:tc>
      </w:tr>
      <w:tr>
        <w:trPr>
          <w:trHeight w:val="454"/>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outstanding after this offering</w:t>
            </w:r>
          </w:p>
        </w:tc>
        <w:tc>
          <w:tcPr>
            <w:tcW w:w="6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71,209,078 shares, or 71,809,078 shares if the underwriters exercise their option to</w:t>
            </w:r>
          </w:p>
        </w:tc>
      </w:tr>
      <w:tr>
        <w:trPr>
          <w:trHeight w:val="234"/>
        </w:trPr>
        <w:tc>
          <w:tcPr>
            <w:tcW w:w="3880" w:type="dxa"/>
            <w:vAlign w:val="bottom"/>
          </w:tcPr>
          <w:p>
            <w:pPr>
              <w:spacing w:after="0"/>
              <w:rPr>
                <w:sz w:val="20"/>
                <w:szCs w:val="20"/>
                <w:color w:val="auto"/>
              </w:rPr>
            </w:pP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 additional shares in full.</w:t>
            </w:r>
          </w:p>
        </w:tc>
        <w:tc>
          <w:tcPr>
            <w:tcW w:w="2300" w:type="dxa"/>
            <w:vAlign w:val="bottom"/>
          </w:tcPr>
          <w:p>
            <w:pPr>
              <w:spacing w:after="0"/>
              <w:rPr>
                <w:sz w:val="20"/>
                <w:szCs w:val="20"/>
                <w:color w:val="auto"/>
              </w:rPr>
            </w:pPr>
          </w:p>
        </w:tc>
      </w:tr>
      <w:tr>
        <w:trPr>
          <w:trHeight w:val="441"/>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We estimate that the net proceeds we will receive from the sale of 4,000,000 shares of our</w:t>
            </w:r>
          </w:p>
        </w:tc>
      </w:tr>
      <w:tr>
        <w:trPr>
          <w:trHeight w:val="216"/>
        </w:trPr>
        <w:tc>
          <w:tcPr>
            <w:tcW w:w="388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stock in this offering will be approximately $</w:t>
            </w:r>
          </w:p>
        </w:tc>
        <w:tc>
          <w:tcPr>
            <w:tcW w:w="2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million (or approximately</w:t>
            </w:r>
          </w:p>
        </w:tc>
      </w:tr>
      <w:tr>
        <w:trPr>
          <w:trHeight w:val="216"/>
        </w:trPr>
        <w:tc>
          <w:tcPr>
            <w:tcW w:w="3880" w:type="dxa"/>
            <w:vAlign w:val="bottom"/>
          </w:tcPr>
          <w:p>
            <w:pPr>
              <w:spacing w:after="0"/>
              <w:rPr>
                <w:sz w:val="18"/>
                <w:szCs w:val="18"/>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million if the underwriters fully exercise their option to purchase additional</w:t>
            </w:r>
          </w:p>
        </w:tc>
      </w:tr>
      <w:tr>
        <w:trPr>
          <w:trHeight w:val="216"/>
        </w:trPr>
        <w:tc>
          <w:tcPr>
            <w:tcW w:w="3880" w:type="dxa"/>
            <w:vAlign w:val="bottom"/>
          </w:tcPr>
          <w:p>
            <w:pPr>
              <w:spacing w:after="0"/>
              <w:rPr>
                <w:sz w:val="18"/>
                <w:szCs w:val="18"/>
                <w:color w:val="auto"/>
              </w:rPr>
            </w:pPr>
          </w:p>
        </w:tc>
        <w:tc>
          <w:tcPr>
            <w:tcW w:w="6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shares), in each case after deducting the underwriting discounts and commissions and</w:t>
            </w:r>
          </w:p>
        </w:tc>
      </w:tr>
      <w:tr>
        <w:trPr>
          <w:trHeight w:val="234"/>
        </w:trPr>
        <w:tc>
          <w:tcPr>
            <w:tcW w:w="3880" w:type="dxa"/>
            <w:vAlign w:val="bottom"/>
          </w:tcPr>
          <w:p>
            <w:pPr>
              <w:spacing w:after="0"/>
              <w:rPr>
                <w:sz w:val="20"/>
                <w:szCs w:val="20"/>
                <w:color w:val="auto"/>
              </w:rPr>
            </w:pP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estimated offering expenses payable by us.</w:t>
            </w:r>
          </w:p>
        </w:tc>
        <w:tc>
          <w:tcPr>
            <w:tcW w:w="2300" w:type="dxa"/>
            <w:vAlign w:val="bottom"/>
          </w:tcPr>
          <w:p>
            <w:pPr>
              <w:spacing w:after="0"/>
              <w:rPr>
                <w:sz w:val="20"/>
                <w:szCs w:val="20"/>
                <w:color w:val="auto"/>
              </w:rPr>
            </w:pPr>
          </w:p>
        </w:tc>
      </w:tr>
      <w:tr>
        <w:trPr>
          <w:trHeight w:val="441"/>
        </w:trPr>
        <w:tc>
          <w:tcPr>
            <w:tcW w:w="3880" w:type="dxa"/>
            <w:vAlign w:val="bottom"/>
          </w:tcPr>
          <w:p>
            <w:pPr>
              <w:spacing w:after="0"/>
              <w:rPr>
                <w:sz w:val="24"/>
                <w:szCs w:val="24"/>
                <w:color w:val="auto"/>
              </w:rPr>
            </w:pPr>
          </w:p>
        </w:tc>
        <w:tc>
          <w:tcPr>
            <w:tcW w:w="6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We intend to use 100% of the net proceeds of this offering to pay down a portion of the</w:t>
            </w:r>
          </w:p>
        </w:tc>
      </w:tr>
      <w:tr>
        <w:trPr>
          <w:trHeight w:val="216"/>
        </w:trPr>
        <w:tc>
          <w:tcPr>
            <w:tcW w:w="3880" w:type="dxa"/>
            <w:vAlign w:val="bottom"/>
          </w:tcPr>
          <w:p>
            <w:pPr>
              <w:spacing w:after="0"/>
              <w:rPr>
                <w:sz w:val="18"/>
                <w:szCs w:val="18"/>
                <w:color w:val="auto"/>
              </w:rPr>
            </w:pPr>
          </w:p>
        </w:tc>
        <w:tc>
          <w:tcPr>
            <w:tcW w:w="6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outstanding indebtedness on the Revolving Credit Facility on or about the date of the</w:t>
            </w:r>
          </w:p>
        </w:tc>
      </w:tr>
      <w:tr>
        <w:trPr>
          <w:trHeight w:val="216"/>
        </w:trPr>
        <w:tc>
          <w:tcPr>
            <w:tcW w:w="3880" w:type="dxa"/>
            <w:vAlign w:val="bottom"/>
          </w:tcPr>
          <w:p>
            <w:pPr>
              <w:spacing w:after="0"/>
              <w:rPr>
                <w:sz w:val="18"/>
                <w:szCs w:val="18"/>
                <w:color w:val="auto"/>
              </w:rPr>
            </w:pPr>
          </w:p>
        </w:tc>
        <w:tc>
          <w:tcPr>
            <w:tcW w:w="6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closing of this offering. However, through reborrowing under the Revolving Credit</w:t>
            </w:r>
          </w:p>
        </w:tc>
      </w:tr>
      <w:tr>
        <w:trPr>
          <w:trHeight w:val="216"/>
        </w:trPr>
        <w:tc>
          <w:tcPr>
            <w:tcW w:w="3880" w:type="dxa"/>
            <w:vAlign w:val="bottom"/>
          </w:tcPr>
          <w:p>
            <w:pPr>
              <w:spacing w:after="0"/>
              <w:rPr>
                <w:sz w:val="18"/>
                <w:szCs w:val="18"/>
                <w:color w:val="auto"/>
              </w:rPr>
            </w:pPr>
          </w:p>
        </w:tc>
        <w:tc>
          <w:tcPr>
            <w:tcW w:w="6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Facility, we intend to make new investments in accordance with our investment objective</w:t>
            </w:r>
          </w:p>
        </w:tc>
      </w:tr>
      <w:tr>
        <w:trPr>
          <w:trHeight w:val="234"/>
        </w:trPr>
        <w:tc>
          <w:tcPr>
            <w:tcW w:w="3880" w:type="dxa"/>
            <w:vAlign w:val="bottom"/>
          </w:tcPr>
          <w:p>
            <w:pPr>
              <w:spacing w:after="0"/>
              <w:rPr>
                <w:sz w:val="20"/>
                <w:szCs w:val="20"/>
                <w:color w:val="auto"/>
              </w:rPr>
            </w:pPr>
          </w:p>
        </w:tc>
        <w:tc>
          <w:tcPr>
            <w:tcW w:w="6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and strategies described in this prospectus supplement and the accompanying prospectus.</w:t>
            </w:r>
          </w:p>
        </w:tc>
      </w:tr>
      <w:tr>
        <w:trPr>
          <w:trHeight w:val="459"/>
        </w:trPr>
        <w:tc>
          <w:tcPr>
            <w:tcW w:w="3880" w:type="dxa"/>
            <w:vAlign w:val="bottom"/>
          </w:tcPr>
          <w:p>
            <w:pPr>
              <w:spacing w:after="0"/>
              <w:rPr>
                <w:sz w:val="24"/>
                <w:szCs w:val="24"/>
                <w:color w:val="auto"/>
              </w:rPr>
            </w:pP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See “Use of Proceeds.”</w:t>
            </w:r>
          </w:p>
        </w:tc>
        <w:tc>
          <w:tcPr>
            <w:tcW w:w="2300" w:type="dxa"/>
            <w:vAlign w:val="bottom"/>
          </w:tcPr>
          <w:p>
            <w:pPr>
              <w:spacing w:after="0"/>
              <w:rPr>
                <w:sz w:val="24"/>
                <w:szCs w:val="24"/>
                <w:color w:val="auto"/>
              </w:rPr>
            </w:pPr>
          </w:p>
        </w:tc>
      </w:tr>
      <w:tr>
        <w:trPr>
          <w:trHeight w:val="441"/>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6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9"/>
              </w:rPr>
              <w:t>To the extent we have earnings available for distribution, we expect to continue distributing</w:t>
            </w:r>
          </w:p>
        </w:tc>
      </w:tr>
      <w:tr>
        <w:trPr>
          <w:trHeight w:val="234"/>
        </w:trPr>
        <w:tc>
          <w:tcPr>
            <w:tcW w:w="3880" w:type="dxa"/>
            <w:vAlign w:val="bottom"/>
          </w:tcPr>
          <w:p>
            <w:pPr>
              <w:spacing w:after="0"/>
              <w:rPr>
                <w:sz w:val="20"/>
                <w:szCs w:val="20"/>
                <w:color w:val="auto"/>
              </w:rPr>
            </w:pPr>
          </w:p>
        </w:tc>
        <w:tc>
          <w:tcPr>
            <w:tcW w:w="6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quarterly dividends to our stockholders. The specific tax characteristics of our distributions</w:t>
            </w:r>
          </w:p>
        </w:tc>
      </w:tr>
    </w:tbl>
    <w:p>
      <w:pPr>
        <w:ind w:left="4340" w:right="240"/>
        <w:spacing w:after="0" w:line="255" w:lineRule="auto"/>
        <w:rPr>
          <w:sz w:val="20"/>
          <w:szCs w:val="20"/>
          <w:color w:val="auto"/>
        </w:rPr>
      </w:pPr>
      <w:r>
        <w:rPr>
          <w:rFonts w:ascii="Times New Roman" w:cs="Times New Roman" w:eastAsia="Times New Roman" w:hAnsi="Times New Roman"/>
          <w:sz w:val="18"/>
          <w:szCs w:val="18"/>
          <w:color w:val="auto"/>
        </w:rPr>
        <w:t>will be reported to stockholders after the end of the calendar year. Future quarterly dividends, if any, will be determined by our Board. See “Price Range of Common Stock and Distributions” in this prospectus supplement.</w:t>
      </w:r>
    </w:p>
    <w:p>
      <w:pPr>
        <w:spacing w:after="0" w:line="213" w:lineRule="exact"/>
        <w:rPr>
          <w:sz w:val="20"/>
          <w:szCs w:val="20"/>
          <w:color w:val="auto"/>
        </w:rPr>
      </w:pPr>
    </w:p>
    <w:p>
      <w:pPr>
        <w:ind w:left="4340" w:right="80"/>
        <w:spacing w:after="0" w:line="254" w:lineRule="auto"/>
        <w:rPr>
          <w:sz w:val="20"/>
          <w:szCs w:val="20"/>
          <w:color w:val="auto"/>
        </w:rPr>
      </w:pPr>
      <w:r>
        <w:rPr>
          <w:rFonts w:ascii="Times New Roman" w:cs="Times New Roman" w:eastAsia="Times New Roman" w:hAnsi="Times New Roman"/>
          <w:sz w:val="18"/>
          <w:szCs w:val="18"/>
          <w:color w:val="auto"/>
        </w:rPr>
        <w:t>On February 17, 2021, our Board declared a first quarter 2021 base dividend of $0.41 per share for stockholders of record as of March 15, 2021, payable on April 15, 2021. Our Board also declared a special cash dividend per share of $1.25 that will be payable on April 8, 2021 to shareholders of record as of March 25, 2021. In addition, our Board declared a fourth quarter supplemental dividend of $0.05 per share to shareholders of record as of February 26, 2021, payable on March 31, 2021. Investors in this offering who remain holders of record as of the record dates for the base dividend, special dividend and fourth quarter supplemental dividend,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20"/>
          </w:cols>
          <w:pgMar w:left="320" w:top="455" w:right="6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4100" w:type="dxa"/>
            <w:vAlign w:val="bottom"/>
            <w:tcBorders>
              <w:top w:val="single" w:sz="8" w:color="auto"/>
              <w:left w:val="single" w:sz="8" w:color="auto"/>
            </w:tcBorders>
          </w:tcPr>
          <w:p>
            <w:pPr>
              <w:spacing w:after="0"/>
              <w:rPr>
                <w:sz w:val="24"/>
                <w:szCs w:val="24"/>
                <w:color w:val="auto"/>
              </w:rPr>
            </w:pPr>
          </w:p>
        </w:tc>
        <w:tc>
          <w:tcPr>
            <w:tcW w:w="69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respectively, will receive these dividends. We anticipate that these dividends will be paid</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from income generated primarily by interest earned on our investment portfolio.</w:t>
            </w:r>
          </w:p>
        </w:tc>
      </w:tr>
      <w:tr>
        <w:trPr>
          <w:trHeight w:val="454"/>
        </w:trPr>
        <w:tc>
          <w:tcPr>
            <w:tcW w:w="410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 maintain our tax treatment as a RIC, we must make certain distributions. See “Material</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U.S. Federal Income Tax Considerations—Regulated Investment Company Classification”</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 the accompanying prospectus.</w:t>
            </w:r>
          </w:p>
        </w:tc>
      </w:tr>
      <w:tr>
        <w:trPr>
          <w:trHeight w:val="441"/>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Tax considerations are as set forth in the section in the accompanying prospectus entitled</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“Material U.S. Federal Income Tax Considerations,” except that miscellaneous itemized</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deductions generally are not deductible by individuals, trusts or estates for taxable years</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beginning after December 31, 2017 and before January 1, 2026.</w:t>
            </w:r>
          </w:p>
        </w:tc>
      </w:tr>
      <w:tr>
        <w:trPr>
          <w:trHeight w:val="459"/>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Symbol on the New York Stock Exchange</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TSLX</w:t>
            </w:r>
          </w:p>
        </w:tc>
      </w:tr>
      <w:tr>
        <w:trPr>
          <w:trHeight w:val="454"/>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See “Risk Factors” in this prospectus supplement and the accompanying prospectus and</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information in this prospectus supplement and the accompanying prospectus for a</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discussion of factors you should carefully consider before you decide whether to make an</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 in shares of our common stock.</w:t>
            </w:r>
          </w:p>
        </w:tc>
      </w:tr>
      <w:tr>
        <w:trPr>
          <w:trHeight w:val="240"/>
        </w:trPr>
        <w:tc>
          <w:tcPr>
            <w:tcW w:w="4100" w:type="dxa"/>
            <w:vAlign w:val="bottom"/>
            <w:tcBorders>
              <w:left w:val="single" w:sz="8" w:color="auto"/>
              <w:bottom w:val="single" w:sz="8" w:color="auto"/>
            </w:tcBorders>
          </w:tcPr>
          <w:p>
            <w:pPr>
              <w:spacing w:after="0"/>
              <w:rPr>
                <w:sz w:val="20"/>
                <w:szCs w:val="20"/>
                <w:color w:val="auto"/>
              </w:rPr>
            </w:pPr>
          </w:p>
        </w:tc>
        <w:tc>
          <w:tcPr>
            <w:tcW w:w="6920" w:type="dxa"/>
            <w:vAlign w:val="bottom"/>
            <w:tcBorders>
              <w:bottom w:val="single" w:sz="8" w:color="auto"/>
              <w:right w:val="single" w:sz="8" w:color="auto"/>
            </w:tcBorders>
          </w:tcPr>
          <w:p>
            <w:pPr>
              <w:spacing w:after="0"/>
              <w:rPr>
                <w:sz w:val="20"/>
                <w:szCs w:val="20"/>
                <w:color w:val="auto"/>
              </w:rPr>
            </w:pPr>
          </w:p>
        </w:tc>
      </w:tr>
      <w:tr>
        <w:trPr>
          <w:trHeight w:val="604"/>
        </w:trPr>
        <w:tc>
          <w:tcPr>
            <w:tcW w:w="4100" w:type="dxa"/>
            <w:vAlign w:val="bottom"/>
          </w:tcPr>
          <w:p>
            <w:pPr>
              <w:spacing w:after="0"/>
              <w:rPr>
                <w:sz w:val="24"/>
                <w:szCs w:val="24"/>
                <w:color w:val="auto"/>
              </w:rPr>
            </w:pPr>
          </w:p>
        </w:tc>
        <w:tc>
          <w:tcPr>
            <w:tcW w:w="69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0000EE"/>
        </w:rPr>
        <w:t>RISK FACTORS</w:t>
      </w:r>
    </w:p>
    <w:p>
      <w:pPr>
        <w:spacing w:after="0" w:line="227"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number of significant risks. You should carefully consider the risks described in Part I, Item 1A, “Risk Factors,” in our 2020 Annual Report and those set out in the accompanying prospectus before making a decision about investing in our securities. The risks and uncertainties described in Part I, Item 1A, “Risk Factors,” in our 2020 Annual Report and discussed in the accompanying prospectus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investors in our common stock may not receive dividends or that our dividends may not grow over time.</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prospectus supplement.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Times New Roman" w:cs="Times New Roman" w:eastAsia="Times New Roman" w:hAnsi="Times New Roman"/>
          <w:sz w:val="18"/>
          <w:szCs w:val="18"/>
          <w:i w:val="1"/>
          <w:iCs w:val="1"/>
          <w:color w:val="auto"/>
        </w:rPr>
        <w:t>—Risks Related to Our Portfolio Company Investments—There are certain risks associated with holding debt obligations that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original issue discount or payment-in-kind interest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00"/>
          </w:cols>
          <w:pgMar w:left="320" w:top="455" w:right="4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securities may involve a high degree of risk.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fluctuate significantly.</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67" w:lineRule="exact"/>
        <w:rPr>
          <w:sz w:val="20"/>
          <w:szCs w:val="20"/>
          <w:color w:val="auto"/>
        </w:rPr>
      </w:pPr>
    </w:p>
    <w:p>
      <w:pPr>
        <w:ind w:left="1080" w:right="7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tax guidelines, particularly with respect to RICs or BDCs;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RIC or BDC status;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earnings or variations in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portfolio of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the value of our portfolio of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guidelines governing valuation of our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in revenue or net income or any increase in losses from levels expected by investors or securities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downgrades to our credit rating or placement on a negative watch status by a credit rating agency;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the Adviser’s or any of its affiliates’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of companies comparable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short-selling pressure with respect to shares of our common stock or BDCs generally;</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securities convertible into or exchangeable or exercisable for our common stock or the conversion of such securities, including our 2022 Convertible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surrounding the strength of the U.S. economy;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European sovereign debt and Brexit;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volatility in the Chinese stock market and Chinese currency;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U.S. and global tariffs and trade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base interest rates, such as LIBOR, EURIBOR, the Federal Funds Rate or the Prime 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epidemics on the global economy, such as the COVID-19 pandemic and its worldwide impact;</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60"/>
          </w:cols>
          <w:pgMar w:left="320" w:top="455" w:right="51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other external factors;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funding source.</w:t>
      </w:r>
    </w:p>
    <w:p>
      <w:pPr>
        <w:spacing w:after="0" w:line="22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the market price of shares of our common stock will not decline.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 See</w:t>
      </w:r>
      <w:r>
        <w:rPr>
          <w:rFonts w:ascii="Times New Roman" w:cs="Times New Roman" w:eastAsia="Times New Roman" w:hAnsi="Times New Roman"/>
          <w:sz w:val="18"/>
          <w:szCs w:val="18"/>
          <w:i w:val="1"/>
          <w:iCs w:val="1"/>
          <w:color w:val="auto"/>
        </w:rPr>
        <w:t>“—Risks Related to Our Business and Structure—Regulations governing our operation as a BDC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affect our ability to, and the way in which we, raise additional capital.”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 may have an adverse effect on the market price of our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Sales of substantial amounts of our common stock, the availability of such common stock for sale (including as a result of the conversion of our</w:t>
      </w:r>
    </w:p>
    <w:p>
      <w:pPr>
        <w:spacing w:after="0" w:line="27"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2022 Convertible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experience dilution upon the conversion of the 2022 Convertible Notes.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2022 Convertible Notes are convertible into shares of our common stock beginning on February 1, 2022, or earlier, under certain circumstances. Upon conversion of our 2022 Convertible Notes, we have the choice to pay or deliver, as the case may be, at our election, cash, shares of our common stock or a combination of cash and shares of our common stock. The estimated adjusted conversion price of the 2022 Convertible Notes is $19.80 per share, in each case taking into account certain de minimis adjustments that will be made on the conversion date and subject to further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2022 Convertible Notes and any dividends paid on our common stock will also be paid on shares issued in connection with such conversion after such issuance.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will experience dilution in their ownership percentage if they opt out of our dividend reinvestment plan.</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have adopted a dividend reinvestment plan, pursuant to which we will reinvest all cash dividends and distributions declared by the Board on behalf of investors who do not elect to receive their dividends in cash. 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w:t>
      </w:r>
      <w:r>
        <w:rPr>
          <w:rFonts w:ascii="Times New Roman" w:cs="Times New Roman" w:eastAsia="Times New Roman" w:hAnsi="Times New Roman"/>
          <w:sz w:val="18"/>
          <w:szCs w:val="18"/>
          <w:i w:val="1"/>
          <w:iCs w:val="1"/>
          <w:color w:val="auto"/>
        </w:rPr>
        <w:t>“ITEM 1. BUSINESS—Dividend Policy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1. BUSINESS—Dividend Reinvestment Plan</w:t>
      </w:r>
      <w:r>
        <w:rPr>
          <w:rFonts w:ascii="Times New Roman" w:cs="Times New Roman" w:eastAsia="Times New Roman" w:hAnsi="Times New Roman"/>
          <w:sz w:val="18"/>
          <w:szCs w:val="18"/>
          <w:color w:val="auto"/>
        </w:rPr>
        <w:t>” of our 2020 Annual Report for a description of our dividend policy and obligations.</w:t>
      </w:r>
    </w:p>
    <w:p>
      <w:pPr>
        <w:spacing w:after="0" w:line="18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9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entered into an agreement with Goldman Sachs &amp; Co. LLC, which we refer to as the Company 10b5-1 Plan, in accordance with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Rules 10b5-1 and 10b-18 under the Exchange Act, under which Goldman Sachs &amp; Co. LLC, as agent for us, will buy up to $50 million of our common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in the aggregate during the period ending on the earlier of the date on which all the capital committed to the plan has been exhausted or May 31,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Purchases of our common stock by us under the Company 10b5-1 Plan may result in dilution to our net asset value per share.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August 4, 2015, the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4, 2020. Under the Company 10b5-1 Plan, the agent will increase the volume of purchases made as the price of our common stock declines, subject to volume restrictions.</w:t>
      </w:r>
    </w:p>
    <w:p>
      <w:pPr>
        <w:spacing w:after="0" w:line="180" w:lineRule="exact"/>
        <w:rPr>
          <w:sz w:val="20"/>
          <w:szCs w:val="20"/>
          <w:color w:val="auto"/>
        </w:rPr>
      </w:pPr>
    </w:p>
    <w:p>
      <w:pPr>
        <w:jc w:val="both"/>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 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that an investor in our common stock will bear directly or indirectly in the twelve months after the date of this prospectus supplement, based on the assumptions set forth below. We caution you that some of the percentages indicated in the table below are estimates and may vary. The following table should not be considered a representation of our future expenses, which may be greater or less than shown. The offering expenses shown assume that we issue 4,000,000 shares of common stock in the offering at the February 17, 2021 closing price of $21.72 and that the underwriters do not exercise their option to purchase any additional shares. Future expenses will depend on many factors, including our use of leverage, which may vary periodically depending on market conditions, our portfolio composition and our Adviser’s assessment of risks and returns. However, our total borrowings are limited so that we may not incur any additional leverage if doing so would cause our asset coverage ratio to fall below 200%, as defined in the 1940 Act. Except where the context suggests otherwise, whenever this prospectus supplement or the accompanying prospectus contains a reference to fees or expenses paid by “us,” the “Company” or “TPG Specialty Lending, Inc.” or says that “we” will pay fees or expenses, stockholders will indirectly bear these fees or expenses as investors in TPG Specialty Lending, Inc.</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 (as a percentage of the February 17, 2021 closing price of $21.72):</w:t>
            </w:r>
          </w:p>
        </w:tc>
        <w:tc>
          <w:tcPr>
            <w:tcW w:w="208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Sales load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(2)</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2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5"/>
                <w:szCs w:val="15"/>
                <w:color w:val="auto"/>
              </w:rPr>
              <w:t>(3)</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Estimated annual expenses (as a percentage of net assets attributable to common stock)</w:t>
            </w:r>
            <w:r>
              <w:rPr>
                <w:rFonts w:ascii="Times New Roman" w:cs="Times New Roman" w:eastAsia="Times New Roman" w:hAnsi="Times New Roman"/>
                <w:sz w:val="15"/>
                <w:szCs w:val="15"/>
                <w:b w:val="1"/>
                <w:bCs w:val="1"/>
                <w:color w:val="auto"/>
              </w:rPr>
              <w:t>(4)</w:t>
            </w:r>
            <w:r>
              <w:rPr>
                <w:rFonts w:ascii="Times New Roman" w:cs="Times New Roman" w:eastAsia="Times New Roman" w:hAnsi="Times New Roman"/>
                <w:sz w:val="18"/>
                <w:szCs w:val="18"/>
                <w:b w:val="1"/>
                <w:bCs w:val="1"/>
                <w:color w:val="auto"/>
              </w:rPr>
              <w:t>:</w:t>
            </w:r>
          </w:p>
        </w:tc>
        <w:tc>
          <w:tcPr>
            <w:tcW w:w="208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payable under the Investment Advisory Agreement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r>
              <w:rPr>
                <w:rFonts w:ascii="Times New Roman" w:cs="Times New Roman" w:eastAsia="Times New Roman" w:hAnsi="Times New Roman"/>
                <w:sz w:val="15"/>
                <w:szCs w:val="15"/>
                <w:color w:val="auto"/>
              </w:rPr>
              <w:t>(5)</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 payable under the Investment Advisory Agreement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r>
              <w:rPr>
                <w:rFonts w:ascii="Times New Roman" w:cs="Times New Roman" w:eastAsia="Times New Roman" w:hAnsi="Times New Roman"/>
                <w:sz w:val="15"/>
                <w:szCs w:val="15"/>
                <w:color w:val="auto"/>
              </w:rPr>
              <w:t>(6)</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r>
              <w:rPr>
                <w:rFonts w:ascii="Times New Roman" w:cs="Times New Roman" w:eastAsia="Times New Roman" w:hAnsi="Times New Roman"/>
                <w:sz w:val="15"/>
                <w:szCs w:val="15"/>
                <w:color w:val="auto"/>
              </w:rPr>
              <w:t>(7)</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r>
              <w:rPr>
                <w:rFonts w:ascii="Times New Roman" w:cs="Times New Roman" w:eastAsia="Times New Roman" w:hAnsi="Times New Roman"/>
                <w:sz w:val="15"/>
                <w:szCs w:val="15"/>
                <w:color w:val="auto"/>
              </w:rPr>
              <w:t>(8)</w:t>
            </w:r>
          </w:p>
        </w:tc>
      </w:tr>
      <w:tr>
        <w:trPr>
          <w:trHeight w:val="234"/>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Total annual expenses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5"/>
                <w:szCs w:val="15"/>
                <w:color w:val="auto"/>
              </w:rPr>
              <w:t>(9)</w:t>
            </w:r>
          </w:p>
        </w:tc>
      </w:tr>
    </w:tbl>
    <w:p>
      <w:pPr>
        <w:spacing w:after="0" w:line="206" w:lineRule="exact"/>
        <w:rPr>
          <w:sz w:val="20"/>
          <w:szCs w:val="20"/>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load (underwriting discount) with respect to the shares sold in this offering, which is a one-time fee paid to the underwriters, is the only</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sales load paid in connection with this offering.</w:t>
      </w:r>
    </w:p>
    <w:p>
      <w:pPr>
        <w:spacing w:after="0" w:line="9" w:lineRule="exact"/>
        <w:rPr>
          <w:sz w:val="20"/>
          <w:szCs w:val="20"/>
          <w:color w:val="auto"/>
        </w:rPr>
      </w:pPr>
    </w:p>
    <w:p>
      <w:pPr>
        <w:ind w:left="120"/>
        <w:spacing w:after="0"/>
        <w:tabs>
          <w:tab w:leader="none" w:pos="520" w:val="left"/>
          <w:tab w:leader="none" w:pos="5880" w:val="left"/>
        </w:tabs>
        <w:rPr>
          <w:sz w:val="20"/>
          <w:szCs w:val="20"/>
          <w:color w:val="auto"/>
        </w:rPr>
      </w:pPr>
      <w:r>
        <w:rPr>
          <w:rFonts w:ascii="Times New Roman" w:cs="Times New Roman" w:eastAsia="Times New Roman" w:hAnsi="Times New Roman"/>
          <w:sz w:val="18"/>
          <w:szCs w:val="18"/>
          <w:color w:val="auto"/>
        </w:rPr>
        <w:t>(2)</w:t>
        <w:tab/>
        <w:t>Amount reflects estimated offering expenses of approximately $</w:t>
      </w:r>
      <w:r>
        <w:rPr>
          <w:sz w:val="20"/>
          <w:szCs w:val="20"/>
          <w:color w:val="auto"/>
        </w:rPr>
        <w:tab/>
      </w:r>
      <w:r>
        <w:rPr>
          <w:rFonts w:ascii="Times New Roman" w:cs="Times New Roman" w:eastAsia="Times New Roman" w:hAnsi="Times New Roman"/>
          <w:sz w:val="16"/>
          <w:szCs w:val="16"/>
          <w:color w:val="auto"/>
        </w:rPr>
        <w:t>.</w:t>
      </w:r>
    </w:p>
    <w:p>
      <w:pPr>
        <w:spacing w:after="0" w:line="9" w:lineRule="exact"/>
        <w:rPr>
          <w:sz w:val="20"/>
          <w:szCs w:val="20"/>
          <w:color w:val="auto"/>
        </w:rPr>
      </w:pPr>
    </w:p>
    <w:p>
      <w:pPr>
        <w:ind w:left="540" w:right="300" w:hanging="424"/>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dividend reinvestment plan are included in “Other expenses” in the table above. For additional information, see “Dividend Reinvestment Plan” in the accompanying prospectus.</w:t>
      </w:r>
    </w:p>
    <w:p>
      <w:pPr>
        <w:ind w:left="540" w:right="800" w:hanging="424"/>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assets attributable to common stock used to calculate the percentages in this table reflect our net assets of $1,161.3 million as of December 31, 2020.</w:t>
      </w:r>
    </w:p>
    <w:p>
      <w:pPr>
        <w:ind w:left="540" w:right="100" w:hanging="424"/>
        <w:spacing w:after="0" w:line="252"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(as defined in the accompanying prospectus). Under the 1940 Act, any material change to our Investment Advisory Agreement must be submitted to stockholders for approval. See Note 3 to our consolidated financial statements in our 2020 Annual Report and “Management Agreements—Investment Advisory Agreement; Administration Agreement; License Agreement” in Part I, Item 1 of our 2020 Annual Report.</w:t>
      </w:r>
    </w:p>
    <w:p>
      <w:pPr>
        <w:spacing w:after="0" w:line="81" w:lineRule="exact"/>
        <w:rPr>
          <w:rFonts w:ascii="Times New Roman" w:cs="Times New Roman" w:eastAsia="Times New Roman" w:hAnsi="Times New Roman"/>
          <w:sz w:val="18"/>
          <w:szCs w:val="18"/>
          <w:color w:val="auto"/>
        </w:rPr>
      </w:pPr>
    </w:p>
    <w:p>
      <w:pPr>
        <w:ind w:left="56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reflected in the table is calculated by determining the ratio that the Management Fee for the year ended December 31, 2020 bears to our net assets attributable to common stock (rather than our gross assets).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40"/>
          </w:cols>
          <w:pgMar w:left="320" w:top="455"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320"/>
        <w:spacing w:after="0" w:line="261" w:lineRule="auto"/>
        <w:rPr>
          <w:sz w:val="20"/>
          <w:szCs w:val="20"/>
          <w:color w:val="auto"/>
        </w:rPr>
      </w:pPr>
      <w:r>
        <w:rPr>
          <w:rFonts w:ascii="Times New Roman" w:cs="Times New Roman" w:eastAsia="Times New Roman" w:hAnsi="Times New Roman"/>
          <w:sz w:val="18"/>
          <w:szCs w:val="18"/>
          <w:color w:val="auto"/>
        </w:rPr>
        <w:t>From time to time, our Adviser voluntarily has waived certain Management Fees. See “Management’s Discussion and Analysis of Financial Condition and Results of Operations—Results of Operations—Management Fees” in Part II, Item 7 of our 2020 Annual Report. The above estimates are based on our actual Management Fees for the year ended December 31, 2020 and do not reflect any Management Fees that were waived during the year ended December 31, 2020.</w:t>
      </w:r>
    </w:p>
    <w:p>
      <w:pPr>
        <w:spacing w:after="0" w:line="85" w:lineRule="exact"/>
        <w:rPr>
          <w:sz w:val="20"/>
          <w:szCs w:val="20"/>
          <w:color w:val="auto"/>
        </w:rPr>
      </w:pPr>
    </w:p>
    <w:p>
      <w:pPr>
        <w:ind w:left="540" w:right="180" w:hanging="424"/>
        <w:spacing w:after="0" w:line="261"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capital gains and interest income that could result in the payment of an Incentive Fee to the Adviser in the twelve months after the date of this prospectus supplement. The Incentive Fee payable in the example below is based upon our actual results for the year ended December 31, 2020 and assumes that the Incentive Fee is 17.5% for all relevant periods. However, the Incentive Fee payable to the Adviser is based on our performance and will not be paid unless we achieve certain goals.</w:t>
      </w:r>
    </w:p>
    <w:p>
      <w:pPr>
        <w:spacing w:after="0" w:line="7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Fee consists of two parts:</w:t>
      </w:r>
    </w:p>
    <w:p>
      <w:pPr>
        <w:spacing w:after="0" w:line="11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w:t>
      </w:r>
    </w:p>
    <w:p>
      <w:pPr>
        <w:spacing w:after="0" w:line="27" w:lineRule="exact"/>
        <w:rPr>
          <w:rFonts w:ascii="Times New Roman" w:cs="Times New Roman" w:eastAsia="Times New Roman" w:hAnsi="Times New Roman"/>
          <w:sz w:val="18"/>
          <w:szCs w:val="18"/>
          <w:color w:val="auto"/>
        </w:rPr>
      </w:pPr>
    </w:p>
    <w:p>
      <w:pPr>
        <w:jc w:val="both"/>
        <w:ind w:left="560" w:right="2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77" w:lineRule="exact"/>
        <w:rPr>
          <w:rFonts w:ascii="Times New Roman" w:cs="Times New Roman" w:eastAsia="Times New Roman" w:hAnsi="Times New Roman"/>
          <w:sz w:val="18"/>
          <w:szCs w:val="18"/>
          <w:color w:val="auto"/>
        </w:rPr>
      </w:pPr>
    </w:p>
    <w:p>
      <w:pPr>
        <w:ind w:left="5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which we refer to as the Capital Gains Fee,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and net of the aggregate amount of any previously paid Capital Gains Fee for prior periods. For capital gains that accrue following March 31, 2014, the Incentive Fee rate is 17.5%. We accrue, but do not pay, a Capital Gains Fee with respect to unrealized appreciation because a Capital Gains Fee would be owed to the Adviser if we were to sell the relevant investment and realize a capital gain.</w:t>
      </w:r>
    </w:p>
    <w:p>
      <w:pPr>
        <w:spacing w:after="0" w:line="79" w:lineRule="exact"/>
        <w:rPr>
          <w:rFonts w:ascii="Times New Roman" w:cs="Times New Roman" w:eastAsia="Times New Roman" w:hAnsi="Times New Roman"/>
          <w:sz w:val="18"/>
          <w:szCs w:val="18"/>
          <w:color w:val="auto"/>
        </w:rPr>
      </w:pPr>
    </w:p>
    <w:p>
      <w:pPr>
        <w:ind w:lef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 to our consolidated financial statements in our 2020 Annual Report and “Management Agreements—Investment Advisory Agreement; Administration Agreement; License Agreement” in Part I, Item 1 of our 2020 Annual Report.</w:t>
      </w:r>
    </w:p>
    <w:p>
      <w:pPr>
        <w:spacing w:after="0" w:line="53" w:lineRule="exact"/>
        <w:rPr>
          <w:rFonts w:ascii="Times New Roman" w:cs="Times New Roman" w:eastAsia="Times New Roman" w:hAnsi="Times New Roman"/>
          <w:sz w:val="18"/>
          <w:szCs w:val="18"/>
          <w:color w:val="auto"/>
        </w:rPr>
      </w:pPr>
    </w:p>
    <w:p>
      <w:pPr>
        <w:ind w:left="560"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our Adviser has voluntarily waived certain Incentive Fees. See “Management’s Discussion and Analysis of Financial Condition and Results of Operations—Results of Operations—Incentive Fees” in Part II, Item 7 of our 2020 Annual Report. The above estimates do not reflect or assume any such waivers.</w:t>
      </w:r>
    </w:p>
    <w:p>
      <w:pPr>
        <w:spacing w:after="0" w:line="81" w:lineRule="exact"/>
        <w:rPr>
          <w:rFonts w:ascii="Times New Roman" w:cs="Times New Roman" w:eastAsia="Times New Roman" w:hAnsi="Times New Roman"/>
          <w:sz w:val="18"/>
          <w:szCs w:val="18"/>
          <w:color w:val="auto"/>
        </w:rPr>
      </w:pPr>
    </w:p>
    <w:p>
      <w:pPr>
        <w:ind w:left="540" w:hanging="424"/>
        <w:spacing w:after="0" w:line="254"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on borrowed funds is based on our interest expense for the year ended December 31, 2020 under our credit facilities excluding fees (such as fees on undrawn amounts and amortization of upfront fees) and including the swap-adjusted interest expense related to our Convertible Senior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3"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overhead expenses, such as payments under the Administration Agreement for certain expenses incurred by the Adviser, and excise taxes. See Note 3 to our consolidated financial statements in our 2020 Annual Report and “Management Agreements—Investment Advisory Agreement; Administration Agreement; License Agreement” in Part I, Item 1 of our 2020 Annual Report. The expenses in this table are based on our actual other expenses and excise taxes for the year ended December 31, 2020.</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included in the following example.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28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10 years</w:t>
            </w:r>
          </w:p>
        </w:tc>
      </w:tr>
      <w:tr>
        <w:trPr>
          <w:trHeight w:val="178"/>
        </w:trPr>
        <w:tc>
          <w:tcPr>
            <w:tcW w:w="71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You would pay the following expenses on a $1,000 common stock investment, assuming a</w:t>
            </w:r>
          </w:p>
        </w:tc>
        <w:tc>
          <w:tcPr>
            <w:tcW w:w="4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 annual return from realized capital gains</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81</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235</w:t>
            </w:r>
          </w:p>
        </w:tc>
        <w:tc>
          <w:tcPr>
            <w:tcW w:w="13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381</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706</w:t>
            </w:r>
          </w:p>
        </w:tc>
      </w:tr>
    </w:tbl>
    <w:p>
      <w:pPr>
        <w:spacing w:after="0" w:line="19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in the accompanying prospectus for additional information regarding our dividend reinvestment plan.</w:t>
      </w:r>
    </w:p>
    <w:p>
      <w:pPr>
        <w:spacing w:after="0" w:line="188"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estimate that the net proceeds we will receive from the sale of 4,000,000 shares of our common stock in this offering will be approximately</w:t>
      </w:r>
    </w:p>
    <w:p>
      <w:pPr>
        <w:spacing w:after="0" w:line="27" w:lineRule="exact"/>
        <w:rPr>
          <w:sz w:val="20"/>
          <w:szCs w:val="20"/>
          <w:color w:val="auto"/>
        </w:rPr>
      </w:pPr>
    </w:p>
    <w:p>
      <w:pPr>
        <w:ind w:left="120" w:right="40" w:hanging="4"/>
        <w:spacing w:after="0" w:line="260"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(or approximately $ million if the underwriters fully exercise their option to purchase additional shares), in each case after deducting the underwriting discounts and commissions and estimated offering expenses payable by us.</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intend to use 100% of the net proceeds of this offering to pay down a portion of the outstanding indebtedness on the Revolving Credit Facility on or about the date of the closing of this offering. As of February 5, 2021, aggregate commitments under the facility were $1.485 billion. However, through reborrowing under the Revolving Credit Facility, we intend to make new investments in accordance with our investment objective and strategies described in this prospectus supplement and the accompanying prospectus. The stated maturity date of the Revolving Credit Facility is February 4, 2026 for $1.390 billion of commitments, and January 31, 2025 for the rest. As of February 5, 2021, amounts drawn under the facility bear interest at a rate of LIBOR plus a margin of either 1.75% or 1.875%, or the prime rate plus a margin of either 0.75% or 0.875%. See “Management’s Discussion and Analysis of Financial Condition and Results of Operations—Financial Condition, Liquidity and Capital Resources—Revolving Credit Facility” in Part II, Item 7 of our 2020 Annual Report.</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240" w:firstLine="440"/>
        <w:spacing w:after="0" w:line="312" w:lineRule="auto"/>
        <w:rPr>
          <w:sz w:val="20"/>
          <w:szCs w:val="20"/>
          <w:color w:val="auto"/>
        </w:rPr>
      </w:pPr>
      <w:r>
        <w:rPr>
          <w:rFonts w:ascii="Times New Roman" w:cs="Times New Roman" w:eastAsia="Times New Roman" w:hAnsi="Times New Roman"/>
          <w:sz w:val="17"/>
          <w:szCs w:val="17"/>
          <w:color w:val="auto"/>
        </w:rPr>
        <w:t>The following table sets forth our consolidated capitalization at December 31, 2020. You should read this table together with “Use of Proceeds” described in this prospectus supplement and our most recent balance sheet included in our 2020 Annual Report incorporated by reference herein.</w:t>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share and per share amounts)</w:t>
            </w: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0" w:type="dxa"/>
            <w:vAlign w:val="bottom"/>
          </w:tcPr>
          <w:p>
            <w:pPr>
              <w:spacing w:after="0"/>
              <w:rPr>
                <w:sz w:val="1"/>
                <w:szCs w:val="1"/>
                <w:color w:val="auto"/>
              </w:rPr>
            </w:pPr>
          </w:p>
        </w:tc>
      </w:tr>
      <w:tr>
        <w:trPr>
          <w:trHeight w:val="142"/>
        </w:trPr>
        <w:tc>
          <w:tcPr>
            <w:tcW w:w="9400" w:type="dxa"/>
            <w:vAlign w:val="bottom"/>
            <w:vMerge w:val="continue"/>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13,274</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5"/>
                <w:szCs w:val="15"/>
                <w:b w:val="1"/>
                <w:bCs w:val="1"/>
                <w:color w:val="auto"/>
              </w:rPr>
              <w:t>(1)</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472,281</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2022 Convertible Notes</w:t>
            </w:r>
          </w:p>
        </w:tc>
        <w:tc>
          <w:tcPr>
            <w:tcW w:w="4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142,809</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Notes</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2024 Notes</w:t>
            </w:r>
          </w:p>
        </w:tc>
        <w:tc>
          <w:tcPr>
            <w:tcW w:w="4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347,500</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1,112,590</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 issued and outstanding</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400,000,000 shares authorized; 67,980,253 shares issued and 67,684,209 shares</w:t>
            </w: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4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1,025,676</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89,080 shares</w:t>
            </w:r>
          </w:p>
        </w:tc>
        <w:tc>
          <w:tcPr>
            <w:tcW w:w="4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(4,291)</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Distributable earnings</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139,250</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1,161,315</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2,287,179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line="261"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table reflects the principal amount of indebtedness outstanding as of December 31, 2020. On February 3, 2021, we issued $300 million in aggregate principal amount of 2.500% notes due 2026. As of February 15, 2021, total debt was $1,133.4 million, and outstanding indebtedness under the Revolving Credit Facility was $193.1 million as of February 15, 2021. The net proceeds from the sale of the securities are expected to be used to pay down outstanding indebtedness under the Revolving Credit Facility. See “Use of Proceeds” in this prospectus supplement.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40"/>
          </w:cols>
          <w:pgMar w:left="320" w:top="455"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PRICE RANGE OF COMMON STOCK AND DISTRIBUTIONS</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NYSE under the symbol “TSLX.” Our common stock has historically traded at prices both above and below our net asset value per share. It is not possible to predict whether our common stock offered hereby will trade at a price per share at, above or below net asset value per share. See “Risk Factors—Risks Related to Offerings Pursuant to This Prospectus” in the accompanying prospectus.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and for the years ended December 31, 2020 and 2019. On February 17, 2021, the last reported closing sales price of our common stock on the NYSE was $21.72 per share, which represented a premium of approximately 26.6% to the net asset value per share reported by us as of December 31, 2020, the last date prior to the date of this prospectus supplement for which we reported net asset value.</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420" w:type="dxa"/>
            <w:vAlign w:val="bottom"/>
            <w:vMerge w:val="restart"/>
          </w:tcPr>
          <w:p>
            <w:pPr>
              <w:spacing w:after="0"/>
              <w:rPr>
                <w:sz w:val="13"/>
                <w:szCs w:val="13"/>
                <w:color w:val="auto"/>
              </w:rPr>
            </w:pPr>
          </w:p>
        </w:tc>
        <w:tc>
          <w:tcPr>
            <w:tcW w:w="14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84"/>
        </w:trPr>
        <w:tc>
          <w:tcPr>
            <w:tcW w:w="3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w:t>
            </w:r>
          </w:p>
        </w:tc>
        <w:tc>
          <w:tcPr>
            <w:tcW w:w="1420" w:type="dxa"/>
            <w:vAlign w:val="bottom"/>
            <w:tcBorders>
              <w:bottom w:val="single" w:sz="8" w:color="auto"/>
            </w:tcBorders>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400" w:type="dxa"/>
            <w:vAlign w:val="bottom"/>
            <w:gridSpan w:val="2"/>
            <w:vMerge w:val="restart"/>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Price to Net</w:t>
            </w:r>
          </w:p>
        </w:tc>
        <w:tc>
          <w:tcPr>
            <w:tcW w:w="1260" w:type="dxa"/>
            <w:vAlign w:val="bottom"/>
            <w:gridSpan w:val="2"/>
            <w:vMerge w:val="restart"/>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Price to Net</w:t>
            </w:r>
          </w:p>
        </w:tc>
        <w:tc>
          <w:tcPr>
            <w:tcW w:w="200" w:type="dxa"/>
            <w:vAlign w:val="bottom"/>
          </w:tcPr>
          <w:p>
            <w:pPr>
              <w:spacing w:after="0"/>
              <w:rPr>
                <w:sz w:val="6"/>
                <w:szCs w:val="6"/>
                <w:color w:val="auto"/>
              </w:rPr>
            </w:pPr>
          </w:p>
        </w:tc>
        <w:tc>
          <w:tcPr>
            <w:tcW w:w="8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Dividend Per</w:t>
            </w:r>
          </w:p>
        </w:tc>
        <w:tc>
          <w:tcPr>
            <w:tcW w:w="0" w:type="dxa"/>
            <w:vAlign w:val="bottom"/>
          </w:tcPr>
          <w:p>
            <w:pPr>
              <w:spacing w:after="0"/>
              <w:rPr>
                <w:sz w:val="1"/>
                <w:szCs w:val="1"/>
                <w:color w:val="auto"/>
              </w:rPr>
            </w:pPr>
          </w:p>
        </w:tc>
      </w:tr>
      <w:tr>
        <w:trPr>
          <w:trHeight w:val="50"/>
        </w:trPr>
        <w:tc>
          <w:tcPr>
            <w:tcW w:w="3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0" w:type="dxa"/>
            <w:vAlign w:val="bottom"/>
          </w:tcPr>
          <w:p>
            <w:pPr>
              <w:spacing w:after="0"/>
              <w:rPr>
                <w:sz w:val="4"/>
                <w:szCs w:val="4"/>
                <w:color w:val="auto"/>
              </w:rPr>
            </w:pPr>
          </w:p>
        </w:tc>
        <w:tc>
          <w:tcPr>
            <w:tcW w:w="9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Low</w:t>
            </w:r>
          </w:p>
        </w:tc>
        <w:tc>
          <w:tcPr>
            <w:tcW w:w="1400" w:type="dxa"/>
            <w:vAlign w:val="bottom"/>
            <w:gridSpan w:val="2"/>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(1)</w:t>
            </w:r>
          </w:p>
        </w:tc>
        <w:tc>
          <w:tcPr>
            <w:tcW w:w="7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Asset Value</w:t>
            </w:r>
            <w:r>
              <w:rPr>
                <w:rFonts w:ascii="Times New Roman" w:cs="Times New Roman" w:eastAsia="Times New Roman" w:hAnsi="Times New Roman"/>
                <w:sz w:val="12"/>
                <w:szCs w:val="12"/>
                <w:b w:val="1"/>
                <w:bCs w:val="1"/>
                <w:color w:val="auto"/>
                <w:w w:val="99"/>
              </w:rPr>
              <w:t>(2)</w:t>
            </w: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Asset Value</w:t>
            </w:r>
            <w:r>
              <w:rPr>
                <w:rFonts w:ascii="Times New Roman" w:cs="Times New Roman" w:eastAsia="Times New Roman" w:hAnsi="Times New Roman"/>
                <w:sz w:val="12"/>
                <w:szCs w:val="12"/>
                <w:b w:val="1"/>
                <w:bCs w:val="1"/>
                <w:color w:val="auto"/>
                <w:w w:val="99"/>
              </w:rPr>
              <w:t>(2)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16.34</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$20.99</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$18.44</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28.5%</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16.68</w:t>
            </w:r>
          </w:p>
        </w:tc>
        <w:tc>
          <w:tcPr>
            <w:tcW w:w="7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6"/>
              </w:rPr>
              <w:t>$20.29</w:t>
            </w:r>
          </w:p>
        </w:tc>
        <w:tc>
          <w:tcPr>
            <w:tcW w:w="112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$19.49</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21.6%</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16.72</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$21.01</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$19.36</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25.7%</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16.83</w:t>
            </w:r>
          </w:p>
        </w:tc>
        <w:tc>
          <w:tcPr>
            <w:tcW w:w="7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6"/>
              </w:rPr>
              <w:t>$21.83</w:t>
            </w:r>
          </w:p>
        </w:tc>
        <w:tc>
          <w:tcPr>
            <w:tcW w:w="112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$20.01</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29.7%</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15.57</w:t>
            </w:r>
          </w:p>
        </w:tc>
        <w:tc>
          <w:tcPr>
            <w:tcW w:w="7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6"/>
              </w:rPr>
              <w:t>$23.28</w:t>
            </w:r>
          </w:p>
        </w:tc>
        <w:tc>
          <w:tcPr>
            <w:tcW w:w="112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$11.30</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49.5%</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16.08</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$19.51</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$12.57</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21.3%</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16.87</w:t>
            </w:r>
          </w:p>
        </w:tc>
        <w:tc>
          <w:tcPr>
            <w:tcW w:w="7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6"/>
              </w:rPr>
              <w:t>$18.48</w:t>
            </w:r>
          </w:p>
        </w:tc>
        <w:tc>
          <w:tcPr>
            <w:tcW w:w="112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$15.68</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9.5%</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17.16</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$21.24</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$16.31</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23.8%</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2021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 (through February 17, 2021)</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$21.72</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$20.46</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220" w:hanging="424"/>
        <w:spacing w:after="0" w:line="261"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540" w:right="54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net asset value, divided by net asset value (in each case, as of the applicable quarter).</w:t>
      </w:r>
    </w:p>
    <w:p>
      <w:pPr>
        <w:ind w:left="540" w:hanging="424"/>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dividends declared in the relevant quarter.</w:t>
      </w:r>
    </w:p>
    <w:p>
      <w:pPr>
        <w:spacing w:after="0" w:line="9"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has not yet been reported for this period.</w:t>
      </w:r>
    </w:p>
    <w:p>
      <w:pPr>
        <w:spacing w:after="0" w:line="207"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40"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On February 17, 2021, our Board declared a first quarter 2021 base dividend of $0.41 per share for stockholders of record as of March 15, 2021, payable on April 15, 2021. Our Board also declared a special cash dividend per share of $1.25 that will be payable on April 8, 2021 to shareholders of record as of March 25, 2021. In addition, our Board declared a fourth quarter supplemental dividend of $0.05 per share to shareholders of record as of February 26, 2021, payable on March 31, 2021. Investors in this offering who remain holders of record as of the record dates for the base dividend, special dividend and fourth quarter supplemental dividend, respectively, will receive these dividends. We anticipate that these dividends will be paid from income generated primarily by interest earned on our investment portfolio.</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40"/>
          </w:cols>
          <w:pgMar w:left="320" w:top="455" w:right="4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 years ended December 31, 2020 and 2019:</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840" w:type="dxa"/>
            <w:vAlign w:val="bottom"/>
            <w:gridSpan w:val="2"/>
            <w:vMerge w:val="restart"/>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7"/>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80" w:type="dxa"/>
            <w:vAlign w:val="bottom"/>
            <w:tcBorders>
              <w:bottom w:val="single" w:sz="8" w:color="auto"/>
            </w:tcBorders>
            <w:vMerge w:val="continue"/>
          </w:tcPr>
          <w:p>
            <w:pPr>
              <w:spacing w:after="0"/>
              <w:rPr>
                <w:sz w:val="14"/>
                <w:szCs w:val="14"/>
                <w:color w:val="auto"/>
              </w:rPr>
            </w:pPr>
          </w:p>
        </w:tc>
        <w:tc>
          <w:tcPr>
            <w:tcW w:w="3840" w:type="dxa"/>
            <w:vAlign w:val="bottom"/>
            <w:gridSpan w:val="2"/>
            <w:vMerge w:val="continue"/>
          </w:tcPr>
          <w:p>
            <w:pPr>
              <w:spacing w:after="0"/>
              <w:rPr>
                <w:sz w:val="14"/>
                <w:szCs w:val="14"/>
                <w:color w:val="auto"/>
              </w:rPr>
            </w:pPr>
          </w:p>
        </w:tc>
        <w:tc>
          <w:tcPr>
            <w:tcW w:w="13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1580" w:type="dxa"/>
            <w:vAlign w:val="bottom"/>
            <w:gridSpan w:val="3"/>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60" w:type="dxa"/>
            <w:vAlign w:val="bottom"/>
          </w:tcPr>
          <w:p>
            <w:pPr>
              <w:spacing w:after="0"/>
              <w:rPr>
                <w:sz w:val="14"/>
                <w:szCs w:val="14"/>
                <w:color w:val="auto"/>
              </w:rPr>
            </w:pPr>
          </w:p>
        </w:tc>
        <w:tc>
          <w:tcPr>
            <w:tcW w:w="1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Dividend per Share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3"/>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February 19, 2020</w:t>
            </w:r>
          </w:p>
        </w:tc>
        <w:tc>
          <w:tcPr>
            <w:tcW w:w="132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Supplemental</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February 28, 2020</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March 31, 2020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February 19, 2020</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March 13, 2020</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April 15, 2020</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February 19, 2020</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Special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April 15, 2020</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30, 2020</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4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February 19, 2020</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Special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June 15, 2020</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June 30, 2020</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May 5, 2020</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June 15, 2020</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July 15, 2020</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August 4, 2020</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September 15, 2020</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October 15, 2020</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November 4, 2020</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November 30, 2020</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31, 2020</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4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November 4, 2020</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December 15, 2020</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January 15, 2021</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7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7"/>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0" w:type="dxa"/>
            <w:vAlign w:val="bottom"/>
            <w:vMerge w:val="continue"/>
          </w:tcPr>
          <w:p>
            <w:pPr>
              <w:spacing w:after="0"/>
              <w:rPr>
                <w:sz w:val="24"/>
                <w:szCs w:val="24"/>
                <w:color w:val="auto"/>
              </w:rPr>
            </w:pPr>
          </w:p>
        </w:tc>
        <w:tc>
          <w:tcPr>
            <w:tcW w:w="3740" w:type="dxa"/>
            <w:vAlign w:val="bottom"/>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80" w:type="dxa"/>
            <w:vAlign w:val="bottom"/>
            <w:tcBorders>
              <w:bottom w:val="single" w:sz="8" w:color="auto"/>
            </w:tcBorders>
            <w:vMerge w:val="continue"/>
          </w:tcPr>
          <w:p>
            <w:pPr>
              <w:spacing w:after="0"/>
              <w:rPr>
                <w:sz w:val="14"/>
                <w:szCs w:val="14"/>
                <w:color w:val="auto"/>
              </w:rPr>
            </w:pPr>
          </w:p>
        </w:tc>
        <w:tc>
          <w:tcPr>
            <w:tcW w:w="3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158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60" w:type="dxa"/>
            <w:vAlign w:val="bottom"/>
          </w:tcPr>
          <w:p>
            <w:pPr>
              <w:spacing w:after="0"/>
              <w:rPr>
                <w:sz w:val="14"/>
                <w:szCs w:val="14"/>
                <w:color w:val="auto"/>
              </w:rPr>
            </w:pPr>
          </w:p>
        </w:tc>
        <w:tc>
          <w:tcPr>
            <w:tcW w:w="1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Dividend per Share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February 20, 2019</w:t>
            </w: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ind w:right="12"/>
              <w:spacing w:after="0" w:line="203" w:lineRule="exact"/>
              <w:rPr>
                <w:sz w:val="20"/>
                <w:szCs w:val="20"/>
                <w:color w:val="auto"/>
              </w:rPr>
            </w:pPr>
            <w:r>
              <w:rPr>
                <w:rFonts w:ascii="Times New Roman" w:cs="Times New Roman" w:eastAsia="Times New Roman" w:hAnsi="Times New Roman"/>
                <w:sz w:val="18"/>
                <w:szCs w:val="18"/>
                <w:color w:val="auto"/>
                <w:w w:val="98"/>
              </w:rPr>
              <w:t>Supplemental</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February 28, 2019</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March 29, 2019</w:t>
            </w:r>
          </w:p>
        </w:tc>
        <w:tc>
          <w:tcPr>
            <w:tcW w:w="14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February 20, 2019</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Base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March 15, 2019</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April 15, 2019</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May 2, 2019</w:t>
            </w: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Supplemental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May 31, 2019</w:t>
            </w:r>
          </w:p>
        </w:tc>
        <w:tc>
          <w:tcPr>
            <w:tcW w:w="1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June 28, 2019</w:t>
            </w: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May 2, 2019</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Base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June 14, 2019</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July 15, 2019</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July 31, 2019</w:t>
            </w: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Supplemental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August 30, 2019</w:t>
            </w:r>
          </w:p>
        </w:tc>
        <w:tc>
          <w:tcPr>
            <w:tcW w:w="1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September 30, 2019</w:t>
            </w: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July 31, 2019</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Base</w:t>
            </w:r>
          </w:p>
        </w:tc>
        <w:tc>
          <w:tcPr>
            <w:tcW w:w="100" w:type="dxa"/>
            <w:vAlign w:val="bottom"/>
          </w:tcPr>
          <w:p>
            <w:pPr>
              <w:spacing w:after="0"/>
              <w:rPr>
                <w:sz w:val="18"/>
                <w:szCs w:val="18"/>
                <w:color w:val="auto"/>
              </w:rPr>
            </w:pPr>
          </w:p>
        </w:tc>
        <w:tc>
          <w:tcPr>
            <w:tcW w:w="18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September 13, 2019</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October 15, 2019</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November 5, 2019</w:t>
            </w: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Supplemental</w:t>
            </w:r>
          </w:p>
        </w:tc>
        <w:tc>
          <w:tcPr>
            <w:tcW w:w="10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November 29, 2019</w:t>
            </w:r>
          </w:p>
        </w:tc>
        <w:tc>
          <w:tcPr>
            <w:tcW w:w="1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December 31, 2019</w:t>
            </w: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November 5, 2019</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Base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w w:val="98"/>
              </w:rPr>
              <w:t>December 13, 2019</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January 15, 2020</w:t>
            </w:r>
          </w:p>
        </w:tc>
        <w:tc>
          <w:tcPr>
            <w:tcW w:w="1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dividends declared during the years ended December 31, 2020 and 2019 were derived from net investment income and net realized capital gains, determined on a tax basis.</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be treated as a regulated investment company,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89"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such calendar year;</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income or gains recognized, but not distributed, in preceding years.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these purposes, we will be deemed to have distributed any net ordinary taxable income or capital gain net income on which we have paid U.S. federal income tax. Depending on the level of taxable income earned in a</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40"/>
          </w:cols>
          <w:pgMar w:left="32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calendar year, we may choose to carry forward taxable income for distribution in the following calendar year, and pay any applicable U.S. federal excise tax. We elected to retain a portion of income and capital gains for the calendar years ended December 31, 2020 and 2019 for purposes of additional liquidity and we recorded a net expense of $5.7 million and $3.8 million,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2020 Annual Report.</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in the accompanying prospectus. We cannot assure you that we will achieve results that will permit us to pay any cash dividends or that we will not be limited in our ability to pay dividends under the asset coverage test applicable to us under the 1940 Act.</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our common stockholders elect to receive their dividends in cash, we intend to make such distributions in additional shares of our common stock under our dividend reinvestment plan. See “Dividend Reinvestment Plan” in the accompanying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Morgan Stanley &amp; Co. LLC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6480" w:type="dxa"/>
            <w:vAlign w:val="bottom"/>
          </w:tcPr>
          <w:p>
            <w:pPr>
              <w:jc w:val="center"/>
              <w:ind w:left="57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5"/>
        </w:trPr>
        <w:tc>
          <w:tcPr>
            <w:tcW w:w="780" w:type="dxa"/>
            <w:vAlign w:val="bottom"/>
            <w:tcBorders>
              <w:bottom w:val="single" w:sz="8" w:color="auto"/>
            </w:tcBorders>
            <w:vMerge w:val="continue"/>
          </w:tcPr>
          <w:p>
            <w:pPr>
              <w:spacing w:after="0"/>
              <w:rPr>
                <w:sz w:val="13"/>
                <w:szCs w:val="13"/>
                <w:color w:val="auto"/>
              </w:rPr>
            </w:pPr>
          </w:p>
        </w:tc>
        <w:tc>
          <w:tcPr>
            <w:tcW w:w="6480" w:type="dxa"/>
            <w:vAlign w:val="bottom"/>
          </w:tcPr>
          <w:p>
            <w:pPr>
              <w:jc w:val="center"/>
              <w:ind w:left="5728"/>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0</wp:posOffset>
            </wp:positionV>
            <wp:extent cx="474916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Raymond James &amp;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5715</wp:posOffset>
            </wp:positionV>
            <wp:extent cx="6172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23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(the “Securities Act”), or to contribute to payments the underwriters may be required to make in respect of those liabilities.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underwriters may offer the shares of common stock from time to time for sale in one or more transactions on the NYSE, in the over-the-counter market, through negotiated transactions or otherwise at market prices prevailing at the time of sale, at prices related to prevailing market prices or at negotiated prices. The underwriters may effect such transactions by selling shares of common stock to or through dealers, and such dealers may receive compensation in the form of discounts, concessions or commissions from the underwriters and/or purchasers of shares of common stock for whom they may act as agents or to whom they may sell as principal.</w:t>
      </w:r>
    </w:p>
    <w:p>
      <w:pPr>
        <w:spacing w:after="0" w:line="183" w:lineRule="exact"/>
        <w:rPr>
          <w:sz w:val="20"/>
          <w:szCs w:val="20"/>
          <w:color w:val="auto"/>
        </w:rPr>
      </w:pPr>
    </w:p>
    <w:p>
      <w:pPr>
        <w:ind w:left="560"/>
        <w:spacing w:after="0"/>
        <w:tabs>
          <w:tab w:leader="none" w:pos="7460" w:val="left"/>
        </w:tabs>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w:t>
      </w:r>
      <w:r>
        <w:rPr>
          <w:sz w:val="20"/>
          <w:szCs w:val="20"/>
          <w:color w:val="auto"/>
        </w:rPr>
        <w:tab/>
      </w:r>
      <w:r>
        <w:rPr>
          <w:rFonts w:ascii="Times New Roman" w:cs="Times New Roman" w:eastAsia="Times New Roman" w:hAnsi="Times New Roman"/>
          <w:sz w:val="18"/>
          <w:szCs w:val="18"/>
          <w:color w:val="auto"/>
        </w:rPr>
        <w:t>million and are payable by us.</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Underwriters’ Option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granted the underwriters an option to buy, within 30 days from the date of this prospectus supplement, up to 600,000 additional shares of common stock. If any shares are purchased pursuant to this option,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certain exceptions, we have agreed not to directly or indirectly, offer, pledge, sell, contract to sell, grant any option for the sale of or otherwise transfer or dispose of, directly or indirectly, or file with the SEC a registration statement under the Securities Act relating to, any shares of our common stock or securities convertible into or exchangeable or exercisable for any shares of our common stock (except for any “shelf” registration statements filed by us),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Morgan Stanley &amp; Co. LLC for a period of 30 days after the date of this prospectus supplement.</w:t>
      </w:r>
    </w:p>
    <w:p>
      <w:pPr>
        <w:spacing w:after="0" w:line="192"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7"/>
          <w:szCs w:val="17"/>
          <w:color w:val="auto"/>
        </w:rPr>
        <w:t>Our Adviser, our directors and certain of our executive officers have entered into lock-up agreements with the underwriters prior to the commencement of this offering pursuant to which each of these persons or entities, with limited exceptions, for a period of 30 days after the date of this prospectus supplement, may not, subject to certain exceptions, without the prior written consent of Morgan Stanley &amp; Co. LLC, (1)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publicly disclose the intention to make any offer, sale, pledge or disposition,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w:t>
      </w:r>
    </w:p>
    <w:p>
      <w:pPr>
        <w:spacing w:after="0" w:line="4" w:lineRule="exact"/>
        <w:rPr>
          <w:sz w:val="20"/>
          <w:szCs w:val="20"/>
          <w:color w:val="auto"/>
        </w:rPr>
      </w:pPr>
    </w:p>
    <w:p>
      <w:pPr>
        <w:ind w:left="120" w:right="380" w:hanging="4"/>
        <w:spacing w:after="0" w:line="260" w:lineRule="auto"/>
        <w:tabs>
          <w:tab w:leader="none" w:pos="3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of any shares of our common stock or any security convertible into or exercisable or exchangeable for our common stock.</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NYSE 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shares are listed on the NYSE under the symbol “TSLX.”</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21"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In connection with this offering, the underwriters may engage in stabilizing transactions, which may involve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from us, or may be “naked” shorts, which are short positions in excess of that amount. The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their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87"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sales load received by them.</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our common stock or preventing or retarding a decline in the market price of our common stock, and, as a result, the price of our common stock may be higher than the price that otherwise might exist in the open market. If the underwriters commence these activities, they may discontinue them at any time. The underwriters may carry out these transactions on the NYSE, in the over-the-counter market or otherwise.</w:t>
      </w:r>
    </w:p>
    <w:p>
      <w:pPr>
        <w:spacing w:after="0" w:line="180"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currently provide, and may in the future provide, a variety of these services to us and to persons and entities with relationships with us, for which they received or will receive customary fees and expenses. Certain of the underwriters and their affiliates were underwriters in connection with our IPO and our subsequent debt and equity offerings, for which they received customary fees. Additionally, affiliates of certain underwriters are lenders under the Revolving Credit Facility.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policies. Typically, such underwriters and their affiliates would hedge such exposure by entering into transactions which consist of either the purchase of credit default swaps or the creation of short positions in our securities. Any such credit default swaps or short positions could adversely affect future trading prices of our securities.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of this offering to pay down a portion of the outstanding indebtedness under the Revolving Credit Facility and for general corporate purposes. 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Goldman Sachs &amp; Co. LLC is also acting as our agent for the Company stock repurchase 10b5-1 Plan.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Wells Fargo Securities, LLC, one of the underwriters, is an affiliate of the trustee.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Business Addresses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principal business address of Morgan Stanley &amp; Co. LLC is 1585 Broadway New York, NY 10036.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Jurisdictions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or DFSA. This prospectus is intended for distribution only to persons in the in the Dubai International Financial Centre, or DIFC of a type specified in the Offered Securities Rules of the DFSA. It must not be delivered to, or relied on by, any other person in the DIFC. The DFSA has no responsibility for reviewing or verifying any documents in connection with Exempt Offers. The DFSA has not approved this prospectus nor taken steps to verify the information set forth herein and has no responsibility for the prospectus. The common stock to which this prospectus relates may be illiquid or subject to restrictions on their resale. Prospective purchasers of the common stock offered should conduct their own due diligence on the common stock. If you do not understand the contents of this prospectus you should consult an authorized financial advisor.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common stock has not been offered or sold and will not be offered or sold in Hong Kong, by means of any document, other than (a) to “professional investors” as defined in the Securities and Futures Ordinance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(Cap. 571 of the Laws of Hong Kong) (“Securities and Futures Ordinance”) and any rules made thereunder; or (b) in other circumstances which do not result in the document being a “prospectus” as defined in the Companies (Winding Up and Miscellaneous Provisions) Ordinance (Cap. 32 of the Laws of Hong Kong) (“Companies (Winding Up and Miscellaneous Provisions) Ordinance”) or which do not constitute an offer to the public within the meaning of the Companies (Winding Up and Miscellaneous Provisions) Ordinance.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common stock which are or are intended to be disposed of only to persons outside Hong Kong or only to “professional investors” as defined in the Securities and Futures Ordinance and any rules made thereunder.</w:t>
      </w:r>
    </w:p>
    <w:p>
      <w:pPr>
        <w:spacing w:after="0" w:line="1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20"/>
          </w:cols>
          <w:pgMar w:left="320" w:top="455" w:right="5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Certain legal matters in connection with the offering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by Ropes &amp; Gray LLP.</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040"/>
          </w:cols>
          <w:pgMar w:left="320" w:top="455" w:right="5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 This prospectus supplement incorporates by reference the documents listed below:</w:t>
      </w:r>
    </w:p>
    <w:p>
      <w:pPr>
        <w:spacing w:after="0" w:line="94" w:lineRule="exact"/>
        <w:rPr>
          <w:sz w:val="20"/>
          <w:szCs w:val="20"/>
          <w:color w:val="auto"/>
        </w:rPr>
      </w:pPr>
    </w:p>
    <w:p>
      <w:pPr>
        <w:ind w:left="1080" w:right="5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2020, filed with the SEC on February 17, 2021 (the “2020 Annual Report”);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5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2019, filed with the SEC on February 19, 2020 from our </w:t>
      </w:r>
      <w:hyperlink r:id="rId51">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relating to our 2020 Annual Meeting of Stockholders, filed with the SEC on April 17, 2020;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52">
        <w:r>
          <w:rPr>
            <w:rFonts w:ascii="Times New Roman" w:cs="Times New Roman" w:eastAsia="Times New Roman" w:hAnsi="Times New Roman"/>
            <w:sz w:val="18"/>
            <w:szCs w:val="18"/>
            <w:u w:val="single" w:color="auto"/>
            <w:color w:val="0000EE"/>
          </w:rPr>
          <w:t>January 29, 2021</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February 3,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4">
        <w:r>
          <w:rPr>
            <w:rFonts w:ascii="Times New Roman" w:cs="Times New Roman" w:eastAsia="Times New Roman" w:hAnsi="Times New Roman"/>
            <w:sz w:val="18"/>
            <w:szCs w:val="18"/>
            <w:u w:val="single" w:color="auto"/>
            <w:color w:val="0000EE"/>
          </w:rPr>
          <w:t>February 5, 2021</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incorporate by reference into this prospectus supplement additional documents that we may file with the SEC under Sections 13(a), 13(c), 14 or 15(d) of the Securities Exchange Act of 1934, as amended, or the Exchange Act, until all of the securities offered by this prospectus supplement and the accompanying prospectus have been sold or we otherwise terminate the offering of these securities; provided, however, the information “furnished” under Item 2.02 or Item 7.01 of Form 8-K or other information “furnished” to the SEC which is not deemed filed is not incorporated by reference in this prospectus supplement and any accompanying prospectus. Information that we file with the SEC will automatically update and may supersede information in this prospectus supplement, the accompanying prospectus and information previously filed with the SEC.</w:t>
      </w:r>
    </w:p>
    <w:p>
      <w:pPr>
        <w:spacing w:after="0" w:line="187" w:lineRule="exact"/>
        <w:rPr>
          <w:rFonts w:ascii="Times New Roman" w:cs="Times New Roman" w:eastAsia="Times New Roman" w:hAnsi="Times New Roman"/>
          <w:sz w:val="18"/>
          <w:szCs w:val="18"/>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will provide without charge to each person, including any beneficial owner, to whom a copy of this prospectus supplement is delivered, upon written request of any such person, a copy of any or all of the documents that has been or may be incorporated by reference into this prospectus supplement (excluding certain exhibits to the documents) at no cost. Any such request may be made by contacting us in writing at the following address:</w:t>
      </w:r>
    </w:p>
    <w:p>
      <w:pPr>
        <w:spacing w:after="0" w:line="15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888 7th Avenue, 35th Floor</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NY 10106</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TSLXInvestor Relations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Email: IRTSLX@sixthstreet.com.</w:t>
      </w:r>
    </w:p>
    <w:p>
      <w:pPr>
        <w:spacing w:after="0" w:line="207"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or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200" w:lineRule="exact"/>
        <w:rPr>
          <w:rFonts w:ascii="Times New Roman" w:cs="Times New Roman" w:eastAsia="Times New Roman" w:hAnsi="Times New Roman"/>
          <w:sz w:val="18"/>
          <w:szCs w:val="18"/>
          <w:color w:val="auto"/>
        </w:rPr>
      </w:pPr>
    </w:p>
    <w:p>
      <w:pPr>
        <w:spacing w:after="0" w:line="280"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66675</wp:posOffset>
            </wp:positionV>
            <wp:extent cx="1688465" cy="720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168846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TPG Specialty Lending, Inc.</w:t>
      </w:r>
    </w:p>
    <w:p>
      <w:pPr>
        <w:spacing w:after="0" w:line="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Preferred Stock</w:t>
      </w: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Subscription Rights</w:t>
      </w: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Warrants</w:t>
      </w: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77470</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0" w:lineRule="exact"/>
        <w:rPr>
          <w:sz w:val="20"/>
          <w:szCs w:val="20"/>
          <w:color w:val="auto"/>
        </w:rPr>
      </w:pPr>
    </w:p>
    <w:p>
      <w:pPr>
        <w:jc w:val="both"/>
        <w:ind w:left="120" w:right="320" w:firstLine="440"/>
        <w:spacing w:after="0" w:line="241" w:lineRule="auto"/>
        <w:rPr>
          <w:sz w:val="20"/>
          <w:szCs w:val="20"/>
          <w:color w:val="auto"/>
        </w:rPr>
      </w:pPr>
      <w:r>
        <w:rPr>
          <w:rFonts w:ascii="Times New Roman" w:cs="Times New Roman" w:eastAsia="Times New Roman" w:hAnsi="Times New Roman"/>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1"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4"/>
          <w:szCs w:val="14"/>
          <w:color w:val="auto"/>
        </w:rPr>
        <w:t>As of March 31, 2019, our investment portfolio consisted of investments in 48 portfolio companies with an aggregate fair value of $1,824.9 million. We intend to continue to pursue an investment strategy focused on direct origination of loans to middle-market companies principally domiciled in the United States.</w:t>
      </w:r>
    </w:p>
    <w:p>
      <w:pPr>
        <w:spacing w:after="0" w:line="1" w:lineRule="exact"/>
        <w:rPr>
          <w:sz w:val="20"/>
          <w:szCs w:val="20"/>
          <w:color w:val="auto"/>
        </w:rPr>
      </w:pPr>
    </w:p>
    <w:p>
      <w:pPr>
        <w:ind w:left="120" w:right="200" w:firstLine="440"/>
        <w:spacing w:after="0" w:line="241" w:lineRule="auto"/>
        <w:rPr>
          <w:sz w:val="20"/>
          <w:szCs w:val="20"/>
          <w:color w:val="auto"/>
        </w:rPr>
      </w:pPr>
      <w:r>
        <w:rPr>
          <w:rFonts w:ascii="Times New Roman" w:cs="Times New Roman" w:eastAsia="Times New Roman" w:hAnsi="Times New Roman"/>
          <w:sz w:val="14"/>
          <w:szCs w:val="14"/>
          <w:color w:val="auto"/>
        </w:rPr>
        <w:t>We are an externally managed, closed-end, non-diversified management investment company. TSL Advisers, LLC, or the Adviser, acts as our investment adviser and administrator. We and the Adviser are part of the TPG Sixth Street Partners platform, which had over $30 billion of assets under management as of December 31, 2018. TPG Sixth Street Partners is the global finance and investment firm in a strategic relationship with TPG, the global alternative asset firm.</w:t>
      </w:r>
    </w:p>
    <w:p>
      <w:pPr>
        <w:ind w:left="120" w:right="20" w:firstLine="440"/>
        <w:spacing w:after="0"/>
        <w:rPr>
          <w:sz w:val="20"/>
          <w:szCs w:val="20"/>
          <w:color w:val="auto"/>
        </w:rPr>
      </w:pPr>
      <w:r>
        <w:rPr>
          <w:rFonts w:ascii="Times New Roman" w:cs="Times New Roman" w:eastAsia="Times New Roman" w:hAnsi="Times New Roman"/>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26" w:lineRule="exact"/>
        <w:rPr>
          <w:sz w:val="20"/>
          <w:szCs w:val="20"/>
          <w:color w:val="auto"/>
        </w:rPr>
      </w:pPr>
    </w:p>
    <w:p>
      <w:pPr>
        <w:jc w:val="both"/>
        <w:ind w:left="120" w:right="60" w:firstLine="440"/>
        <w:spacing w:after="0" w:line="241" w:lineRule="auto"/>
        <w:rPr>
          <w:sz w:val="20"/>
          <w:szCs w:val="20"/>
          <w:color w:val="auto"/>
        </w:rPr>
      </w:pPr>
      <w:r>
        <w:rPr>
          <w:rFonts w:ascii="Times New Roman" w:cs="Times New Roman" w:eastAsia="Times New Roman" w:hAnsi="Times New Roman"/>
          <w:sz w:val="14"/>
          <w:szCs w:val="14"/>
          <w:color w:val="auto"/>
        </w:rPr>
        <w:t>Substantially all of our debt investments have variable interest rates that reset periodically based on interest rate benchmarks such as the London Interbank Offered Rate, the Canadian Dollar Offered Rate, the Bank Bill Swap Bid Rate, the Euro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1" w:lineRule="exact"/>
        <w:rPr>
          <w:sz w:val="20"/>
          <w:szCs w:val="20"/>
          <w:color w:val="auto"/>
        </w:rPr>
      </w:pPr>
    </w:p>
    <w:p>
      <w:pPr>
        <w:ind w:left="120" w:right="40" w:firstLine="440"/>
        <w:spacing w:after="0" w:line="236" w:lineRule="auto"/>
        <w:rPr>
          <w:sz w:val="20"/>
          <w:szCs w:val="20"/>
          <w:color w:val="auto"/>
        </w:rPr>
      </w:pPr>
      <w:r>
        <w:rPr>
          <w:rFonts w:ascii="Times New Roman" w:cs="Times New Roman" w:eastAsia="Times New Roman" w:hAnsi="Times New Roman"/>
          <w:sz w:val="14"/>
          <w:szCs w:val="14"/>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spacing w:after="0" w:line="1" w:lineRule="exact"/>
        <w:rPr>
          <w:sz w:val="20"/>
          <w:szCs w:val="20"/>
          <w:color w:val="auto"/>
        </w:rPr>
      </w:pPr>
    </w:p>
    <w:p>
      <w:pPr>
        <w:ind w:left="120" w:right="20" w:firstLine="440"/>
        <w:spacing w:after="0" w:line="231" w:lineRule="auto"/>
        <w:rPr>
          <w:sz w:val="20"/>
          <w:szCs w:val="20"/>
          <w:color w:val="auto"/>
        </w:rPr>
      </w:pPr>
      <w:r>
        <w:rPr>
          <w:rFonts w:ascii="Times New Roman" w:cs="Times New Roman" w:eastAsia="Times New Roman" w:hAnsi="Times New Roman"/>
          <w:sz w:val="14"/>
          <w:szCs w:val="14"/>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2" w:lineRule="exact"/>
        <w:rPr>
          <w:sz w:val="20"/>
          <w:szCs w:val="20"/>
          <w:color w:val="auto"/>
        </w:rPr>
      </w:pPr>
    </w:p>
    <w:p>
      <w:pPr>
        <w:ind w:left="120" w:right="40" w:firstLine="440"/>
        <w:spacing w:after="0" w:line="233" w:lineRule="auto"/>
        <w:rPr>
          <w:sz w:val="20"/>
          <w:szCs w:val="20"/>
          <w:color w:val="auto"/>
        </w:rPr>
      </w:pPr>
      <w:r>
        <w:rPr>
          <w:rFonts w:ascii="Times New Roman" w:cs="Times New Roman" w:eastAsia="Times New Roman" w:hAnsi="Times New Roman"/>
          <w:sz w:val="14"/>
          <w:szCs w:val="14"/>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2" w:lineRule="exact"/>
        <w:rPr>
          <w:sz w:val="20"/>
          <w:szCs w:val="20"/>
          <w:color w:val="auto"/>
        </w:rPr>
      </w:pPr>
    </w:p>
    <w:p>
      <w:pPr>
        <w:ind w:left="120" w:right="40" w:firstLine="440"/>
        <w:spacing w:after="0" w:line="242" w:lineRule="auto"/>
        <w:rPr>
          <w:sz w:val="20"/>
          <w:szCs w:val="20"/>
          <w:color w:val="auto"/>
        </w:rPr>
      </w:pPr>
      <w:r>
        <w:rPr>
          <w:rFonts w:ascii="Times New Roman" w:cs="Times New Roman" w:eastAsia="Times New Roman" w:hAnsi="Times New Roman"/>
          <w:sz w:val="14"/>
          <w:szCs w:val="14"/>
          <w:color w:val="auto"/>
        </w:rPr>
        <w:t>Our common stock is traded on the New York Stock Exchange, or NYSE, under the symbol “TSLX.” On May 6, 2019, the last reported sales price of our common stock on the NYSE was $20.21 per share. The net asset value per share of our common stock at March 31, 2019 (the last date prior to the date of this prospectus for which we reported net asset value) was $16.34.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0" w:lineRule="exact"/>
        <w:rPr>
          <w:sz w:val="20"/>
          <w:szCs w:val="20"/>
          <w:color w:val="auto"/>
        </w:rPr>
      </w:pPr>
    </w:p>
    <w:p>
      <w:pPr>
        <w:ind w:left="120" w:right="40" w:firstLine="44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page55">
        <w:r>
          <w:rPr>
            <w:rFonts w:ascii="Times New Roman" w:cs="Times New Roman" w:eastAsia="Times New Roman" w:hAnsi="Times New Roman"/>
            <w:sz w:val="17"/>
            <w:szCs w:val="17"/>
            <w:b w:val="1"/>
            <w:bCs w:val="1"/>
            <w:u w:val="single" w:color="auto"/>
            <w:color w:val="0000EE"/>
          </w:rPr>
          <w:t>Risk Factors</w:t>
        </w:r>
      </w:hyperlink>
      <w:r>
        <w:rPr>
          <w:rFonts w:ascii="Times New Roman" w:cs="Times New Roman" w:eastAsia="Times New Roman" w:hAnsi="Times New Roman"/>
          <w:sz w:val="17"/>
          <w:szCs w:val="17"/>
          <w:b w:val="1"/>
          <w:bCs w:val="1"/>
          <w:color w:val="auto"/>
        </w:rPr>
        <w:t>” beginning on page 23 of this prospectus and in the documents incorporated by reference herein.</w:t>
      </w: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sales of our securities unless accompanied by a prospectus supplement.</w:t>
      </w:r>
    </w:p>
    <w:p>
      <w:pPr>
        <w:spacing w:after="0" w:line="30" w:lineRule="exact"/>
        <w:rPr>
          <w:sz w:val="20"/>
          <w:szCs w:val="20"/>
          <w:color w:val="auto"/>
        </w:rPr>
      </w:pPr>
    </w:p>
    <w:p>
      <w:pPr>
        <w:ind w:left="120" w:right="20" w:firstLine="440"/>
        <w:spacing w:after="0" w:line="229" w:lineRule="auto"/>
        <w:rPr>
          <w:sz w:val="20"/>
          <w:szCs w:val="20"/>
          <w:color w:val="auto"/>
        </w:rPr>
      </w:pPr>
      <w:r>
        <w:rPr>
          <w:rFonts w:ascii="Times New Roman" w:cs="Times New Roman" w:eastAsia="Times New Roman" w:hAnsi="Times New Roman"/>
          <w:sz w:val="14"/>
          <w:szCs w:val="14"/>
          <w:color w:val="auto"/>
        </w:rPr>
        <w:t>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35th Floor, New York, NY 10106, Attention: TSLX Investor Relations, by emailing us at IRTSL@tpg.com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4" w:lineRule="exact"/>
        <w:rPr>
          <w:sz w:val="20"/>
          <w:szCs w:val="20"/>
          <w:color w:val="auto"/>
        </w:rPr>
      </w:pPr>
    </w:p>
    <w:p>
      <w:pPr>
        <w:ind w:left="120" w:firstLine="440"/>
        <w:spacing w:after="0" w:line="263" w:lineRule="auto"/>
        <w:rPr>
          <w:sz w:val="20"/>
          <w:szCs w:val="20"/>
          <w:color w:val="auto"/>
        </w:rPr>
      </w:pPr>
      <w:r>
        <w:rPr>
          <w:rFonts w:ascii="Times New Roman" w:cs="Times New Roman" w:eastAsia="Times New Roman" w:hAnsi="Times New Roman"/>
          <w:sz w:val="14"/>
          <w:szCs w:val="14"/>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48260</wp:posOffset>
            </wp:positionV>
            <wp:extent cx="1474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The date of this prospectus is May 7, 2019</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CROSS-REFERENCE SHEET</w:t>
      </w:r>
    </w:p>
    <w:p>
      <w:pPr>
        <w:spacing w:after="0" w:line="237"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ITEM</w:t>
            </w:r>
          </w:p>
        </w:tc>
        <w:tc>
          <w:tcPr>
            <w:tcW w:w="5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CAPTION</w:t>
            </w:r>
          </w:p>
        </w:tc>
        <w:tc>
          <w:tcPr>
            <w:tcW w:w="4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IN PROSPECTUS</w:t>
            </w:r>
          </w:p>
        </w:tc>
        <w:tc>
          <w:tcPr>
            <w:tcW w:w="0" w:type="dxa"/>
            <w:vAlign w:val="bottom"/>
          </w:tcPr>
          <w:p>
            <w:pPr>
              <w:spacing w:after="0"/>
              <w:rPr>
                <w:sz w:val="1"/>
                <w:szCs w:val="1"/>
                <w:color w:val="auto"/>
              </w:rPr>
            </w:pPr>
          </w:p>
        </w:tc>
      </w:tr>
      <w:tr>
        <w:trPr>
          <w:trHeight w:val="173"/>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60" w:type="dxa"/>
            <w:vAlign w:val="bottom"/>
            <w:gridSpan w:val="2"/>
            <w:vMerge w:val="continue"/>
          </w:tcPr>
          <w:p>
            <w:pPr>
              <w:spacing w:after="0"/>
              <w:rPr>
                <w:sz w:val="15"/>
                <w:szCs w:val="15"/>
                <w:color w:val="auto"/>
              </w:rPr>
            </w:pPr>
          </w:p>
        </w:tc>
        <w:tc>
          <w:tcPr>
            <w:tcW w:w="4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80" w:type="dxa"/>
            <w:vAlign w:val="bottom"/>
          </w:tcPr>
          <w:p>
            <w:pPr>
              <w:jc w:val="center"/>
              <w:ind w:right="251"/>
              <w:spacing w:after="0" w:line="191" w:lineRule="exact"/>
              <w:rPr>
                <w:sz w:val="20"/>
                <w:szCs w:val="20"/>
                <w:color w:val="auto"/>
              </w:rPr>
            </w:pPr>
            <w:r>
              <w:rPr>
                <w:rFonts w:ascii="Times New Roman" w:cs="Times New Roman" w:eastAsia="Times New Roman" w:hAnsi="Times New Roman"/>
                <w:sz w:val="18"/>
                <w:szCs w:val="18"/>
                <w:color w:val="auto"/>
                <w:w w:val="88"/>
              </w:rPr>
              <w:t>1</w:t>
            </w:r>
          </w:p>
        </w:tc>
        <w:tc>
          <w:tcPr>
            <w:tcW w:w="4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Outside Front Cover</w:t>
            </w:r>
          </w:p>
        </w:tc>
        <w:tc>
          <w:tcPr>
            <w:tcW w:w="220" w:type="dxa"/>
            <w:vAlign w:val="bottom"/>
          </w:tcPr>
          <w:p>
            <w:pPr>
              <w:spacing w:after="0"/>
              <w:rPr>
                <w:sz w:val="16"/>
                <w:szCs w:val="16"/>
                <w:color w:val="auto"/>
              </w:rPr>
            </w:pPr>
          </w:p>
        </w:tc>
        <w:tc>
          <w:tcPr>
            <w:tcW w:w="4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Outside Front Cover Page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88"/>
              </w:rPr>
              <w:t>2</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Cover Pages; Other Offering Information</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Inside Front and Outside Back Cover Pages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88"/>
              </w:rPr>
              <w:t>3</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Fee Table and Synopsis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Fees and Expenses; Available Information</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88"/>
              </w:rPr>
              <w:t>4</w:t>
            </w: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Financial Highlights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Selected Financial Data and Other Information; Selected Quarterly</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Financial Data; Management’s Discussion and Analysis of</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Financial Condition and Results of Operations; Senior Securities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88"/>
              </w:rPr>
              <w:t>5</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Plan of Distribution</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Plan of Distribution</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88"/>
              </w:rPr>
              <w:t>6</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Selling Shareholders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88"/>
              </w:rPr>
              <w:t>7</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Use of Proceeds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Use of Proceeds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88"/>
              </w:rPr>
              <w:t>8</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General Description of the Registrant</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Outside Front Cover Page; Prospectus Summary; Risk Factors;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Results of Operations; The Company; Portfolio Companies;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Regulation; Shares Eligible for Future Sale; Price Range of</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and Distributions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88"/>
              </w:rPr>
              <w:t>9</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Management</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Management; Management and Other Agreements; Custodian,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Transfer and Dividend Paying Agent and Registrar</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10</w:t>
            </w: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Capital Stock, Long-Term Debt, and Other Securities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Material U.S. Federal Income Tax Considerations; Description of</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Our Capital Stock; Description of Our Preferred Stock;</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Description of Our Subscription Rights; Description of Our</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Description of Our Debt Securities; Dividend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Reinvestment Plan; Management’s Discussion and Analysis of</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Financial Condition and Results of Operations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88"/>
              </w:rPr>
              <w:t>11</w:t>
            </w: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Defaults and Arrears on Senior Securities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12</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Legal Proceedings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Company</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13</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Table of Contents of the Statement of Additional Information, or</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SAI</w:t>
            </w: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14</w:t>
            </w: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Cover Page of SAI</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15</w:t>
            </w: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Table of Contents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16</w:t>
            </w: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General Information and History</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17</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Investment Objective and Policies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Results of Operations; Senior Securities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18</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Management</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Management; Control Persons and Principal Stockholders;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Regulation; Available Information</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19</w:t>
            </w: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Control Persons and Principal Holders of Securities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Control Persons and Principal Stockholders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20</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Investment Advisory and Other Services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Management and Other Agreements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21</w:t>
            </w: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Portfolio Managers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22</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Brokerage Allocation and Other Practices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Brokerage Allocation and Other Practices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23</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Tax Status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Material U.S. Federal Income Tax Considerations</w:t>
            </w:r>
          </w:p>
        </w:tc>
        <w:tc>
          <w:tcPr>
            <w:tcW w:w="0" w:type="dxa"/>
            <w:vAlign w:val="bottom"/>
          </w:tcPr>
          <w:p>
            <w:pPr>
              <w:spacing w:after="0"/>
              <w:rPr>
                <w:sz w:val="1"/>
                <w:szCs w:val="1"/>
                <w:color w:val="auto"/>
              </w:rPr>
            </w:pPr>
          </w:p>
        </w:tc>
      </w:tr>
      <w:tr>
        <w:trPr>
          <w:trHeight w:val="234"/>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24</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Financial Statements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Financial Statements</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40"/>
          </w:cols>
          <w:pgMar w:left="320" w:top="455" w:right="4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w:t>
      </w:r>
    </w:p>
    <w:p>
      <w:pPr>
        <w:spacing w:after="0" w:line="38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984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41"/>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ABOUT THIS PROSPECTUS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SUMMARY</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THE OFFERING</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FEES AND EXPENSES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SELECTED FINANCIAL DATA AND OTHER INFORMATION</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SELECTED QUARTERLY FINANCIAL DATA</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RISK FACTORS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SPECIAL NOTE REGARDING FORWARD-LOOKING STATEMENTS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USE OF PROCEEDS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PRICE RANGE OF COMMON STOCK AND DISTRIBUTIONS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SENIOR SECURITIES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THE COMPANY</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PORTFOLIO COMPANIES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MANAGEMENT</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MANAGEMENT AND OTHER AGREEMENTS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RELATED-PARTY TRANSACTIONS AND CERTAIN RELATIONSHIPS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CONTROL PERSONS AND PRINCIPAL STOCKHOLDERS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DETERMINATION OF NET ASSET VALUE</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SALES OF COMMON STOCK BELOW NET ASSET VALUE</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DIVIDEND REINVESTMENT PLAN</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MATERIAL U.S. FEDERAL INCOME TAX CONSIDERATIONS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DESCRIPTION OF OUR SECURITIES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DESCRIPTION OF OUR CAPITAL STOCK</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97">
              <w:r>
                <w:rPr>
                  <w:rFonts w:ascii="Times New Roman" w:cs="Times New Roman" w:eastAsia="Times New Roman" w:hAnsi="Times New Roman"/>
                  <w:sz w:val="18"/>
                  <w:szCs w:val="18"/>
                  <w:u w:val="single" w:color="auto"/>
                  <w:color w:val="0000EE"/>
                </w:rPr>
                <w:t>DESCRIPTION OF OUR PREFERRED STOCK</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DESCRIPTION OF OUR SUBSCRIPTION RIGHTS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DESCRIPTION OF OUR WARRANTS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03">
              <w:r>
                <w:rPr>
                  <w:rFonts w:ascii="Times New Roman" w:cs="Times New Roman" w:eastAsia="Times New Roman" w:hAnsi="Times New Roman"/>
                  <w:sz w:val="18"/>
                  <w:szCs w:val="18"/>
                  <w:u w:val="single" w:color="auto"/>
                  <w:color w:val="0000EE"/>
                </w:rPr>
                <w:t>DESCRIPTION OF OUR DEBT SECURITIES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16">
              <w:r>
                <w:rPr>
                  <w:rFonts w:ascii="Times New Roman" w:cs="Times New Roman" w:eastAsia="Times New Roman" w:hAnsi="Times New Roman"/>
                  <w:sz w:val="18"/>
                  <w:szCs w:val="18"/>
                  <w:u w:val="single" w:color="auto"/>
                  <w:color w:val="0000EE"/>
                </w:rPr>
                <w:t>SHARES ELIGIBLE FOR FUTURE SALE</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REGULATION</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CUSTODIAN, TRANSFER AND DIVIDEND PAYING AGENT AND REGISTRAR</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BROKERAGE ALLOCATION AND OTHER PRACTICES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19">
              <w:r>
                <w:rPr>
                  <w:rFonts w:ascii="Times New Roman" w:cs="Times New Roman" w:eastAsia="Times New Roman" w:hAnsi="Times New Roman"/>
                  <w:sz w:val="18"/>
                  <w:szCs w:val="18"/>
                  <w:u w:val="single" w:color="auto"/>
                  <w:color w:val="0000EE"/>
                </w:rPr>
                <w:t>PLAN OF DISTRIBUTION</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LEGAL MATTERS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EXPERTS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AVAILABLE INFORMATION</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22">
              <w:r>
                <w:rPr>
                  <w:rFonts w:ascii="Times New Roman" w:cs="Times New Roman" w:eastAsia="Times New Roman" w:hAnsi="Times New Roman"/>
                  <w:sz w:val="18"/>
                  <w:szCs w:val="18"/>
                  <w:u w:val="single" w:color="auto"/>
                  <w:color w:val="0000EE"/>
                </w:rPr>
                <w:t>INFORMATION INCORPORATED BY REFERENCE</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bl>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This prospectus is part of an automatic shelf registration statement that we filed with the U.S. Securities and Exchange Commission, or SEC, as a “well-known seasoned issuer” as defined in Rule 405 under the Securities Act of 1933, as amended, or the Securities Act. Under the shelf registration process, which constitutes a delayed offering in reliance on Rule 415 under the Securities Act, we may offer, from time to time, in one or more offerings,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6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075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6998970" cy="67075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used in the prospectus, except where the context suggests otherwise, references to:</w:t>
      </w:r>
    </w:p>
    <w:p>
      <w:pPr>
        <w:spacing w:after="0" w:line="129" w:lineRule="exact"/>
        <w:rPr>
          <w:sz w:val="20"/>
          <w:szCs w:val="20"/>
          <w:color w:val="auto"/>
        </w:rPr>
      </w:pPr>
    </w:p>
    <w:p>
      <w:pPr>
        <w:ind w:left="1240" w:right="100" w:hanging="415"/>
        <w:spacing w:after="0" w:line="284"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“TSLX,” “TPG Specialty Lending,” “we,” “us,” “our,” the “Company,” and the “Registrant” refer to TPG Specialty Lending, Inc., a Delaware corporation, and its consolidated subsidiaries;</w:t>
      </w:r>
    </w:p>
    <w:p>
      <w:pPr>
        <w:spacing w:after="0" w:line="63" w:lineRule="exact"/>
        <w:rPr>
          <w:rFonts w:ascii="Times New Roman" w:cs="Times New Roman" w:eastAsia="Times New Roman" w:hAnsi="Times New Roman"/>
          <w:sz w:val="18"/>
          <w:szCs w:val="18"/>
          <w:color w:val="auto"/>
        </w:rPr>
      </w:pPr>
    </w:p>
    <w:p>
      <w:pPr>
        <w:ind w:left="1240" w:right="20" w:hanging="415"/>
        <w:spacing w:after="0" w:line="284"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consolidated subsidiaries of TPG Specialty Lending, Inc. refers to TC Lending, LLC, TPG SL SPV, LLC and TSL MR, LLC, each a Delaware limited liability company;</w:t>
      </w:r>
    </w:p>
    <w:p>
      <w:pPr>
        <w:spacing w:after="0" w:line="63"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“Adviser” refers to TSL Advisers, LLC, a Delaware limited liability company;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“TSSP” refers to TPG Sixth Street Partners, LLC;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“TPG” refers to TPG Global, LLC and its affiliates.</w:t>
      </w:r>
    </w:p>
    <w:p>
      <w:pPr>
        <w:spacing w:after="0" w:line="227"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TPG Specialty Lending</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March 31, 2019, we have originated more than $9.7 billion aggregate principal amount of investments and retained approximately</w:t>
      </w:r>
    </w:p>
    <w:p>
      <w:pPr>
        <w:ind w:left="300" w:right="40"/>
        <w:spacing w:after="0" w:line="251" w:lineRule="auto"/>
        <w:rPr>
          <w:sz w:val="20"/>
          <w:szCs w:val="20"/>
          <w:color w:val="auto"/>
        </w:rPr>
      </w:pPr>
      <w:r>
        <w:rPr>
          <w:rFonts w:ascii="Times New Roman" w:cs="Times New Roman" w:eastAsia="Times New Roman" w:hAnsi="Times New Roman"/>
          <w:sz w:val="18"/>
          <w:szCs w:val="18"/>
          <w:color w:val="auto"/>
        </w:rPr>
        <w:t>$5.4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March 31, 2019, our core portfolio companies, which excludes certain investments that fall outside of our typical borrower profile and represent 82.0% of our total investments based on fair value, had weighted average annual revenue of $107.0 million and weighted average annual EBITDA of $31.5 million.</w:t>
      </w:r>
    </w:p>
    <w:p>
      <w:pPr>
        <w:spacing w:after="0" w:line="194"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62" w:lineRule="exact"/>
        <w:rPr>
          <w:sz w:val="20"/>
          <w:szCs w:val="20"/>
          <w:color w:val="auto"/>
        </w:rPr>
      </w:pPr>
    </w:p>
    <w:p>
      <w:pPr>
        <w:ind w:left="300" w:right="100" w:firstLine="426"/>
        <w:spacing w:after="0" w:line="312" w:lineRule="auto"/>
        <w:rPr>
          <w:sz w:val="20"/>
          <w:szCs w:val="20"/>
          <w:color w:val="auto"/>
        </w:rPr>
      </w:pPr>
      <w:r>
        <w:rPr>
          <w:rFonts w:ascii="Times New Roman" w:cs="Times New Roman" w:eastAsia="Times New Roman" w:hAnsi="Times New Roman"/>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We invest in first-lien debt, second-lien debt,</w:t>
      </w:r>
    </w:p>
    <w:p>
      <w:pPr>
        <w:spacing w:after="0" w:line="200" w:lineRule="exact"/>
        <w:rPr>
          <w:sz w:val="20"/>
          <w:szCs w:val="20"/>
          <w:color w:val="auto"/>
        </w:rPr>
      </w:pPr>
    </w:p>
    <w:p>
      <w:pPr>
        <w:spacing w:after="0" w:line="3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99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8"/>
          <w:szCs w:val="18"/>
          <w:color w:val="auto"/>
        </w:rPr>
        <w:t>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3" w:lineRule="exact"/>
        <w:rPr>
          <w:sz w:val="20"/>
          <w:szCs w:val="20"/>
          <w:color w:val="auto"/>
        </w:rPr>
      </w:pPr>
    </w:p>
    <w:p>
      <w:pPr>
        <w:ind w:left="300" w:right="220" w:firstLine="426"/>
        <w:spacing w:after="0" w:line="261" w:lineRule="auto"/>
        <w:rPr>
          <w:sz w:val="20"/>
          <w:szCs w:val="20"/>
          <w:color w:val="auto"/>
        </w:rPr>
      </w:pPr>
      <w:r>
        <w:rPr>
          <w:rFonts w:ascii="Times New Roman" w:cs="Times New Roman" w:eastAsia="Times New Roman" w:hAnsi="Times New Roman"/>
          <w:sz w:val="18"/>
          <w:szCs w:val="18"/>
          <w:color w:val="auto"/>
        </w:rPr>
        <w:t>As of March 31, 2019, based on fair value our portfolio consisted of 97.4% first-lien debt investments, 0.2% second-lien debt investments, 0.1% mezzanine debt investments, and 2.3% equity and other investments. As of March 31, 2019, 99.7% of our debt investments based on fair value bore interest at floating rates (when including investment specific hedges), with 93.9% of these subject to interest rate floors, which we believe helps act as a portfolio-wide hedge against inflation.</w:t>
      </w:r>
    </w:p>
    <w:p>
      <w:pPr>
        <w:spacing w:after="0" w:line="180" w:lineRule="exact"/>
        <w:rPr>
          <w:sz w:val="20"/>
          <w:szCs w:val="20"/>
          <w:color w:val="auto"/>
        </w:r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As of March 31, 2019, we had investments in 48 portfolio companies with an aggregate fair value of $1,824.9 million. For the three months ended March 31, 2019, the principal amount of new investments funded was $145.3 million in four new portfolio companies and four existing portfolio companies. For this period, we had $33.1 million aggregate principal amount in exits and repayments.</w:t>
      </w:r>
    </w:p>
    <w:p>
      <w:pPr>
        <w:spacing w:after="0" w:line="176"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As of December 31, 2018, we had investments in 46 portfolio companies with an aggregate fair value of $1,706.0 million. For the year ended December 31, 2018, the principal amount of new investments funded was $816.9 million in 19 new portfolio companies and 14 existing portfolio companies. For this period, we had $790.3 million aggregate principal amount in exits and repayments.</w:t>
      </w:r>
    </w:p>
    <w:p>
      <w:pPr>
        <w:spacing w:after="0" w:line="176" w:lineRule="exact"/>
        <w:rPr>
          <w:sz w:val="20"/>
          <w:szCs w:val="20"/>
          <w:color w:val="auto"/>
        </w:rPr>
      </w:pPr>
    </w:p>
    <w:p>
      <w:pPr>
        <w:jc w:val="both"/>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As of March 31, 2019, the largest single investment based on fair value represented 4.6% of our total investment portfolio. As of March 31, 2019, the average investment size in each of our portfolio companies was approximately $38.0 million based on fair value. As of March 31, 2019, the largest industry represented 20.0% of our total portfolio based on fair value.</w:t>
      </w:r>
    </w:p>
    <w:p>
      <w:pPr>
        <w:spacing w:after="0" w:line="176"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Since we began investing in 2011 through March 31, 2019, weighted by capital invested, our exited investments have generated an average realized gross internal rate of return to us of 18.7% (based on total capital invested of $3.4 billion and total proceeds from these exited investments of $4.3 billion). Eighty nine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March 31, 2019 (the “2019 Q1 Quarterly Report”), which is incorporated herein by reference.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2018 (the “2018 Annual Report”) for more information on these requirements.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16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left="300" w:right="600" w:firstLine="426"/>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62"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87"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TSSP is a global finance and investment firm with over $30 billion of assets under management as of December 31, 2018. TSSP is in a strategic partnership with TPG, the global alternative asset firm. TSSP’s core platforms include TPG Specialty Lending, TSL Europe, which is aimed at European middle-market loan originations, TSSP Adjacent Opportunities, which has the flexibility to invest across all of TSSP’s private credit market investments, TSSP Opportunities Partners, which focuses on actively managed opportunistic investments across the credit cycle, TPG Institutional Credit Partners, which is a “public-side” credit investment platform focused on investment opportunities in broadly syndicated leveraged loan markets, and TSSP Capital Solutions, which provides financing solutions to growing companies. TSSP has a long-term oriented, highly flexible capital base that allows it to invest across industries, geographies, capital structures and asset classes. TSSP has extensive experience with highly complex, global public and private investments executed through primary originations, secondary market purchases and restructurings, and has a team of over 200 investment and operating professionals. As of March 31, 2019, thirty two (32) of these personnel are dedicated to our business, including twenty five (25) investment professionals.</w:t>
      </w:r>
    </w:p>
    <w:p>
      <w:pPr>
        <w:spacing w:after="0" w:line="194" w:lineRule="exact"/>
        <w:rPr>
          <w:sz w:val="20"/>
          <w:szCs w:val="20"/>
          <w:color w:val="auto"/>
        </w:rPr>
      </w:pPr>
    </w:p>
    <w:p>
      <w:pPr>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TPG is a leading global private investment firm founded in 1992. TPG is headquartered in San Francisco and Fort Worth, with additional offices in Austin, Beijing, Boston, Dallas, Hong Kong, Houston, London, Luxembourg, Melbourne, Moscow, Mumbai, New York, Seoul and Singapore.</w:t>
      </w:r>
    </w:p>
    <w:p>
      <w:pPr>
        <w:spacing w:after="0" w:line="176"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Our Adviser consults with TSSP in connection with a substantial number of our investments. The TSSP platform provides us with a breadth of large and scalable investment resources. We believe we benefit from TSSP’s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About Our Administrator</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the section entitled “Administration Agreement” in Note 3 to our consolidated financial statements in our 2019 Q1 Quarterly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734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52" w:lineRule="exact"/>
        <w:rPr>
          <w:sz w:val="20"/>
          <w:szCs w:val="20"/>
          <w:color w:val="auto"/>
        </w:rPr>
      </w:pPr>
    </w:p>
    <w:p>
      <w:pPr>
        <w:ind w:left="300" w:right="20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Limited availability of capital for middle-market companies</w:t>
      </w:r>
      <w:r>
        <w:rPr>
          <w:rFonts w:ascii="Times New Roman" w:cs="Times New Roman" w:eastAsia="Times New Roman" w:hAnsi="Times New Roman"/>
          <w:sz w:val="18"/>
          <w:szCs w:val="18"/>
          <w:color w:val="auto"/>
        </w:rPr>
        <w:t>. We believe that certain structural changes in the market have reduced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w:t>
      </w:r>
    </w:p>
    <w:p>
      <w:pPr>
        <w:spacing w:after="0" w:line="188"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Strong demand for debt capital</w:t>
      </w:r>
      <w:r>
        <w:rPr>
          <w:rFonts w:ascii="Times New Roman" w:cs="Times New Roman" w:eastAsia="Times New Roman" w:hAnsi="Times New Roman"/>
          <w:sz w:val="18"/>
          <w:szCs w:val="18"/>
          <w:color w:val="auto"/>
        </w:rPr>
        <w:t>. We believe middle-market companies will continue to require access to debt capital to refinance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support growth and finance acquisitions. In addition, we believe the large amount of uninvested capital held by funds of private equity firms, estimated by Preqin Ltd., an alternative assets industry data and research company, at over $2.0 trillion as of May 2019, will continue to drive deal activity. We expect that private equity firms will continue to pursue acquisitions and to seek to leverage their equity investments with secured loans provided by companies such as ours.</w:t>
      </w:r>
    </w:p>
    <w:p>
      <w:pPr>
        <w:spacing w:after="0" w:line="183" w:lineRule="exact"/>
        <w:rPr>
          <w:sz w:val="20"/>
          <w:szCs w:val="20"/>
          <w:color w:val="auto"/>
        </w:rPr>
      </w:pPr>
    </w:p>
    <w:p>
      <w:pPr>
        <w:ind w:left="300" w:right="8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Attractive investment dynamics</w:t>
      </w:r>
      <w:r>
        <w:rPr>
          <w:rFonts w:ascii="Times New Roman" w:cs="Times New Roman" w:eastAsia="Times New Roman" w:hAnsi="Times New Roman"/>
          <w:sz w:val="18"/>
          <w:szCs w:val="18"/>
          <w:color w:val="auto"/>
        </w:rPr>
        <w:t>. An imbalance between the supply of, and demand for, middle-market debt capital creates attractive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82"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Conservative capital structures</w:t>
      </w:r>
      <w:r>
        <w:rPr>
          <w:rFonts w:ascii="Times New Roman" w:cs="Times New Roman" w:eastAsia="Times New Roman" w:hAnsi="Times New Roman"/>
          <w:sz w:val="18"/>
          <w:szCs w:val="18"/>
          <w:color w:val="auto"/>
        </w:rPr>
        <w:t>. Following the credit crisis, which we define broadly as occurring between mid-2007 and mid-2009,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3"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Specialized lending requirements</w:t>
      </w:r>
      <w:r>
        <w:rPr>
          <w:rFonts w:ascii="Times New Roman" w:cs="Times New Roman" w:eastAsia="Times New Roman" w:hAnsi="Times New Roman"/>
          <w:sz w:val="18"/>
          <w:szCs w:val="18"/>
          <w:color w:val="auto"/>
        </w:rPr>
        <w:t>. Lending to middle-market companies requires specialized due diligence and underwriting capabilities,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TSSP position us more strongly than many capital providers to lend to middle-market companies.</w:t>
      </w:r>
    </w:p>
    <w:p>
      <w:pPr>
        <w:spacing w:after="0" w:line="180" w:lineRule="exact"/>
        <w:rPr>
          <w:sz w:val="20"/>
          <w:szCs w:val="20"/>
          <w:color w:val="auto"/>
        </w:rPr>
      </w:pPr>
    </w:p>
    <w:p>
      <w:pPr>
        <w:ind w:left="300" w:right="3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Desirability of partnering with BDCs</w:t>
      </w:r>
      <w:r>
        <w:rPr>
          <w:rFonts w:ascii="Times New Roman" w:cs="Times New Roman" w:eastAsia="Times New Roman" w:hAnsi="Times New Roman"/>
          <w:sz w:val="18"/>
          <w:szCs w:val="18"/>
          <w:color w:val="auto"/>
        </w:rPr>
        <w:t>. We believe middle-market companies see advantages in raising capital from BDCs. BDCs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offer attractive financing structures, including unitranche loans and</w:t>
      </w:r>
    </w:p>
    <w:p>
      <w:pPr>
        <w:spacing w:after="0" w:line="200" w:lineRule="exact"/>
        <w:rPr>
          <w:sz w:val="20"/>
          <w:szCs w:val="20"/>
          <w:color w:val="auto"/>
        </w:rPr>
      </w:pPr>
    </w:p>
    <w:p>
      <w:pPr>
        <w:spacing w:after="0" w:line="39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82" w:lineRule="auto"/>
        <w:rPr>
          <w:sz w:val="20"/>
          <w:szCs w:val="20"/>
          <w:color w:val="auto"/>
        </w:rPr>
      </w:pPr>
      <w:r>
        <w:rPr>
          <w:rFonts w:ascii="Times New Roman" w:cs="Times New Roman" w:eastAsia="Times New Roman" w:hAnsi="Times New Roman"/>
          <w:sz w:val="18"/>
          <w:szCs w:val="18"/>
          <w:color w:val="auto"/>
        </w:rPr>
        <w:t>“one-stop” financings and can provide a valuable combination of flexibility to develop loans that reflect each borrower’s distinct situation, long-term relationship focus and reliability as a potential source of future capital.</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Competitive Strengths and Core Competencies</w:t>
      </w:r>
    </w:p>
    <w:p>
      <w:pPr>
        <w:spacing w:after="0" w:line="119"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Leading platform and access to proprietary deal flow</w:t>
      </w:r>
      <w:r>
        <w:rPr>
          <w:rFonts w:ascii="Times New Roman" w:cs="Times New Roman" w:eastAsia="Times New Roman" w:hAnsi="Times New Roman"/>
          <w:sz w:val="18"/>
          <w:szCs w:val="18"/>
          <w:color w:val="auto"/>
        </w:rPr>
        <w:t>. The substantial majority of our investments are not intermediated and are originated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the assistance of investment banks or other traditional Wall Street sources. Our Adviser has a dedicated team of 25 investment professionals responsible for originating, underwriting, executing and managing the assets of our direct lending transactions. This team is responsible for sourcing and executing opportunities directly, while leveraging the resources and expertise of the TSSP platform. The senior members of our Investment Team have over 235 years of collective experience as commercial dealmakers.</w:t>
      </w:r>
    </w:p>
    <w:p>
      <w:pPr>
        <w:spacing w:after="0" w:line="185"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83"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In addition, our Adviser draws upon the resources of TSSP in underwriting transactions, performing due diligence, managing assets and optimizing our operations as a public company. Access to TSSP resources complements our Adviser’s view of markets and provides insight into important cyclical patterns.</w:t>
      </w:r>
    </w:p>
    <w:p>
      <w:pPr>
        <w:spacing w:after="0" w:line="174" w:lineRule="exact"/>
        <w:rPr>
          <w:sz w:val="20"/>
          <w:szCs w:val="20"/>
          <w:color w:val="auto"/>
        </w:rPr>
      </w:pPr>
    </w:p>
    <w:p>
      <w:pPr>
        <w:jc w:val="both"/>
        <w:ind w:left="300" w:right="22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Disciplined investment and underwriting process</w:t>
      </w:r>
      <w:r>
        <w:rPr>
          <w:rFonts w:ascii="Times New Roman" w:cs="Times New Roman" w:eastAsia="Times New Roman" w:hAnsi="Times New Roman"/>
          <w:sz w:val="18"/>
          <w:szCs w:val="18"/>
          <w:color w:val="auto"/>
        </w:rPr>
        <w:t>. Through our Adviser, we seek to achieve the highest risk-adjusted returns available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opposed 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85" w:lineRule="exact"/>
        <w:rPr>
          <w:sz w:val="20"/>
          <w:szCs w:val="20"/>
          <w:color w:val="auto"/>
        </w:rPr>
      </w:pPr>
    </w:p>
    <w:p>
      <w:pPr>
        <w:ind w:left="1240" w:right="80" w:hanging="415"/>
        <w:spacing w:after="0" w:line="284"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Flexibility</w:t>
      </w:r>
      <w:r>
        <w:rPr>
          <w:rFonts w:ascii="Times New Roman" w:cs="Times New Roman" w:eastAsia="Times New Roman" w:hAnsi="Times New Roman"/>
          <w:sz w:val="18"/>
          <w:szCs w:val="18"/>
          <w:color w:val="auto"/>
        </w:rPr>
        <w:t>. Our broad middle-market focus and our Adviser’s integrated position within TSSP allow us to determine current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and identify relative value.</w:t>
      </w:r>
    </w:p>
    <w:p>
      <w:pPr>
        <w:spacing w:after="0" w:line="63" w:lineRule="exact"/>
        <w:rPr>
          <w:rFonts w:ascii="Times New Roman" w:cs="Times New Roman" w:eastAsia="Times New Roman" w:hAnsi="Times New Roman"/>
          <w:sz w:val="18"/>
          <w:szCs w:val="18"/>
          <w:color w:val="auto"/>
        </w:rPr>
      </w:pPr>
    </w:p>
    <w:p>
      <w:pPr>
        <w:ind w:left="1240" w:right="40" w:hanging="415"/>
        <w:spacing w:after="0" w:line="258"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pricing</w:t>
      </w:r>
      <w:r>
        <w:rPr>
          <w:rFonts w:ascii="Times New Roman" w:cs="Times New Roman" w:eastAsia="Times New Roman" w:hAnsi="Times New Roman"/>
          <w:sz w:val="18"/>
          <w:szCs w:val="18"/>
          <w:color w:val="auto"/>
        </w:rPr>
        <w:t>. The risk profile of our portfolio evolves across credit cycles as credit tightens and loosens. During periods when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88" w:lineRule="exact"/>
        <w:rPr>
          <w:rFonts w:ascii="Times New Roman" w:cs="Times New Roman" w:eastAsia="Times New Roman" w:hAnsi="Times New Roman"/>
          <w:sz w:val="18"/>
          <w:szCs w:val="18"/>
          <w:color w:val="auto"/>
        </w:rPr>
      </w:pPr>
    </w:p>
    <w:p>
      <w:pPr>
        <w:ind w:left="1240" w:right="180" w:hanging="415"/>
        <w:spacing w:after="0" w:line="284"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Disciplined four-tiered investment framework</w:t>
      </w:r>
      <w:r>
        <w:rPr>
          <w:rFonts w:ascii="Times New Roman" w:cs="Times New Roman" w:eastAsia="Times New Roman" w:hAnsi="Times New Roman"/>
          <w:sz w:val="18"/>
          <w:szCs w:val="18"/>
          <w:color w:val="auto"/>
        </w:rPr>
        <w:t>. Through our Adviser, we perform detailed company-specific analysis focusing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four-tiered investment framework:</w:t>
      </w:r>
    </w:p>
    <w:p>
      <w:pPr>
        <w:spacing w:after="0" w:line="63" w:lineRule="exact"/>
        <w:rPr>
          <w:rFonts w:ascii="Times New Roman" w:cs="Times New Roman" w:eastAsia="Times New Roman" w:hAnsi="Times New Roman"/>
          <w:sz w:val="18"/>
          <w:szCs w:val="18"/>
          <w:color w:val="auto"/>
        </w:rPr>
      </w:pPr>
    </w:p>
    <w:p>
      <w:pPr>
        <w:ind w:left="1640" w:hanging="289"/>
        <w:spacing w:after="0" w:line="257" w:lineRule="auto"/>
        <w:tabs>
          <w:tab w:leader="none" w:pos="1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and sector selection</w:t>
      </w:r>
      <w:r>
        <w:rPr>
          <w:rFonts w:ascii="Times New Roman" w:cs="Times New Roman" w:eastAsia="Times New Roman" w:hAnsi="Times New Roman"/>
          <w:sz w:val="18"/>
          <w:szCs w:val="18"/>
          <w:color w:val="auto"/>
        </w:rPr>
        <w:t>. We focus on companies with enterprise value between $50 million and $1 billion.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00"/>
          </w:cols>
          <w:pgMar w:left="320" w:top="455" w:right="7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930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640" w:right="120" w:hanging="289"/>
        <w:spacing w:after="0" w:line="257" w:lineRule="auto"/>
        <w:tabs>
          <w:tab w:leader="none" w:pos="1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structuring</w:t>
      </w:r>
      <w:r>
        <w:rPr>
          <w:rFonts w:ascii="Times New Roman" w:cs="Times New Roman" w:eastAsia="Times New Roman" w:hAnsi="Times New Roman"/>
          <w:sz w:val="18"/>
          <w:szCs w:val="18"/>
          <w:color w:val="auto"/>
        </w:rPr>
        <w:t>. We focus on investing at the top of the capital structure and protecting that position. We carefully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87" w:lineRule="exact"/>
        <w:rPr>
          <w:rFonts w:ascii="Times New Roman" w:cs="Times New Roman" w:eastAsia="Times New Roman" w:hAnsi="Times New Roman"/>
          <w:sz w:val="18"/>
          <w:szCs w:val="18"/>
          <w:color w:val="auto"/>
        </w:rPr>
      </w:pPr>
    </w:p>
    <w:p>
      <w:pPr>
        <w:ind w:left="1640" w:right="160" w:hanging="289"/>
        <w:spacing w:after="0" w:line="261" w:lineRule="auto"/>
        <w:tabs>
          <w:tab w:leader="none" w:pos="1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Deal dynamics</w:t>
      </w:r>
      <w:r>
        <w:rPr>
          <w:rFonts w:ascii="Times New Roman" w:cs="Times New Roman" w:eastAsia="Times New Roman" w:hAnsi="Times New Roman"/>
          <w:sz w:val="18"/>
          <w:szCs w:val="18"/>
          <w:color w:val="auto"/>
        </w:rPr>
        <w:t>. We focus on, among other deal dynamics, direct origination of investments, where we identify and lead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85" w:lineRule="exact"/>
        <w:rPr>
          <w:rFonts w:ascii="Times New Roman" w:cs="Times New Roman" w:eastAsia="Times New Roman" w:hAnsi="Times New Roman"/>
          <w:sz w:val="18"/>
          <w:szCs w:val="18"/>
          <w:color w:val="auto"/>
        </w:rPr>
      </w:pPr>
    </w:p>
    <w:p>
      <w:pPr>
        <w:ind w:left="1640" w:right="100" w:hanging="289"/>
        <w:spacing w:after="0" w:line="267" w:lineRule="auto"/>
        <w:tabs>
          <w:tab w:leader="none" w:pos="1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mitigation</w:t>
      </w:r>
      <w:r>
        <w:rPr>
          <w:rFonts w:ascii="Times New Roman" w:cs="Times New Roman" w:eastAsia="Times New Roman" w:hAnsi="Times New Roman"/>
          <w:sz w:val="18"/>
          <w:szCs w:val="18"/>
          <w:color w:val="auto"/>
        </w:rPr>
        <w:t>. We seek to mitigate non-credit-related risk on our returns in several ways, including call protection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protect future payment income. In addition, most of our investments are floating rate in nature, which we believe helps act as a portfolio-wide hedge against inflation.</w:t>
      </w:r>
    </w:p>
    <w:p>
      <w:pPr>
        <w:spacing w:after="0" w:line="78" w:lineRule="exact"/>
        <w:rPr>
          <w:rFonts w:ascii="Times New Roman" w:cs="Times New Roman" w:eastAsia="Times New Roman" w:hAnsi="Times New Roman"/>
          <w:sz w:val="18"/>
          <w:szCs w:val="18"/>
          <w:color w:val="auto"/>
        </w:rPr>
      </w:pPr>
    </w:p>
    <w:p>
      <w:pPr>
        <w:ind w:left="1240" w:right="180" w:hanging="415"/>
        <w:spacing w:after="0" w:line="267"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Robust and active investment management</w:t>
      </w:r>
      <w:r>
        <w:rPr>
          <w:rFonts w:ascii="Times New Roman" w:cs="Times New Roman" w:eastAsia="Times New Roman" w:hAnsi="Times New Roman"/>
          <w:sz w:val="18"/>
          <w:szCs w:val="18"/>
          <w:color w:val="auto"/>
        </w:rPr>
        <w:t>. Our Adviser rigorously monitors the credit profile of portfolio investments, with the aim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proactively identifying sector and operational issues and carefully managing risks. The information gathered on market trends through this process also informs our underwriting for new loans.</w:t>
      </w:r>
    </w:p>
    <w:p>
      <w:pPr>
        <w:spacing w:after="0" w:line="175" w:lineRule="exact"/>
        <w:rPr>
          <w:sz w:val="20"/>
          <w:szCs w:val="20"/>
          <w:color w:val="auto"/>
        </w:rPr>
      </w:pPr>
    </w:p>
    <w:p>
      <w:pPr>
        <w:ind w:left="300" w:right="540" w:firstLine="426"/>
        <w:spacing w:after="0" w:line="282" w:lineRule="auto"/>
        <w:rPr>
          <w:sz w:val="20"/>
          <w:szCs w:val="20"/>
          <w:color w:val="auto"/>
        </w:rPr>
      </w:pPr>
      <w:r>
        <w:rPr>
          <w:rFonts w:ascii="Times New Roman" w:cs="Times New Roman" w:eastAsia="Times New Roman" w:hAnsi="Times New Roman"/>
          <w:sz w:val="18"/>
          <w:szCs w:val="18"/>
          <w:color w:val="auto"/>
        </w:rPr>
        <w:t>We tailor investments rather than focusing only on driving investment volume. We closed approximately 2.2% of approximately 6,250 investment opportunities our Investment Team reviewed since our inception through December 31, 2018.</w:t>
      </w:r>
    </w:p>
    <w:p>
      <w:pPr>
        <w:spacing w:after="0" w:line="160"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Carefully constructed, existing portfolio consisting of predominantly senior, floating rate loans across a broad range of industries and borrowers. </w:t>
      </w:r>
      <w:r>
        <w:rPr>
          <w:rFonts w:ascii="Times New Roman" w:cs="Times New Roman" w:eastAsia="Times New Roman" w:hAnsi="Times New Roman"/>
          <w:sz w:val="18"/>
          <w:szCs w:val="18"/>
          <w:color w:val="auto"/>
        </w:rPr>
        <w:t>Since we began investing in July 2011, we have originated more than $9.7 billion aggregate principal amount of investments.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2019, we had a portfolio of investments in 48 portfolio companies with an aggregate fair value of $1,824.9 million that we believe exhibits strong credit quality and broad industry composition. As of March 31, 2019, 99.7% of our debt investments based on fair value bore interest at floating rates (when including investment specific hedges), with 93.9% of these subject to interest rate floors, and 97.4% of the fair value of our portfolio was invested in first-lien debt investments. We believe this portfolio will allow us to generate meaningful investment income, and consequently dividend income, for our stockholders.</w:t>
      </w:r>
    </w:p>
    <w:p>
      <w:pPr>
        <w:spacing w:after="0" w:line="183"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Experienced management team</w:t>
      </w:r>
      <w:r>
        <w:rPr>
          <w:rFonts w:ascii="Times New Roman" w:cs="Times New Roman" w:eastAsia="Times New Roman" w:hAnsi="Times New Roman"/>
          <w:sz w:val="18"/>
          <w:szCs w:val="18"/>
          <w:color w:val="auto"/>
        </w:rPr>
        <w:t>. The Adviser has a highly experienced management team consisting of seven TSSP Partners and four TSSP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9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both"/>
        <w:ind w:left="300" w:right="26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Aligned investment professionals</w:t>
      </w:r>
      <w:r>
        <w:rPr>
          <w:rFonts w:ascii="Times New Roman" w:cs="Times New Roman" w:eastAsia="Times New Roman" w:hAnsi="Times New Roman"/>
          <w:sz w:val="18"/>
          <w:szCs w:val="18"/>
          <w:color w:val="auto"/>
        </w:rPr>
        <w:t>. We believe our investment professionals are aligned with our investment objective.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for our investment professionals is based on our returns, as opposed to transaction volume, which we believe fosters a focus on credit quality when originating investments.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121" w:lineRule="exact"/>
        <w:rPr>
          <w:sz w:val="20"/>
          <w:szCs w:val="20"/>
          <w:color w:val="auto"/>
        </w:rPr>
      </w:pPr>
    </w:p>
    <w:p>
      <w:pPr>
        <w:ind w:left="300" w:firstLine="426"/>
        <w:spacing w:after="0" w:line="312" w:lineRule="auto"/>
        <w:rPr>
          <w:sz w:val="20"/>
          <w:szCs w:val="20"/>
          <w:color w:val="auto"/>
        </w:rPr>
      </w:pPr>
      <w:r>
        <w:rPr>
          <w:rFonts w:ascii="Times New Roman" w:cs="Times New Roman" w:eastAsia="Times New Roman" w:hAnsi="Times New Roman"/>
          <w:sz w:val="17"/>
          <w:szCs w:val="17"/>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a BDC, we are required to comply with numerous regulatory requirements:</w:t>
      </w:r>
    </w:p>
    <w:p>
      <w:pPr>
        <w:spacing w:after="0" w:line="129" w:lineRule="exact"/>
        <w:rPr>
          <w:sz w:val="20"/>
          <w:szCs w:val="20"/>
          <w:color w:val="auto"/>
        </w:rPr>
      </w:pPr>
    </w:p>
    <w:p>
      <w:pPr>
        <w:ind w:left="1240" w:right="40" w:hanging="415"/>
        <w:spacing w:after="0" w:line="257"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Leverage</w:t>
      </w:r>
      <w:r>
        <w:rPr>
          <w:rFonts w:ascii="Times New Roman" w:cs="Times New Roman" w:eastAsia="Times New Roman" w:hAnsi="Times New Roman"/>
          <w:sz w:val="18"/>
          <w:szCs w:val="18"/>
          <w:color w:val="auto"/>
        </w:rPr>
        <w:t>. Regulations under the 1940 Act limit our ability to use borrowing, also known as leverage, in significant respects.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2018 Annual Report.</w:t>
      </w:r>
    </w:p>
    <w:p>
      <w:pPr>
        <w:spacing w:after="0" w:line="87" w:lineRule="exact"/>
        <w:rPr>
          <w:rFonts w:ascii="Times New Roman" w:cs="Times New Roman" w:eastAsia="Times New Roman" w:hAnsi="Times New Roman"/>
          <w:sz w:val="18"/>
          <w:szCs w:val="18"/>
          <w:color w:val="auto"/>
        </w:rPr>
      </w:pPr>
    </w:p>
    <w:p>
      <w:pPr>
        <w:ind w:left="1240" w:right="100" w:hanging="415"/>
        <w:spacing w:after="0" w:line="290" w:lineRule="auto"/>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Investment Allocation</w:t>
      </w:r>
      <w:r>
        <w:rPr>
          <w:rFonts w:ascii="Times New Roman" w:cs="Times New Roman" w:eastAsia="Times New Roman" w:hAnsi="Times New Roman"/>
          <w:sz w:val="17"/>
          <w:szCs w:val="17"/>
          <w:color w:val="auto"/>
        </w:rPr>
        <w:t>. As a BDC, we are required to invest at least 70% of our total assets in qualifying assets, which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securities of “eligible portfolio companies,” cash, cash equivalents, U.S. government securities and high-quality debt instruments maturing in one year or less from the time of investment. “Eligible portfolio companies” are defined in the 1940 Act as:</w:t>
      </w:r>
    </w:p>
    <w:p>
      <w:pPr>
        <w:spacing w:after="0" w:line="62" w:lineRule="exact"/>
        <w:rPr>
          <w:rFonts w:ascii="Times New Roman" w:cs="Times New Roman" w:eastAsia="Times New Roman" w:hAnsi="Times New Roman"/>
          <w:sz w:val="17"/>
          <w:szCs w:val="17"/>
          <w:color w:val="auto"/>
        </w:rPr>
      </w:pPr>
    </w:p>
    <w:p>
      <w:pPr>
        <w:ind w:left="1640" w:hanging="289"/>
        <w:spacing w:after="0"/>
        <w:tabs>
          <w:tab w:leader="none" w:pos="16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domestic operating companies;</w:t>
      </w:r>
    </w:p>
    <w:p>
      <w:pPr>
        <w:spacing w:after="0" w:line="130" w:lineRule="exact"/>
        <w:rPr>
          <w:rFonts w:ascii="Times New Roman" w:cs="Times New Roman" w:eastAsia="Times New Roman" w:hAnsi="Times New Roman"/>
          <w:sz w:val="18"/>
          <w:szCs w:val="18"/>
          <w:color w:val="auto"/>
        </w:rPr>
      </w:pPr>
    </w:p>
    <w:p>
      <w:pPr>
        <w:ind w:left="1640" w:right="200" w:hanging="289"/>
        <w:spacing w:after="0" w:line="266" w:lineRule="auto"/>
        <w:tabs>
          <w:tab w:leader="none" w:pos="16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81"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domestic operating companies having a market capitalization of less than $250 million.</w:t>
      </w:r>
    </w:p>
    <w:p>
      <w:pPr>
        <w:spacing w:after="0" w:line="225"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65" w:lineRule="exact"/>
        <w:rPr>
          <w:sz w:val="20"/>
          <w:szCs w:val="20"/>
          <w:color w:val="auto"/>
        </w:rPr>
      </w:pPr>
    </w:p>
    <w:p>
      <w:pPr>
        <w:ind w:left="1240" w:hanging="415"/>
        <w:spacing w:after="0" w:line="267"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RIC Status</w:t>
      </w:r>
      <w:r>
        <w:rPr>
          <w:rFonts w:ascii="Times New Roman" w:cs="Times New Roman" w:eastAsia="Times New Roman" w:hAnsi="Times New Roman"/>
          <w:sz w:val="18"/>
          <w:szCs w:val="18"/>
          <w:color w:val="auto"/>
        </w:rPr>
        <w:t>. We have elected to be treated as a RIC for U.S. federal income tax purposes. To maintain our status as a RIC and to avoid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our earnings subject to corporate-level U.S. federal income taxation, we must satisfy certain source of income, asset diversification and distribution requirements.</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“Material U.S. Federal Income Tax Considerations.”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Leverage</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40"/>
          </w:cols>
          <w:pgMar w:left="320" w:top="455" w:right="7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734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 October 8, 2018, our stockholders approved the application of the minimum asset coverage ratio of 150% to us, as set forth in</w:t>
      </w:r>
    </w:p>
    <w:p>
      <w:pPr>
        <w:spacing w:after="0" w:line="27"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86"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As of March 31, 2019, no Management Fees have been waived pursuant to the Leverage Waiver.</w:t>
      </w:r>
    </w:p>
    <w:p>
      <w:pPr>
        <w:spacing w:after="0" w:line="187" w:lineRule="exact"/>
        <w:rPr>
          <w:sz w:val="20"/>
          <w:szCs w:val="20"/>
          <w:color w:val="auto"/>
        </w:rPr>
      </w:pPr>
    </w:p>
    <w:p>
      <w:pPr>
        <w:jc w:val="both"/>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87" w:lineRule="exact"/>
        <w:rPr>
          <w:sz w:val="20"/>
          <w:szCs w:val="20"/>
          <w:color w:val="auto"/>
        </w:rPr>
      </w:pPr>
    </w:p>
    <w:p>
      <w:pPr>
        <w:jc w:val="both"/>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See “Business—General—Our Company”; and “Business—General—Regulation as a Business Development Company” in Part I, Item 1 of our 2018 Annual Report, as well as “Risk Factors—Legislation allows us to incur additional leverage,” “Risk Factors—We borrow money, which magnifies the potential for gain or loss and increases the risk of investing in us” and “Risk Factors—Risks Regulations governing our operation as a BDC affect our ability to, and the way in which we, raise additional capital” in Part II, Item 1A of our 2019 Q1 Quarterly Report.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Conflicts of Interests</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the Adviser and its affiliates intend to allocate investment opportunities in a fair and equitable manner in accordance with their allocation principles. In particular,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92" w:lineRule="exact"/>
        <w:rPr>
          <w:sz w:val="20"/>
          <w:szCs w:val="20"/>
          <w:color w:val="auto"/>
        </w:rPr>
      </w:pPr>
    </w:p>
    <w:p>
      <w:pPr>
        <w:ind w:left="300" w:right="560" w:firstLine="426"/>
        <w:spacing w:after="0" w:line="282" w:lineRule="auto"/>
        <w:rPr>
          <w:sz w:val="20"/>
          <w:szCs w:val="20"/>
          <w:color w:val="auto"/>
        </w:rPr>
      </w:pPr>
      <w:r>
        <w:rPr>
          <w:rFonts w:ascii="Times New Roman" w:cs="Times New Roman" w:eastAsia="Times New Roman" w:hAnsi="Times New Roman"/>
          <w:sz w:val="18"/>
          <w:szCs w:val="18"/>
          <w:color w:val="auto"/>
        </w:rPr>
        <w:t>While we seek to generate current income primarily in U.S.-domiciled middle-market companies through direct originations of senior secured loans, we may also invest up to 30% of our portfolio opportunistically in</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55" w:right="6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47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54" w:lineRule="auto"/>
        <w:rPr>
          <w:sz w:val="20"/>
          <w:szCs w:val="20"/>
          <w:color w:val="auto"/>
        </w:rPr>
      </w:pPr>
      <w:r>
        <w:rPr>
          <w:rFonts w:ascii="Times New Roman" w:cs="Times New Roman" w:eastAsia="Times New Roman" w:hAnsi="Times New Roman"/>
          <w:sz w:val="18"/>
          <w:szCs w:val="18"/>
          <w:color w:val="auto"/>
        </w:rPr>
        <w:t>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TSSP or TPG funds or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92" w:lineRule="exact"/>
        <w:rPr>
          <w:sz w:val="20"/>
          <w:szCs w:val="20"/>
          <w:color w:val="auto"/>
        </w:rPr>
      </w:pPr>
    </w:p>
    <w:p>
      <w:pPr>
        <w:ind w:left="300" w:right="120" w:firstLine="426"/>
        <w:spacing w:after="0" w:line="255" w:lineRule="auto"/>
        <w:rPr>
          <w:sz w:val="20"/>
          <w:szCs w:val="20"/>
          <w:color w:val="auto"/>
        </w:rPr>
      </w:pPr>
      <w:r>
        <w:rPr>
          <w:rFonts w:ascii="Times New Roman" w:cs="Times New Roman" w:eastAsia="Times New Roman" w:hAnsi="Times New Roman"/>
          <w:sz w:val="18"/>
          <w:szCs w:val="18"/>
          <w:color w:val="auto"/>
        </w:rPr>
        <w:t>Our ability to pursue investment opportunities other than those for middle-market loan originations for companies domiciled in the United States is subject to the allocation decisions by TSSP or TPG senior professionals. Such non-loan origination opportunities may be required to be offered to, or may be otherwise suitable for, other TSSP or TPG funds or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89"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See “Certain Relationships and Related Party Transactions” in our Definitive Proxy Statement on Schedule 14A relating to our 2019 Annual Meeting of Stockholders filed with the SEC on April 5, 2019, (the “2019 Annual Proxy”) which is incorporated herein by reference.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Exemptive Order</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0"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TSSP affiliates is particularly useful where we identify larger capital commitments than otherwise would be appropriate for us. We expect that with the ability to co-invest with TSSP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“Certain Relationships and Related Party Transactions—Exemptive Order” in our 2019 Annual Proxy.</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Repurchase Plan</w:t>
      </w:r>
    </w:p>
    <w:p>
      <w:pPr>
        <w:spacing w:after="0" w:line="121"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On August 4, 2015, our Board authorized us to enter into a stock repurchase plan, the Company 10b5-1 Plan, to acquire up to $50 million in the aggregate of our common stock at prices just below our net asset value per share over an initial six month period, in accordance with the guidelines specified in Rule 10b-18 and Rule 10b5-1 of the Exchange Act, and has continued to authorize extensions of the plan termination date prior to its expiration since that time. We put the Company 10b5-1 Plan in place because we believe that if our common stock is trading below our then-current net asset value per share, it is in the best interest of our stockholders for us to reinvest in our portfolio and increase our leverage ratio through share repurchases.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420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left="300" w:right="20" w:firstLine="426"/>
        <w:spacing w:after="0" w:line="312" w:lineRule="auto"/>
        <w:rPr>
          <w:sz w:val="20"/>
          <w:szCs w:val="20"/>
          <w:color w:val="auto"/>
        </w:rPr>
      </w:pPr>
      <w:r>
        <w:rPr>
          <w:rFonts w:ascii="Times New Roman" w:cs="Times New Roman" w:eastAsia="Times New Roman" w:hAnsi="Times New Roman"/>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On May 2, 2019, the Board authorized an amendment to the Company 10b5-1 Plan to (1) revise the market prices at which the agent will repurchase shares of the Company’s common stock on its behalf from just below the Company’s most recently reported net asset value per share to just below 1.05x the most recently reported net asset value per share, less the amount of any supplemental dividend declared for that quarter but not yet reflected in the most recently reported net asset value per share and (2) extend the termination date to November 30, 2019.</w:t>
      </w:r>
    </w:p>
    <w:p>
      <w:pPr>
        <w:spacing w:after="0" w:line="180"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Unless otherwise extended or terminated by the Board, the Company 10b5-1 Plan will be in effect through the earlier of the termination date or such time as the current approved repurchase amount of up to $50 million has been fully utilized, subject to certain conditions.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300" w:right="180" w:firstLine="426"/>
        <w:spacing w:after="0" w:line="258" w:lineRule="auto"/>
        <w:rPr>
          <w:sz w:val="20"/>
          <w:szCs w:val="20"/>
          <w:color w:val="auto"/>
        </w:rPr>
      </w:pPr>
      <w:r>
        <w:rPr>
          <w:rFonts w:ascii="Times New Roman" w:cs="Times New Roman" w:eastAsia="Times New Roman" w:hAnsi="Times New Roman"/>
          <w:sz w:val="18"/>
          <w:szCs w:val="18"/>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2018 Annual Report and our 2019 Q1 Quarterly Report, as well as the other documents that are incorporated by reference herein or in any prospectus supplement, for a description of these and other risks relating to our business and investments in our securities, including that:</w:t>
      </w:r>
    </w:p>
    <w:p>
      <w:pPr>
        <w:spacing w:after="0" w:line="89" w:lineRule="exact"/>
        <w:rPr>
          <w:sz w:val="20"/>
          <w:szCs w:val="20"/>
          <w:color w:val="auto"/>
        </w:rPr>
      </w:pPr>
    </w:p>
    <w:p>
      <w:pPr>
        <w:ind w:left="1240" w:hanging="415"/>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management personnel of the Adviser, TSSP and their affiliates for our future success;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our operation as a BDC affect our ability to, and the way in which we, raise additional capital;</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borrow money, which magnifies the potential for gain or loss and increases the risk of investing in us;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affect our business, financial conditions or results of operations;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allows us to incur additional leverage;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investment opportunities;</w:t>
      </w:r>
    </w:p>
    <w:p>
      <w:pPr>
        <w:spacing w:after="0" w:line="130" w:lineRule="exact"/>
        <w:rPr>
          <w:rFonts w:ascii="Times New Roman" w:cs="Times New Roman" w:eastAsia="Times New Roman" w:hAnsi="Times New Roman"/>
          <w:sz w:val="18"/>
          <w:szCs w:val="18"/>
          <w:color w:val="auto"/>
        </w:rPr>
      </w:pPr>
    </w:p>
    <w:p>
      <w:pPr>
        <w:ind w:left="1240" w:right="600" w:hanging="415"/>
        <w:spacing w:after="0" w:line="282"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source investments, access financing or manage future growth effectively, we may be unable to achieve our investment objective;</w:t>
      </w:r>
    </w:p>
    <w:p>
      <w:pPr>
        <w:spacing w:after="0" w:line="67"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93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6998970" cy="64935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4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and its affiliates, officers and employees may face certain conflicts of interest;</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66"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can resign on 60 days’ notice and we may not be able to find a suitable replacement within that time, resulting in a disruption in our operations and a loss of the benefits from our relationship with TSSP, and any new investment advisory agreement would require stockholder approval;</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our status as a BDC would reduce our operating flexibility;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being a publicly traded company;</w:t>
      </w:r>
    </w:p>
    <w:p>
      <w:pPr>
        <w:spacing w:after="0" w:line="130" w:lineRule="exact"/>
        <w:rPr>
          <w:rFonts w:ascii="Times New Roman" w:cs="Times New Roman" w:eastAsia="Times New Roman" w:hAnsi="Times New Roman"/>
          <w:sz w:val="18"/>
          <w:szCs w:val="18"/>
          <w:color w:val="auto"/>
        </w:rPr>
      </w:pPr>
    </w:p>
    <w:p>
      <w:pPr>
        <w:jc w:val="both"/>
        <w:ind w:left="1240" w:hanging="415"/>
        <w:spacing w:after="0" w:line="266"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cyber incidents may adversely affect our business or those of our portfolio companies by causing a disruption to our operations, a compromise or corruption of our confidential information and/or damage to our business relationships, or those of our portfolio companies, all of which could negatively impact our business, results of operations or financial condition;</w:t>
      </w:r>
    </w:p>
    <w:p>
      <w:pPr>
        <w:spacing w:after="0" w:line="81"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information systems and systems failures could significantly disrupt our business, which may, in turn, negatively affect the market price of our common stock and our ability to pay dividends;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may change our investment objective, operating policies and strategies without prior notice or stockholder approval;</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operations may adversely affect our business;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recessions or downturns could impair our portfolio companies and harm our operating results;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are very risky and highly speculative;</w:t>
      </w:r>
    </w:p>
    <w:p>
      <w:pPr>
        <w:spacing w:after="0" w:line="130"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our investments may adversely affect our business;</w:t>
      </w:r>
    </w:p>
    <w:p>
      <w:pPr>
        <w:spacing w:after="0" w:line="130"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changes in interest rates;</w:t>
      </w:r>
    </w:p>
    <w:p>
      <w:pPr>
        <w:spacing w:after="0" w:line="130"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originating loans to companies that are experiencing significant financial or business difficulties, we may be exposed to distressed lending risks;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in some cases may incur debt or issue equity securities that rank equally with, or senior to, our investments in those companies;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transactions with our affiliates is restricted;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strategic investments that we pursue are subject to risks and uncertainties;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foreign companies may involve significant risks in addition to the risks inherent in U.S. investments;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320" w:top="455" w:right="6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575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6998970" cy="25755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58"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 (which generally are not deductible by individuals, trusts or estates for taxable years beginning after December 31, 2017 and before January 1, 2026);</w:t>
      </w:r>
    </w:p>
    <w:p>
      <w:pPr>
        <w:spacing w:after="0" w:line="88"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that investors in our common stock may not receive dividends or that our dividends may not grow over time;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fluctuate significantly; and</w:t>
      </w:r>
    </w:p>
    <w:p>
      <w:pPr>
        <w:spacing w:after="0" w:line="130"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per share of our common stock may be diluted if we sell or otherwise issue shares of our common stock at prices below the then-current net asset value per share of our common stock.</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301 Commerce Street, Suite 3300, Fort Worth, TX 76102 and our telephone number is</w:t>
      </w:r>
    </w:p>
    <w:p>
      <w:pPr>
        <w:spacing w:after="0" w:line="27" w:lineRule="exact"/>
        <w:rPr>
          <w:sz w:val="20"/>
          <w:szCs w:val="20"/>
          <w:color w:val="auto"/>
        </w:rPr>
      </w:pPr>
    </w:p>
    <w:p>
      <w:pPr>
        <w:ind w:left="300" w:right="160" w:hanging="2"/>
        <w:spacing w:after="0" w:line="260" w:lineRule="auto"/>
        <w:tabs>
          <w:tab w:leader="none" w:pos="7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871-4000. Our corporate website is located at http://www.tpgspecialtylending.com. Information on our website is not incorporated into or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559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300" w:right="200" w:firstLine="426"/>
        <w:spacing w:after="0" w:line="254"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 (b) 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88" w:lineRule="exact"/>
        <w:rPr>
          <w:sz w:val="20"/>
          <w:szCs w:val="20"/>
          <w:color w:val="auto"/>
        </w:rPr>
      </w:pPr>
    </w:p>
    <w:p>
      <w:pPr>
        <w:ind w:left="300" w:right="280" w:firstLine="426"/>
        <w:spacing w:after="0" w:line="258" w:lineRule="auto"/>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83" w:lineRule="exact"/>
        <w:rPr>
          <w:sz w:val="20"/>
          <w:szCs w:val="20"/>
          <w:color w:val="auto"/>
        </w:rPr>
      </w:pPr>
    </w:p>
    <w:p>
      <w:pPr>
        <w:ind w:left="300" w:right="300" w:firstLine="426"/>
        <w:spacing w:after="0" w:line="256" w:lineRule="auto"/>
        <w:rPr>
          <w:sz w:val="20"/>
          <w:szCs w:val="20"/>
          <w:color w:val="auto"/>
        </w:rPr>
      </w:pPr>
      <w:r>
        <w:rPr>
          <w:rFonts w:ascii="Times New Roman" w:cs="Times New Roman" w:eastAsia="Times New Roman" w:hAnsi="Times New Roman"/>
          <w:sz w:val="18"/>
          <w:szCs w:val="18"/>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Set forth below is additional information regarding offerings of our securities: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from the sale of our securities for general corporate purposes, which may include, among</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other things, investing in portfolio companies in accordance with our investment objective</w:t>
            </w:r>
          </w:p>
        </w:tc>
      </w:tr>
      <w:tr>
        <w:trPr>
          <w:trHeight w:val="234"/>
        </w:trPr>
        <w:tc>
          <w:tcPr>
            <w:tcW w:w="3000" w:type="dxa"/>
            <w:vAlign w:val="bottom"/>
          </w:tcPr>
          <w:p>
            <w:pPr>
              <w:spacing w:after="0"/>
              <w:rPr>
                <w:sz w:val="20"/>
                <w:szCs w:val="20"/>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and repaying indebtedness (which will be subject to reborrowing).</w:t>
            </w:r>
          </w:p>
        </w:tc>
      </w:tr>
      <w:tr>
        <w:trPr>
          <w:trHeight w:val="441"/>
        </w:trPr>
        <w:tc>
          <w:tcPr>
            <w:tcW w:w="3000" w:type="dxa"/>
            <w:vAlign w:val="bottom"/>
          </w:tcPr>
          <w:p>
            <w:pPr>
              <w:spacing w:after="0"/>
              <w:rPr>
                <w:sz w:val="24"/>
                <w:szCs w:val="24"/>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Each supplement to this prospectus relating to an offering will more fully identify the use</w:t>
            </w:r>
          </w:p>
        </w:tc>
      </w:tr>
      <w:tr>
        <w:trPr>
          <w:trHeight w:val="234"/>
        </w:trPr>
        <w:tc>
          <w:tcPr>
            <w:tcW w:w="3000" w:type="dxa"/>
            <w:vAlign w:val="bottom"/>
          </w:tcPr>
          <w:p>
            <w:pPr>
              <w:spacing w:after="0"/>
              <w:rPr>
                <w:sz w:val="20"/>
                <w:szCs w:val="20"/>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of the proceeds from such offering. See “Use of Proceeds.”</w:t>
            </w:r>
          </w:p>
        </w:tc>
      </w:tr>
      <w:tr>
        <w:trPr>
          <w:trHeight w:val="459"/>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Symbol on the NYSE</w:t>
            </w: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“TSLX”</w:t>
            </w:r>
          </w:p>
        </w:tc>
      </w:tr>
      <w:tr>
        <w:trPr>
          <w:trHeight w:val="454"/>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To the extent we have earnings available for distribution, we expect to continue distributing</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quarterly dividends to our stockholders. The specific tax characteristics of our distributions</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will be reported to stockholders after the end of the calendar year. Future quarterly</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dividends, if any, will be determined by our Board. See “Price Range of Common Stock</w:t>
            </w:r>
          </w:p>
        </w:tc>
      </w:tr>
      <w:tr>
        <w:trPr>
          <w:trHeight w:val="234"/>
        </w:trPr>
        <w:tc>
          <w:tcPr>
            <w:tcW w:w="3000" w:type="dxa"/>
            <w:vAlign w:val="bottom"/>
          </w:tcPr>
          <w:p>
            <w:pPr>
              <w:spacing w:after="0"/>
              <w:rPr>
                <w:sz w:val="20"/>
                <w:szCs w:val="20"/>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and Distributions.”</w:t>
            </w:r>
          </w:p>
        </w:tc>
      </w:tr>
      <w:tr>
        <w:trPr>
          <w:trHeight w:val="240"/>
        </w:trPr>
        <w:tc>
          <w:tcPr>
            <w:tcW w:w="300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spacing w:after="0"/>
              <w:rPr>
                <w:sz w:val="20"/>
                <w:szCs w:val="20"/>
                <w:color w:val="auto"/>
              </w:rPr>
            </w:pPr>
          </w:p>
        </w:tc>
      </w:tr>
      <w:tr>
        <w:trPr>
          <w:trHeight w:val="604"/>
        </w:trPr>
        <w:tc>
          <w:tcPr>
            <w:tcW w:w="3000" w:type="dxa"/>
            <w:vAlign w:val="bottom"/>
          </w:tcPr>
          <w:p>
            <w:pPr>
              <w:spacing w:after="0"/>
              <w:rPr>
                <w:sz w:val="24"/>
                <w:szCs w:val="24"/>
                <w:color w:val="auto"/>
              </w:rPr>
            </w:pPr>
          </w:p>
        </w:tc>
        <w:tc>
          <w:tcPr>
            <w:tcW w:w="802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140"/>
          </w:cols>
          <w:pgMar w:left="32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180" w:type="dxa"/>
            <w:vAlign w:val="bottom"/>
            <w:tcBorders>
              <w:top w:val="single" w:sz="8" w:color="auto"/>
              <w:left w:val="single" w:sz="8" w:color="auto"/>
            </w:tcBorders>
          </w:tcPr>
          <w:p>
            <w:pPr>
              <w:spacing w:after="0"/>
              <w:rPr>
                <w:sz w:val="24"/>
                <w:szCs w:val="24"/>
                <w:color w:val="auto"/>
              </w:rPr>
            </w:pPr>
          </w:p>
        </w:tc>
        <w:tc>
          <w:tcPr>
            <w:tcW w:w="7840" w:type="dxa"/>
            <w:vAlign w:val="bottom"/>
            <w:tcBorders>
              <w:top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To maintain our tax treatment as a RIC, we must make certain distributions. See “Material</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U.S. Federal Income Tax Considerations—Regulated Investment Company Classification.”</w:t>
            </w:r>
          </w:p>
        </w:tc>
      </w:tr>
      <w:tr>
        <w:trPr>
          <w:trHeight w:val="441"/>
        </w:trPr>
        <w:tc>
          <w:tcPr>
            <w:tcW w:w="31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Anti-Takeover Provisions</w:t>
            </w: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Our Board is divided into three classes of directors serving staggered three-year terms. This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structure is intended to provide us with a greater likelihood of continuity of management,</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which may be necessary for us to realize the full value of our investments. A staggered</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board of directors also may serve to deter hostile takeovers or proxy contests, as may</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certain other measures adopted by us. See “Description of Our Capital Stock—Anti-</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Takeover Provisions.”</w:t>
            </w:r>
          </w:p>
        </w:tc>
      </w:tr>
      <w:tr>
        <w:trPr>
          <w:trHeight w:val="441"/>
        </w:trPr>
        <w:tc>
          <w:tcPr>
            <w:tcW w:w="31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Leverage</w:t>
            </w: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As a BDC, we are permitted under the 1940 Act to borrow funds or issue senior securities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to finance a portion of our investments. As a result, we are exposed to the risks of leverage,</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which may be considered a speculative investment technique.</w:t>
            </w:r>
          </w:p>
        </w:tc>
      </w:tr>
      <w:tr>
        <w:trPr>
          <w:trHeight w:val="441"/>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increases the risks associated with investing in our securities. The costs associated with our</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borrowings, including any increase in the fees payable to the Adviser, are borne by our</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stockholders. Any decision on our part to use borrowings depends upon our assessment of</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the attractiveness of available investment opportunities in relation to the costs and</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perceived risks of such leverage. See “Regulation as a Business Development Company” in</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Part I, Item 1 of our 2018 Annual Report.</w:t>
            </w:r>
          </w:p>
        </w:tc>
      </w:tr>
      <w:tr>
        <w:trPr>
          <w:trHeight w:val="441"/>
        </w:trPr>
        <w:tc>
          <w:tcPr>
            <w:tcW w:w="31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Taxation</w:t>
            </w: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We have elected to be treated as a RIC for U.S. federal income tax purposes. Our status as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a RIC will enable us to deduct qualifying distributions to our stockholders, so that we will</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be subject to corporate-level U.S. federal income taxation only in respect of earnings that</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we retain and do not distribute.</w:t>
            </w:r>
          </w:p>
        </w:tc>
      </w:tr>
      <w:tr>
        <w:trPr>
          <w:trHeight w:val="441"/>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To maintain our status as a RIC and to avoid being subject to corporate-level U.S. federal</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income taxation on our earnings, we must, among other things:</w:t>
            </w:r>
          </w:p>
        </w:tc>
      </w:tr>
      <w:tr>
        <w:trPr>
          <w:trHeight w:val="337"/>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  maintain our election under the 1940 Act to be treated as a BDC;</w:t>
            </w:r>
          </w:p>
        </w:tc>
      </w:tr>
      <w:tr>
        <w:trPr>
          <w:trHeight w:val="319"/>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  derive in each taxable year at least 90% of our gross income from dividends,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interest, gains from the sale or other disposition of stock or securities and other</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specified categories of investment income; and</w:t>
            </w:r>
          </w:p>
        </w:tc>
      </w:tr>
      <w:tr>
        <w:trPr>
          <w:trHeight w:val="338"/>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  maintain diversified holdings.</w:t>
            </w:r>
          </w:p>
        </w:tc>
      </w:tr>
      <w:tr>
        <w:trPr>
          <w:trHeight w:val="441"/>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In addition, we must distribute (or be treated as distributing) in each taxable year dividends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for tax purposes equal to at least 90% of our investment company taxable income and net</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tax-exempt income for that taxable year.</w:t>
            </w:r>
          </w:p>
        </w:tc>
      </w:tr>
      <w:tr>
        <w:trPr>
          <w:trHeight w:val="441"/>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As a RIC, we generally will not be subject to corporate-level U.S. federal income tax on</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our investment company taxable income and</w:t>
            </w:r>
          </w:p>
        </w:tc>
      </w:tr>
      <w:tr>
        <w:trPr>
          <w:trHeight w:val="240"/>
        </w:trPr>
        <w:tc>
          <w:tcPr>
            <w:tcW w:w="3180" w:type="dxa"/>
            <w:vAlign w:val="bottom"/>
            <w:tcBorders>
              <w:left w:val="single" w:sz="8" w:color="auto"/>
              <w:bottom w:val="single" w:sz="8" w:color="auto"/>
            </w:tcBorders>
          </w:tcPr>
          <w:p>
            <w:pPr>
              <w:spacing w:after="0"/>
              <w:rPr>
                <w:sz w:val="20"/>
                <w:szCs w:val="20"/>
                <w:color w:val="auto"/>
              </w:rPr>
            </w:pPr>
          </w:p>
        </w:tc>
        <w:tc>
          <w:tcPr>
            <w:tcW w:w="7840" w:type="dxa"/>
            <w:vAlign w:val="bottom"/>
            <w:tcBorders>
              <w:bottom w:val="single" w:sz="8" w:color="auto"/>
              <w:right w:val="single" w:sz="8" w:color="auto"/>
            </w:tcBorders>
          </w:tcPr>
          <w:p>
            <w:pPr>
              <w:spacing w:after="0"/>
              <w:rPr>
                <w:sz w:val="20"/>
                <w:szCs w:val="20"/>
                <w:color w:val="auto"/>
              </w:rPr>
            </w:pPr>
          </w:p>
        </w:tc>
      </w:tr>
      <w:tr>
        <w:trPr>
          <w:trHeight w:val="604"/>
        </w:trPr>
        <w:tc>
          <w:tcPr>
            <w:tcW w:w="3180" w:type="dxa"/>
            <w:vAlign w:val="bottom"/>
          </w:tcPr>
          <w:p>
            <w:pPr>
              <w:spacing w:after="0"/>
              <w:rPr>
                <w:sz w:val="24"/>
                <w:szCs w:val="24"/>
                <w:color w:val="auto"/>
              </w:rPr>
            </w:pPr>
          </w:p>
        </w:tc>
        <w:tc>
          <w:tcPr>
            <w:tcW w:w="78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140"/>
          </w:cols>
          <w:pgMar w:left="320" w:top="455" w:right="4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300" w:type="dxa"/>
            <w:vAlign w:val="bottom"/>
            <w:tcBorders>
              <w:top w:val="single" w:sz="8" w:color="auto"/>
              <w:left w:val="single" w:sz="8" w:color="auto"/>
            </w:tcBorders>
          </w:tcPr>
          <w:p>
            <w:pPr>
              <w:spacing w:after="0"/>
              <w:rPr>
                <w:sz w:val="24"/>
                <w:szCs w:val="24"/>
                <w:color w:val="auto"/>
              </w:rPr>
            </w:pPr>
          </w:p>
        </w:tc>
        <w:tc>
          <w:tcPr>
            <w:tcW w:w="7720" w:type="dxa"/>
            <w:vAlign w:val="bottom"/>
            <w:tcBorders>
              <w:top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net capital gains that we distribute to stockholders. If we fail to distribute our investment</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company taxable income or net capital gains on a timely basis, we will be subject to a</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nondeductible 4% U.S. federal excise tax. We can be expected to carry forward investment</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company taxable income in excess of current year distributions into the next tax year and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pay a 4% excise tax on such income. We elected to retain a portion of income and capital</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gains for the three months ended March 31, 2019 and for the calendar years ended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December 31, 2018 and 2017 and we recorded a net expense of $0.3 million, $3.4 million</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and $2.8 million, respectively, for U.S. federal excise tax as a result. Any carryover of</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investment company taxable income or net capital gains must be timely declared and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distributed as a dividend in the taxable year following the taxable year in which the income</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or gains were earned. See “Price Range of Common Stock and Distributions” and</w:t>
            </w:r>
          </w:p>
        </w:tc>
      </w:tr>
      <w:tr>
        <w:trPr>
          <w:trHeight w:val="234"/>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“Material U.S. Federal Income Tax Considerations.”</w:t>
            </w:r>
          </w:p>
        </w:tc>
      </w:tr>
      <w:tr>
        <w:trPr>
          <w:trHeight w:val="454"/>
        </w:trPr>
        <w:tc>
          <w:tcPr>
            <w:tcW w:w="33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We have adopted a dividend reinvestment plan for our stockholders, which is an “opt out”</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dividend reinvestment plan. Under this plan, if we declare a cash dividend or other</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distribution, our stockholders who have not elected to “opt out” of our dividend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reinvestment plan will have their cash distribution automatically reinvested in additional</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shares of our common stock, rather than receiving the cash distribution. If a stockholder</w:t>
            </w:r>
          </w:p>
        </w:tc>
      </w:tr>
      <w:tr>
        <w:trPr>
          <w:trHeight w:val="234"/>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elects to “opt out,” that stockholder will receive cash dividends or other distributions.</w:t>
            </w:r>
          </w:p>
        </w:tc>
      </w:tr>
      <w:tr>
        <w:trPr>
          <w:trHeight w:val="441"/>
        </w:trPr>
        <w:tc>
          <w:tcPr>
            <w:tcW w:w="3300" w:type="dxa"/>
            <w:vAlign w:val="bottom"/>
            <w:tcBorders>
              <w:left w:val="single" w:sz="8" w:color="auto"/>
            </w:tcBorders>
          </w:tcPr>
          <w:p>
            <w:pPr>
              <w:spacing w:after="0"/>
              <w:rPr>
                <w:sz w:val="24"/>
                <w:szCs w:val="24"/>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Stockholders who receive dividends and other distributions in the form of shares of</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common stock generally are subject to the same U.S. federal tax consequences as</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stockholders who elect to receive their distributions in cash; however, since their cash</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dividends will be reinvested, those stockholders will not receive cash with which to pay</w:t>
            </w:r>
          </w:p>
        </w:tc>
      </w:tr>
      <w:tr>
        <w:trPr>
          <w:trHeight w:val="234"/>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any applicable taxes on reinvested dividends. See “Dividend Reinvestment Plan.”</w:t>
            </w:r>
          </w:p>
        </w:tc>
      </w:tr>
      <w:tr>
        <w:trPr>
          <w:trHeight w:val="441"/>
        </w:trPr>
        <w:tc>
          <w:tcPr>
            <w:tcW w:w="33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Management Arrangements</w:t>
            </w: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Our Adviser serves as our investment adviser and our administrator. For more information</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regarding our Adviser, TSSP and TPG and our contractual arrangements with these</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companies, see “Management Agreements” in Part I, Item 1 of our 2018 Annual Report</w:t>
            </w:r>
          </w:p>
        </w:tc>
      </w:tr>
      <w:tr>
        <w:trPr>
          <w:trHeight w:val="234"/>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and Note 3 to our consolidated financial statements in our 2019 Q1 Quarterly Report.</w:t>
            </w:r>
          </w:p>
        </w:tc>
      </w:tr>
      <w:tr>
        <w:trPr>
          <w:trHeight w:val="441"/>
        </w:trPr>
        <w:tc>
          <w:tcPr>
            <w:tcW w:w="33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Trading at a Discount</w:t>
            </w: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to their net asset value. We are not generally able to issue and sell our common stock at a</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price below our net asset value per share except (a) in connection with a rights offering to</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our existing stockholders, (b) with the prior approval of the majority of our outstanding</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voting securities or (c) under such other circumstances as the SEC may permit. The risk</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that our shares may trade at a discount to our net asset value is separate and distinct from</w:t>
            </w:r>
          </w:p>
        </w:tc>
      </w:tr>
      <w:tr>
        <w:trPr>
          <w:trHeight w:val="234"/>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the risk that our net asset value per share may decline. We</w:t>
            </w:r>
          </w:p>
        </w:tc>
      </w:tr>
      <w:tr>
        <w:trPr>
          <w:trHeight w:val="240"/>
        </w:trPr>
        <w:tc>
          <w:tcPr>
            <w:tcW w:w="3300" w:type="dxa"/>
            <w:vAlign w:val="bottom"/>
            <w:tcBorders>
              <w:left w:val="single" w:sz="8" w:color="auto"/>
              <w:bottom w:val="single" w:sz="8" w:color="auto"/>
            </w:tcBorders>
          </w:tcPr>
          <w:p>
            <w:pPr>
              <w:spacing w:after="0"/>
              <w:rPr>
                <w:sz w:val="20"/>
                <w:szCs w:val="20"/>
                <w:color w:val="auto"/>
              </w:rPr>
            </w:pPr>
          </w:p>
        </w:tc>
        <w:tc>
          <w:tcPr>
            <w:tcW w:w="7720" w:type="dxa"/>
            <w:vAlign w:val="bottom"/>
            <w:tcBorders>
              <w:bottom w:val="single" w:sz="8" w:color="auto"/>
              <w:right w:val="single" w:sz="8" w:color="auto"/>
            </w:tcBorders>
          </w:tcPr>
          <w:p>
            <w:pPr>
              <w:spacing w:after="0"/>
              <w:rPr>
                <w:sz w:val="20"/>
                <w:szCs w:val="20"/>
                <w:color w:val="auto"/>
              </w:rPr>
            </w:pPr>
          </w:p>
        </w:tc>
      </w:tr>
      <w:tr>
        <w:trPr>
          <w:trHeight w:val="604"/>
        </w:trPr>
        <w:tc>
          <w:tcPr>
            <w:tcW w:w="3300" w:type="dxa"/>
            <w:vAlign w:val="bottom"/>
          </w:tcPr>
          <w:p>
            <w:pPr>
              <w:spacing w:after="0"/>
              <w:rPr>
                <w:sz w:val="24"/>
                <w:szCs w:val="24"/>
                <w:color w:val="auto"/>
              </w:rPr>
            </w:pPr>
          </w:p>
        </w:tc>
        <w:tc>
          <w:tcPr>
            <w:tcW w:w="77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140"/>
          </w:cols>
          <w:pgMar w:left="320" w:top="455" w:right="4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720" w:type="dxa"/>
            <w:vAlign w:val="bottom"/>
            <w:tcBorders>
              <w:top w:val="single" w:sz="8" w:color="auto"/>
              <w:left w:val="single" w:sz="8" w:color="auto"/>
            </w:tcBorders>
          </w:tcPr>
          <w:p>
            <w:pPr>
              <w:spacing w:after="0"/>
              <w:rPr>
                <w:sz w:val="24"/>
                <w:szCs w:val="24"/>
                <w:color w:val="auto"/>
              </w:rPr>
            </w:pPr>
          </w:p>
        </w:tc>
        <w:tc>
          <w:tcPr>
            <w:tcW w:w="730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cannot predict whether our shares will trade at a price per share above, at or below net asset</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value per share. See “Risk Factors—Risks Related to Offerings Pursuant to This</w:t>
            </w:r>
          </w:p>
        </w:tc>
      </w:tr>
      <w:tr>
        <w:trPr>
          <w:trHeight w:val="234"/>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Prospectus.”</w:t>
            </w:r>
          </w:p>
        </w:tc>
      </w:tr>
      <w:tr>
        <w:trPr>
          <w:trHeight w:val="454"/>
        </w:trPr>
        <w:tc>
          <w:tcPr>
            <w:tcW w:w="37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We have filed with the SEC a registration statement on Form N-2, of which this prospectus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is a part, under the Securities Act. This registration statement contains additional</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information about us and the securities being offered by this prospectus. We are also</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required to file periodic reports, current reports, proxy statements and other information</w:t>
            </w:r>
          </w:p>
        </w:tc>
      </w:tr>
      <w:tr>
        <w:trPr>
          <w:trHeight w:val="234"/>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with the SEC. This information is available on the SEC’s website at http://www.sec.gov.</w:t>
            </w:r>
          </w:p>
        </w:tc>
      </w:tr>
      <w:tr>
        <w:trPr>
          <w:trHeight w:val="441"/>
        </w:trPr>
        <w:tc>
          <w:tcPr>
            <w:tcW w:w="3720" w:type="dxa"/>
            <w:vAlign w:val="bottom"/>
            <w:tcBorders>
              <w:left w:val="single" w:sz="8" w:color="auto"/>
            </w:tcBorders>
          </w:tcPr>
          <w:p>
            <w:pPr>
              <w:spacing w:after="0"/>
              <w:rPr>
                <w:sz w:val="24"/>
                <w:szCs w:val="24"/>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We maintain a website at http://www.tpgspecialtylending.com and make all of our periodic</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and current reports, proxy statements and other information available, free of charge, on or</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through our website. Information on our website is not incorporated into or part of this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prospectus. You may also obtain such information free of charge by contacting us in</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writing at 888 7th Avenue, 35th Floor, New York, NY 10106, Attention: TSLX Investor</w:t>
            </w:r>
          </w:p>
        </w:tc>
      </w:tr>
      <w:tr>
        <w:trPr>
          <w:trHeight w:val="234"/>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Relations, or by emailing us at IRTSL@tpg.com.</w:t>
            </w:r>
          </w:p>
        </w:tc>
      </w:tr>
      <w:tr>
        <w:trPr>
          <w:trHeight w:val="441"/>
        </w:trPr>
        <w:tc>
          <w:tcPr>
            <w:tcW w:w="37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The rules of the SEC allow us to incorporate by reference information into this prospectus.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The information incorporated by reference is considered to be a part of this prospectus, and</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information that we file later with the SEC will automatically update and supersede this</w:t>
            </w:r>
          </w:p>
        </w:tc>
      </w:tr>
      <w:tr>
        <w:trPr>
          <w:trHeight w:val="234"/>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information. See “Information Incorporated by Reference” for more information.</w:t>
            </w:r>
          </w:p>
        </w:tc>
      </w:tr>
      <w:tr>
        <w:trPr>
          <w:trHeight w:val="240"/>
        </w:trPr>
        <w:tc>
          <w:tcPr>
            <w:tcW w:w="3720" w:type="dxa"/>
            <w:vAlign w:val="bottom"/>
            <w:tcBorders>
              <w:left w:val="single" w:sz="8" w:color="auto"/>
              <w:bottom w:val="single" w:sz="8" w:color="auto"/>
            </w:tcBorders>
          </w:tcPr>
          <w:p>
            <w:pPr>
              <w:spacing w:after="0"/>
              <w:rPr>
                <w:sz w:val="20"/>
                <w:szCs w:val="20"/>
                <w:color w:val="auto"/>
              </w:rPr>
            </w:pPr>
          </w:p>
        </w:tc>
        <w:tc>
          <w:tcPr>
            <w:tcW w:w="7300" w:type="dxa"/>
            <w:vAlign w:val="bottom"/>
            <w:tcBorders>
              <w:bottom w:val="single" w:sz="8" w:color="auto"/>
              <w:right w:val="single" w:sz="8" w:color="auto"/>
            </w:tcBorders>
          </w:tcPr>
          <w:p>
            <w:pPr>
              <w:spacing w:after="0"/>
              <w:rPr>
                <w:sz w:val="20"/>
                <w:szCs w:val="20"/>
                <w:color w:val="auto"/>
              </w:rPr>
            </w:pPr>
          </w:p>
        </w:tc>
      </w:tr>
      <w:tr>
        <w:trPr>
          <w:trHeight w:val="604"/>
        </w:trPr>
        <w:tc>
          <w:tcPr>
            <w:tcW w:w="3720" w:type="dxa"/>
            <w:vAlign w:val="bottom"/>
          </w:tcPr>
          <w:p>
            <w:pPr>
              <w:spacing w:after="0"/>
              <w:rPr>
                <w:sz w:val="24"/>
                <w:szCs w:val="24"/>
                <w:color w:val="auto"/>
              </w:rPr>
            </w:pPr>
          </w:p>
        </w:tc>
        <w:tc>
          <w:tcPr>
            <w:tcW w:w="73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1140"/>
          </w:cols>
          <w:pgMar w:left="320" w:top="455" w:right="4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44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“TPG Specialty Lending, Inc.” or says that “we” will pay fees or expenses, stockholders will indirectly bear these fees or expenses as investors in TPG Specialty Lending, Inc.</w:t>
      </w:r>
    </w:p>
    <w:p>
      <w:pPr>
        <w:spacing w:after="0" w:line="234"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 transaction expenses (as a percentage of offering price):</w:t>
            </w:r>
          </w:p>
        </w:tc>
        <w:tc>
          <w:tcPr>
            <w:tcW w:w="182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load</w:t>
            </w:r>
          </w:p>
        </w:tc>
        <w:tc>
          <w:tcPr>
            <w:tcW w:w="1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(1)</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Offering expenses</w:t>
            </w:r>
          </w:p>
        </w:tc>
        <w:tc>
          <w:tcPr>
            <w:tcW w:w="1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(2)</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1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(3)</w:t>
            </w:r>
          </w:p>
        </w:tc>
      </w:tr>
      <w:tr>
        <w:trPr>
          <w:trHeight w:val="198"/>
        </w:trPr>
        <w:tc>
          <w:tcPr>
            <w:tcW w:w="79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annual expenses (as a percentage of net assets attributable to common stock)</w:t>
            </w:r>
            <w:r>
              <w:rPr>
                <w:rFonts w:ascii="Times New Roman" w:cs="Times New Roman" w:eastAsia="Times New Roman" w:hAnsi="Times New Roman"/>
                <w:sz w:val="15"/>
                <w:szCs w:val="15"/>
                <w:b w:val="1"/>
                <w:bCs w:val="1"/>
                <w:color w:val="auto"/>
              </w:rPr>
              <w:t>(4)</w:t>
            </w:r>
            <w:r>
              <w:rPr>
                <w:rFonts w:ascii="Times New Roman" w:cs="Times New Roman" w:eastAsia="Times New Roman" w:hAnsi="Times New Roman"/>
                <w:sz w:val="18"/>
                <w:szCs w:val="18"/>
                <w:b w:val="1"/>
                <w:bCs w:val="1"/>
                <w:color w:val="auto"/>
              </w:rPr>
              <w:t>:</w:t>
            </w:r>
          </w:p>
        </w:tc>
        <w:tc>
          <w:tcPr>
            <w:tcW w:w="182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 payable under the Investment Advisory Agreement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r>
              <w:rPr>
                <w:rFonts w:ascii="Times New Roman" w:cs="Times New Roman" w:eastAsia="Times New Roman" w:hAnsi="Times New Roman"/>
                <w:sz w:val="15"/>
                <w:szCs w:val="15"/>
                <w:color w:val="auto"/>
              </w:rPr>
              <w:t>(5)</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Fee payable under the Investment Advisory Agreement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r>
              <w:rPr>
                <w:rFonts w:ascii="Times New Roman" w:cs="Times New Roman" w:eastAsia="Times New Roman" w:hAnsi="Times New Roman"/>
                <w:sz w:val="15"/>
                <w:szCs w:val="15"/>
                <w:color w:val="auto"/>
              </w:rPr>
              <w:t>(6)</w:t>
            </w: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r>
              <w:rPr>
                <w:rFonts w:ascii="Times New Roman" w:cs="Times New Roman" w:eastAsia="Times New Roman" w:hAnsi="Times New Roman"/>
                <w:sz w:val="15"/>
                <w:szCs w:val="15"/>
                <w:color w:val="auto"/>
              </w:rPr>
              <w:t>(7)</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r>
              <w:rPr>
                <w:rFonts w:ascii="Times New Roman" w:cs="Times New Roman" w:eastAsia="Times New Roman" w:hAnsi="Times New Roman"/>
                <w:sz w:val="15"/>
                <w:szCs w:val="15"/>
                <w:color w:val="auto"/>
              </w:rPr>
              <w:t>(8)</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annual expenses</w:t>
            </w:r>
          </w:p>
        </w:tc>
        <w:tc>
          <w:tcPr>
            <w:tcW w:w="1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10.76%</w:t>
            </w:r>
          </w:p>
        </w:tc>
      </w:tr>
    </w:tbl>
    <w:p>
      <w:pPr>
        <w:spacing w:after="0" w:line="206" w:lineRule="exact"/>
        <w:rPr>
          <w:sz w:val="20"/>
          <w:szCs w:val="20"/>
          <w:color w:val="auto"/>
        </w:rPr>
      </w:pPr>
    </w:p>
    <w:p>
      <w:pPr>
        <w:ind w:left="720" w:right="240" w:hanging="422"/>
        <w:spacing w:after="0" w:line="261"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ind w:left="720" w:right="420" w:hanging="422"/>
        <w:spacing w:after="0" w:line="250"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prospectus supplement will disclose the estimated amount of offering expenses, the offering price and the offering expenses borne by us as a percentage of the offering price.</w:t>
      </w:r>
    </w:p>
    <w:p>
      <w:pPr>
        <w:ind w:left="720" w:right="140" w:hanging="422"/>
        <w:spacing w:after="0" w:line="250"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w:t>
      </w:r>
    </w:p>
    <w:p>
      <w:pPr>
        <w:spacing w:after="0" w:line="1" w:lineRule="exact"/>
        <w:rPr>
          <w:rFonts w:ascii="Times New Roman" w:cs="Times New Roman" w:eastAsia="Times New Roman" w:hAnsi="Times New Roman"/>
          <w:sz w:val="18"/>
          <w:szCs w:val="18"/>
          <w:color w:val="auto"/>
        </w:rPr>
      </w:pPr>
    </w:p>
    <w:p>
      <w:pPr>
        <w:ind w:left="720" w:right="400" w:hanging="422"/>
        <w:spacing w:after="0" w:line="250"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assets attributable to common stock used to calculate the percentages in this table reflect our net assets of $1,063.2 million as of December 31, 2018.</w:t>
      </w:r>
    </w:p>
    <w:p>
      <w:pPr>
        <w:ind w:left="720" w:hanging="422"/>
        <w:spacing w:after="0" w:line="25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2018 Annual Report and Note 3 to our consolidated financial statements in our 2019 Q1 Quarterly Report.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320" w:top="455" w:right="6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21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140"/>
        <w:spacing w:after="0" w:line="282" w:lineRule="auto"/>
        <w:rPr>
          <w:sz w:val="20"/>
          <w:szCs w:val="20"/>
          <w:color w:val="auto"/>
        </w:rPr>
      </w:pPr>
      <w:r>
        <w:rPr>
          <w:rFonts w:ascii="Times New Roman" w:cs="Times New Roman" w:eastAsia="Times New Roman" w:hAnsi="Times New Roman"/>
          <w:sz w:val="18"/>
          <w:szCs w:val="18"/>
          <w:color w:val="auto"/>
        </w:rPr>
        <w:t>The Management Fee reflected in the table is calculated by determining the ratio that the Management Fee for the year ended December 31, 2018 bears to our net assets attributable to common stock (rather than our gross assets).</w:t>
      </w:r>
    </w:p>
    <w:p>
      <w:pPr>
        <w:spacing w:after="0" w:line="54" w:lineRule="exact"/>
        <w:rPr>
          <w:sz w:val="20"/>
          <w:szCs w:val="20"/>
          <w:color w:val="auto"/>
        </w:rPr>
      </w:pPr>
    </w:p>
    <w:p>
      <w:pPr>
        <w:ind w:left="720" w:right="60"/>
        <w:spacing w:after="0" w:line="261" w:lineRule="auto"/>
        <w:rPr>
          <w:sz w:val="20"/>
          <w:szCs w:val="20"/>
          <w:color w:val="auto"/>
        </w:rPr>
      </w:pPr>
      <w:r>
        <w:rPr>
          <w:rFonts w:ascii="Times New Roman" w:cs="Times New Roman" w:eastAsia="Times New Roman" w:hAnsi="Times New Roman"/>
          <w:sz w:val="18"/>
          <w:szCs w:val="18"/>
          <w:color w:val="auto"/>
        </w:rPr>
        <w:t>From time to time, our Adviser voluntarily has waived certain Management Fees. See “Management’s Discussion and Analysis of Financial Condition and Results of Operations—Results of Operations—Management Fees” in Part II, Item 7 of our 2018 Annual Report and in Part I, Item 2 of our 2019 Q1 Quarterly Report. The above estimates are based on our actual Management Fees for the year ended December 31, 2018 and do not reflect any Management Fees that were waived during the year ended December 31, 2018.</w:t>
      </w:r>
    </w:p>
    <w:p>
      <w:pPr>
        <w:spacing w:after="0" w:line="72" w:lineRule="exact"/>
        <w:rPr>
          <w:sz w:val="20"/>
          <w:szCs w:val="20"/>
          <w:color w:val="auto"/>
        </w:rPr>
      </w:pPr>
    </w:p>
    <w:p>
      <w:pPr>
        <w:ind w:left="720" w:right="200"/>
        <w:spacing w:after="0" w:line="256"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As of December 31, 2018, no Management Fees were waived pursuant to the Leverage Waiver.</w:t>
      </w:r>
    </w:p>
    <w:p>
      <w:pPr>
        <w:spacing w:after="0" w:line="93" w:lineRule="exact"/>
        <w:rPr>
          <w:sz w:val="20"/>
          <w:szCs w:val="20"/>
          <w:color w:val="auto"/>
        </w:rPr>
      </w:pPr>
    </w:p>
    <w:p>
      <w:pPr>
        <w:jc w:val="both"/>
        <w:ind w:left="720" w:right="60" w:hanging="422"/>
        <w:spacing w:after="0" w:line="261"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2018 and assumes that the Incentive Fee is 17.5% for all relevant periods. However, the Incentive Fee payable to the Adviser is based on our performance and will not be paid unless we achieve certain goals.</w:t>
      </w:r>
    </w:p>
    <w:p>
      <w:pPr>
        <w:spacing w:after="0" w:line="7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Fee consists of two parts:</w:t>
      </w:r>
    </w:p>
    <w:p>
      <w:pPr>
        <w:spacing w:after="0" w:line="117" w:lineRule="exact"/>
        <w:rPr>
          <w:rFonts w:ascii="Times New Roman" w:cs="Times New Roman" w:eastAsia="Times New Roman" w:hAnsi="Times New Roman"/>
          <w:sz w:val="18"/>
          <w:szCs w:val="18"/>
          <w:color w:val="auto"/>
        </w:rPr>
      </w:pPr>
    </w:p>
    <w:p>
      <w:pPr>
        <w:ind w:left="72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71" w:lineRule="exact"/>
        <w:rPr>
          <w:rFonts w:ascii="Times New Roman" w:cs="Times New Roman" w:eastAsia="Times New Roman" w:hAnsi="Times New Roman"/>
          <w:sz w:val="18"/>
          <w:szCs w:val="18"/>
          <w:color w:val="auto"/>
        </w:rPr>
      </w:pPr>
    </w:p>
    <w:p>
      <w:pPr>
        <w:ind w:left="7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which we refer to as the Capital Gains Fee,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and net of the aggregate amount of any previously paid Capital Gains Fee for prior periods. For capital gains that accrue following March 31, 2014, the Incentive Fee rate is 17.5%. We accrue, but do not pay, a Capital Gains Fee with respect to unrealized appreciation because a Capital Gains Fee would be owed to the Adviser if we were to sell the relevant investment and realize a capital gain.</w:t>
      </w:r>
    </w:p>
    <w:p>
      <w:pPr>
        <w:spacing w:after="0" w:line="79" w:lineRule="exact"/>
        <w:rPr>
          <w:rFonts w:ascii="Times New Roman" w:cs="Times New Roman" w:eastAsia="Times New Roman" w:hAnsi="Times New Roman"/>
          <w:sz w:val="18"/>
          <w:szCs w:val="18"/>
          <w:color w:val="auto"/>
        </w:rPr>
      </w:pPr>
    </w:p>
    <w:p>
      <w:pPr>
        <w:ind w:left="72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 to our consolidated financial statements in our 2018 Annual Report and our 2019 Q1 Quarterly Report and “Management Agreements—Investment Advisory Agreement; Administration Agreement; License Agreement” in Part I, Item 1 of our 2018 Annual Report and Note 3 to our consolidated financial statements in our 2019 Q1 Quarterly Report.</w:t>
      </w:r>
    </w:p>
    <w:p>
      <w:pPr>
        <w:spacing w:after="0" w:line="67" w:lineRule="exact"/>
        <w:rPr>
          <w:rFonts w:ascii="Times New Roman" w:cs="Times New Roman" w:eastAsia="Times New Roman" w:hAnsi="Times New Roman"/>
          <w:sz w:val="18"/>
          <w:szCs w:val="18"/>
          <w:color w:val="auto"/>
        </w:rPr>
      </w:pPr>
    </w:p>
    <w:p>
      <w:pPr>
        <w:ind w:left="720" w:righ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our Adviser has voluntarily waived certain Incentive Fees. See “Management’s Discussion and Analysis of Financial Condition and Results of Operations—Results of Operations—Incentive Fees” in Part II, Item 7 of our 2018 Annual Report and in Part I, Item 2 of our 2019 Q1 Quarterly Report. The above estimates do not reflect or assume any such waivers.</w:t>
      </w:r>
    </w:p>
    <w:p>
      <w:pPr>
        <w:spacing w:after="0" w:line="81" w:lineRule="exact"/>
        <w:rPr>
          <w:rFonts w:ascii="Times New Roman" w:cs="Times New Roman" w:eastAsia="Times New Roman" w:hAnsi="Times New Roman"/>
          <w:sz w:val="18"/>
          <w:szCs w:val="18"/>
          <w:color w:val="auto"/>
        </w:rPr>
      </w:pPr>
    </w:p>
    <w:p>
      <w:pPr>
        <w:ind w:left="720" w:right="540" w:hanging="422"/>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on borrowed funds is based on our interest expense for the year ended December 31, 2018 under our credit facilities excluding fees (such as fees on undrawn amounts and amortization of upfront</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320" w:top="455" w:right="6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47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20"/>
        <w:spacing w:after="0" w:line="253" w:lineRule="auto"/>
        <w:rPr>
          <w:sz w:val="20"/>
          <w:szCs w:val="20"/>
          <w:color w:val="auto"/>
        </w:rPr>
      </w:pPr>
      <w:r>
        <w:rPr>
          <w:rFonts w:ascii="Times New Roman" w:cs="Times New Roman" w:eastAsia="Times New Roman" w:hAnsi="Times New Roman"/>
          <w:sz w:val="18"/>
          <w:szCs w:val="18"/>
          <w:color w:val="auto"/>
        </w:rPr>
        <w:t>fees) and including the swap-adjusted interest expense related to our Convertible Notes and 2023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 Our stockholders indirectly bear the costs of borrowings under any debt instruments we may enter into.</w:t>
      </w:r>
    </w:p>
    <w:p>
      <w:pPr>
        <w:spacing w:after="0" w:line="1" w:lineRule="exact"/>
        <w:rPr>
          <w:sz w:val="20"/>
          <w:szCs w:val="20"/>
          <w:color w:val="auto"/>
        </w:rPr>
      </w:pPr>
    </w:p>
    <w:p>
      <w:pPr>
        <w:ind w:left="720" w:right="60" w:hanging="422"/>
        <w:spacing w:after="0" w:line="253"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overhead expenses, such as payments under the Administration Agreement for certain expenses incurred by the Adviser, and excise taxes. See “Management Agreements—Investment Advisory Agreement; Administration Agreement; License Agreement” in Part I, Item 1 of our 2018 Annual Report and Note 3 to our consolidated financial statements in our 2019 Q1 Quarterly Report. The expenses in this table are based on our actual other expenses and excise taxes for the year ended December 31, 2018.</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300" w:right="180" w:firstLine="426"/>
        <w:spacing w:after="0" w:line="256"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4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3 years</w:t>
            </w:r>
          </w:p>
        </w:tc>
        <w:tc>
          <w:tcPr>
            <w:tcW w:w="3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8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8"/>
        </w:trPr>
        <w:tc>
          <w:tcPr>
            <w:tcW w:w="75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You would pay the following expenses on a $1,000 common stock investment, assuming a 5% annual</w:t>
            </w:r>
          </w:p>
        </w:tc>
        <w:tc>
          <w:tcPr>
            <w:tcW w:w="2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from realized capital gains</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88</w:t>
            </w: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$ 253</w:t>
            </w:r>
          </w:p>
        </w:tc>
        <w:tc>
          <w:tcPr>
            <w:tcW w:w="9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$ 407</w:t>
            </w:r>
          </w:p>
        </w:tc>
        <w:tc>
          <w:tcPr>
            <w:tcW w:w="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742</w:t>
            </w:r>
          </w:p>
        </w:tc>
      </w:tr>
    </w:tbl>
    <w:p>
      <w:pPr>
        <w:spacing w:after="0" w:line="198"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88" w:lineRule="exact"/>
        <w:rPr>
          <w:sz w:val="20"/>
          <w:szCs w:val="20"/>
          <w:color w:val="auto"/>
        </w:rPr>
      </w:pPr>
    </w:p>
    <w:p>
      <w:pPr>
        <w:ind w:left="300" w:right="580" w:firstLine="426"/>
        <w:spacing w:after="0" w:line="286" w:lineRule="auto"/>
        <w:rPr>
          <w:sz w:val="20"/>
          <w:szCs w:val="20"/>
          <w:color w:val="auto"/>
        </w:rPr>
      </w:pPr>
      <w:r>
        <w:rPr>
          <w:rFonts w:ascii="Times New Roman" w:cs="Times New Roman" w:eastAsia="Times New Roman" w:hAnsi="Times New Roman"/>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00" w:lineRule="exact"/>
        <w:rPr>
          <w:sz w:val="20"/>
          <w:szCs w:val="20"/>
          <w:color w:val="auto"/>
        </w:rPr>
      </w:pPr>
    </w:p>
    <w:p>
      <w:pPr>
        <w:spacing w:after="0" w:line="3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6501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6998970" cy="46501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SELECTED FINANCIAL DATA AND OTHER INFORMATION</w:t>
      </w:r>
    </w:p>
    <w:p>
      <w:pPr>
        <w:spacing w:after="0" w:line="229" w:lineRule="exact"/>
        <w:rPr>
          <w:sz w:val="20"/>
          <w:szCs w:val="20"/>
          <w:color w:val="auto"/>
        </w:rPr>
      </w:pPr>
    </w:p>
    <w:p>
      <w:pPr>
        <w:ind w:left="300" w:right="220" w:firstLine="426"/>
        <w:spacing w:after="0" w:line="256" w:lineRule="auto"/>
        <w:rPr>
          <w:sz w:val="20"/>
          <w:szCs w:val="20"/>
          <w:color w:val="auto"/>
        </w:rPr>
      </w:pPr>
      <w:r>
        <w:rPr>
          <w:rFonts w:ascii="Times New Roman" w:cs="Times New Roman" w:eastAsia="Times New Roman" w:hAnsi="Times New Roman"/>
          <w:sz w:val="18"/>
          <w:szCs w:val="18"/>
          <w:color w:val="auto"/>
        </w:rPr>
        <w:t>You should read the following selected consolidated historical financial data below in conjunction with the section entitled “Management’s Discussion and Analysis of Financial Condition and Results of Operations” in Part II, Item 7 of our 2018 Annual Report and in Part I, Item 2 of our 2019 Q1 Quarterly Report and our consolidated financial statements, related notes and other financial information incorporated by reference in this prospectus. The selected financial data in this section is not intended to replace the consolidated financial statements and is qualified in its entirety by our consolidated financial statements and related notes incorporated by reference in this prospectus to the consolidated financial statements in our 2018 Annual Report and in our 2019 Q1 Quarterly Report.</w:t>
      </w:r>
    </w:p>
    <w:p>
      <w:pPr>
        <w:spacing w:after="0" w:line="187" w:lineRule="exact"/>
        <w:rPr>
          <w:sz w:val="20"/>
          <w:szCs w:val="20"/>
          <w:color w:val="auto"/>
        </w:rPr>
      </w:pPr>
    </w:p>
    <w:p>
      <w:pPr>
        <w:ind w:left="300" w:right="380" w:firstLine="426"/>
        <w:spacing w:after="0" w:line="256" w:lineRule="auto"/>
        <w:rPr>
          <w:sz w:val="20"/>
          <w:szCs w:val="20"/>
          <w:color w:val="auto"/>
        </w:rPr>
      </w:pPr>
      <w:r>
        <w:rPr>
          <w:rFonts w:ascii="Times New Roman" w:cs="Times New Roman" w:eastAsia="Times New Roman" w:hAnsi="Times New Roman"/>
          <w:sz w:val="18"/>
          <w:szCs w:val="18"/>
          <w:color w:val="auto"/>
        </w:rPr>
        <w:t>We derived the selected consolidated financial data for the years ended December 31, 2018, 2017 and 2016 from our audited consolidated financial statements and related notes, which are incorporated by reference in this prospectus. We derived the selected consolidated financial data for the years ended December 31, 2015 and 2014 from our audited consolidated financial statements and related notes, which are not included or incorporated by reference in this prospectus. We derived the selected consolidated financial data for the three months ended March 31, 2019 and 2018 from our unaudited interim consolidated financial statements and related notes, which are incorporated by reference in this prospectus. Certain prior period information has been reclassified to conform to the current period presentation.</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10"/>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in millions, except per share amounts)</w:t>
            </w:r>
          </w:p>
        </w:tc>
        <w:tc>
          <w:tcPr>
            <w:tcW w:w="900" w:type="dxa"/>
            <w:vAlign w:val="bottom"/>
          </w:tcPr>
          <w:p>
            <w:pPr>
              <w:spacing w:after="0"/>
              <w:rPr>
                <w:sz w:val="15"/>
                <w:szCs w:val="15"/>
                <w:color w:val="auto"/>
              </w:rPr>
            </w:pPr>
          </w:p>
        </w:tc>
        <w:tc>
          <w:tcPr>
            <w:tcW w:w="12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10"/>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Income</w:t>
            </w:r>
          </w:p>
        </w:tc>
        <w:tc>
          <w:tcPr>
            <w:tcW w:w="9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$52.5</w:t>
            </w: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261.9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210.9</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192.4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173.4</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9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114.6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Before Income Taxes</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147.3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123.1</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109.6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105.6</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26.6</w:t>
            </w: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Change in Unrealized Gain (Loss)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Net Realized Gain (Loss)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$38.7</w:t>
            </w: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119.0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111.6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137.0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share—basic and diluted</w:t>
            </w:r>
            <w:r>
              <w:rPr>
                <w:rFonts w:ascii="Times New Roman" w:cs="Times New Roman" w:eastAsia="Times New Roman" w:hAnsi="Times New Roman"/>
                <w:sz w:val="15"/>
                <w:szCs w:val="15"/>
                <w:color w:val="auto"/>
              </w:rPr>
              <w:t>(1)(2)</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$0.59</w:t>
            </w: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8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300" w:type="dxa"/>
            <w:vAlign w:val="bottom"/>
            <w:gridSpan w:val="2"/>
          </w:tcPr>
          <w:p>
            <w:pPr>
              <w:jc w:val="right"/>
              <w:ind w:right="304"/>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58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10"/>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 except per share amounts)</w:t>
            </w:r>
          </w:p>
        </w:tc>
        <w:tc>
          <w:tcPr>
            <w:tcW w:w="26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10"/>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8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1,824.9</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1,706.0</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1,693.7</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1,657.4</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1,485.7</w:t>
            </w: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1,263.5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1,849.5</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1,730.3</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1,720.2</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1,675.5</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1,506.5</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1,288.9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1,074.1</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1,063.2</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portfolio companies at year end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15"/>
                <w:szCs w:val="15"/>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income-producing</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at fair value</w:t>
            </w:r>
            <w:r>
              <w:rPr>
                <w:rFonts w:ascii="Times New Roman" w:cs="Times New Roman" w:eastAsia="Times New Roman" w:hAnsi="Times New Roman"/>
                <w:sz w:val="15"/>
                <w:szCs w:val="15"/>
                <w:color w:val="auto"/>
              </w:rPr>
              <w:t>(3)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income-producing</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at amortized cost</w:t>
            </w:r>
            <w:r>
              <w:rPr>
                <w:rFonts w:ascii="Times New Roman" w:cs="Times New Roman" w:eastAsia="Times New Roman" w:hAnsi="Times New Roman"/>
                <w:sz w:val="15"/>
                <w:szCs w:val="15"/>
                <w:color w:val="auto"/>
              </w:rPr>
              <w:t>(3)</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debt investments as a percentage of principal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fair value of debt investments as a</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percentage of call price</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720" w:hanging="422"/>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common share is based on weighted average shares of common stock outstanding during the period.</w:t>
      </w:r>
    </w:p>
    <w:p>
      <w:pPr>
        <w:spacing w:after="0" w:line="27" w:lineRule="exact"/>
        <w:rPr>
          <w:rFonts w:ascii="Times New Roman" w:cs="Times New Roman" w:eastAsia="Times New Roman" w:hAnsi="Times New Roman"/>
          <w:sz w:val="18"/>
          <w:szCs w:val="18"/>
          <w:color w:val="auto"/>
        </w:rPr>
      </w:pPr>
    </w:p>
    <w:p>
      <w:pPr>
        <w:ind w:left="720" w:right="140" w:hanging="422"/>
        <w:spacing w:after="0" w:line="265" w:lineRule="auto"/>
        <w:tabs>
          <w:tab w:leader="none" w:pos="7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Generally Accepted Accounting Principles (“U.S. GAAP”) requires that total return be calculated as the change in net asset value per share during the period plus declared dividends per share, divided by the beginning net asset value per share. Our total return set forth in the table above for the three months ended March 31, 2019 and the years ended December 31, 2018, 2017, 2016, 2015, and 2014 reflects the Adviser’s waivers of its right to receive a portion of the Management Fee and Incentive Fees prior to our IPO and separately with respect to our ownership of shares of common stock of Triangle Capital Corp. and Oxford Square Capital Corp. The Management Fee, excluding the effects of the waivers, would have been $6.6 million, $28.6 million, $24.3 million, $24.3 million, $21.3 million, and $18.3 million for the three months ended March 31, 2019 and the years ended December 31, 2018, 2017, 2016, 2015, and 2014, respectively. The Incentive Fee excluding the effects of the waiver would have been $5.7 million, $30.5 million, $25.5 million, $22.7 million, $20.2 million and</w:t>
      </w:r>
    </w:p>
    <w:p>
      <w:pPr>
        <w:spacing w:after="0" w:line="1" w:lineRule="exact"/>
        <w:rPr>
          <w:rFonts w:ascii="Times New Roman" w:cs="Times New Roman" w:eastAsia="Times New Roman" w:hAnsi="Times New Roman"/>
          <w:sz w:val="17"/>
          <w:szCs w:val="17"/>
          <w:color w:val="auto"/>
        </w:rPr>
      </w:pPr>
    </w:p>
    <w:p>
      <w:pPr>
        <w:ind w:left="720" w:right="1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$17.8 million for the three months ended March 31, 2019 and the years ended December 31, 2018, 2017, 2016, 2015 and 2014 respectively. The corresponding impact on the total return calculation is not material.</w:t>
      </w:r>
    </w:p>
    <w:p>
      <w:pPr>
        <w:ind w:left="720" w:right="20" w:hanging="422"/>
        <w:spacing w:after="0" w:line="25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yield on debt and income 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fair value. Weighted average yield on debt and income 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320" w:top="455" w:right="6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6761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6998970" cy="46761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SELECTED QUARTERLY FINANCIAL DATA</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4"/>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4"/>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4"/>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60" w:type="dxa"/>
            <w:vAlign w:val="bottom"/>
          </w:tcPr>
          <w:p>
            <w:pPr>
              <w:spacing w:after="0"/>
              <w:rPr>
                <w:sz w:val="12"/>
                <w:szCs w:val="12"/>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6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96"/>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96"/>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$52,487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r>
              <w:rPr>
                <w:rFonts w:ascii="Times New Roman" w:cs="Times New Roman" w:eastAsia="Times New Roman" w:hAnsi="Times New Roman"/>
                <w:sz w:val="15"/>
                <w:szCs w:val="15"/>
                <w:color w:val="auto"/>
              </w:rPr>
              <w:t>(1)</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$25,849</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$26,638</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$12,107</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$38,745</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3"/>
              </w:rPr>
              <w:t>16.34</w:t>
            </w:r>
          </w:p>
        </w:tc>
        <w:tc>
          <w:tcPr>
            <w:tcW w:w="60" w:type="dxa"/>
            <w:vAlign w:val="bottom"/>
          </w:tcPr>
          <w:p>
            <w:pPr>
              <w:spacing w:after="0"/>
              <w:rPr>
                <w:sz w:val="20"/>
                <w:szCs w:val="20"/>
                <w:color w:val="auto"/>
              </w:rPr>
            </w:pPr>
          </w:p>
        </w:tc>
      </w:tr>
      <w:tr>
        <w:trPr>
          <w:trHeight w:val="373"/>
        </w:trPr>
        <w:tc>
          <w:tcPr>
            <w:tcW w:w="5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5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4"/>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60" w:type="dxa"/>
            <w:vAlign w:val="bottom"/>
          </w:tcPr>
          <w:p>
            <w:pPr>
              <w:spacing w:after="0"/>
              <w:rPr>
                <w:sz w:val="12"/>
                <w:szCs w:val="12"/>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6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$ 74,741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$63,004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$66,401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$57,767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r>
              <w:rPr>
                <w:rFonts w:ascii="Times New Roman" w:cs="Times New Roman" w:eastAsia="Times New Roman" w:hAnsi="Times New Roman"/>
                <w:sz w:val="15"/>
                <w:szCs w:val="15"/>
                <w:color w:val="auto"/>
              </w:rPr>
              <w:t>(1)</w:t>
            </w:r>
          </w:p>
        </w:tc>
        <w:tc>
          <w:tcPr>
            <w:tcW w:w="2340" w:type="dxa"/>
            <w:vAlign w:val="bottom"/>
            <w:gridSpan w:val="7"/>
          </w:tcPr>
          <w:p>
            <w:pPr>
              <w:ind w:left="1680"/>
              <w:spacing w:after="0"/>
              <w:rPr>
                <w:sz w:val="20"/>
                <w:szCs w:val="20"/>
                <w:color w:val="auto"/>
              </w:rPr>
            </w:pPr>
            <w:r>
              <w:rPr>
                <w:rFonts w:ascii="Times New Roman" w:cs="Times New Roman" w:eastAsia="Times New Roman" w:hAnsi="Times New Roman"/>
                <w:sz w:val="18"/>
                <w:szCs w:val="18"/>
                <w:color w:val="auto"/>
              </w:rPr>
              <w:t>$ 30,634</w:t>
            </w:r>
          </w:p>
        </w:tc>
        <w:tc>
          <w:tcPr>
            <w:tcW w:w="140" w:type="dxa"/>
            <w:vAlign w:val="bottom"/>
          </w:tcPr>
          <w:p>
            <w:pPr>
              <w:spacing w:after="0"/>
              <w:rPr>
                <w:sz w:val="18"/>
                <w:szCs w:val="18"/>
                <w:color w:val="auto"/>
              </w:rPr>
            </w:pPr>
          </w:p>
        </w:tc>
        <w:tc>
          <w:tcPr>
            <w:tcW w:w="780" w:type="dxa"/>
            <w:vAlign w:val="bottom"/>
            <w:gridSpan w:val="6"/>
          </w:tcPr>
          <w:p>
            <w:pPr>
              <w:jc w:val="center"/>
              <w:ind w:left="93"/>
              <w:spacing w:after="0"/>
              <w:rPr>
                <w:sz w:val="20"/>
                <w:szCs w:val="20"/>
                <w:color w:val="auto"/>
              </w:rPr>
            </w:pPr>
            <w:r>
              <w:rPr>
                <w:rFonts w:ascii="Times New Roman" w:cs="Times New Roman" w:eastAsia="Times New Roman" w:hAnsi="Times New Roman"/>
                <w:sz w:val="18"/>
                <w:szCs w:val="18"/>
                <w:color w:val="auto"/>
              </w:rPr>
              <w:t>$30,711</w:t>
            </w:r>
          </w:p>
        </w:tc>
        <w:tc>
          <w:tcPr>
            <w:tcW w:w="20" w:type="dxa"/>
            <w:vAlign w:val="bottom"/>
          </w:tcPr>
          <w:p>
            <w:pPr>
              <w:spacing w:after="0"/>
              <w:rPr>
                <w:sz w:val="18"/>
                <w:szCs w:val="18"/>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$30,099</w:t>
            </w:r>
          </w:p>
        </w:tc>
        <w:tc>
          <w:tcPr>
            <w:tcW w:w="160" w:type="dxa"/>
            <w:vAlign w:val="bottom"/>
          </w:tcPr>
          <w:p>
            <w:pPr>
              <w:spacing w:after="0"/>
              <w:rPr>
                <w:sz w:val="18"/>
                <w:szCs w:val="18"/>
                <w:color w:val="auto"/>
              </w:rPr>
            </w:pPr>
          </w:p>
        </w:tc>
        <w:tc>
          <w:tcPr>
            <w:tcW w:w="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$26,581</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340" w:type="dxa"/>
            <w:vAlign w:val="bottom"/>
            <w:gridSpan w:val="7"/>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$ 44,107</w:t>
            </w:r>
          </w:p>
        </w:tc>
        <w:tc>
          <w:tcPr>
            <w:tcW w:w="140" w:type="dxa"/>
            <w:vAlign w:val="bottom"/>
            <w:shd w:val="clear" w:color="auto" w:fill="CCEEFF"/>
          </w:tcPr>
          <w:p>
            <w:pPr>
              <w:spacing w:after="0"/>
              <w:rPr>
                <w:sz w:val="18"/>
                <w:szCs w:val="18"/>
                <w:color w:val="auto"/>
              </w:rPr>
            </w:pPr>
          </w:p>
        </w:tc>
        <w:tc>
          <w:tcPr>
            <w:tcW w:w="800" w:type="dxa"/>
            <w:vAlign w:val="bottom"/>
            <w:gridSpan w:val="7"/>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rPr>
              <w:t>$32,293</w:t>
            </w:r>
          </w:p>
        </w:tc>
        <w:tc>
          <w:tcPr>
            <w:tcW w:w="8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$36,302</w:t>
            </w:r>
          </w:p>
        </w:tc>
        <w:tc>
          <w:tcPr>
            <w:tcW w:w="160" w:type="dxa"/>
            <w:vAlign w:val="bottom"/>
            <w:shd w:val="clear" w:color="auto" w:fill="CCEEFF"/>
          </w:tcPr>
          <w:p>
            <w:pPr>
              <w:spacing w:after="0"/>
              <w:rPr>
                <w:sz w:val="18"/>
                <w:szCs w:val="18"/>
                <w:color w:val="auto"/>
              </w:rPr>
            </w:pPr>
          </w:p>
        </w:tc>
        <w:tc>
          <w:tcPr>
            <w:tcW w:w="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$31,186</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2480" w:type="dxa"/>
            <w:vAlign w:val="bottom"/>
            <w:gridSpan w:val="8"/>
          </w:tcPr>
          <w:p>
            <w:pPr>
              <w:ind w:left="1680"/>
              <w:spacing w:after="0"/>
              <w:rPr>
                <w:sz w:val="20"/>
                <w:szCs w:val="20"/>
                <w:color w:val="auto"/>
              </w:rPr>
            </w:pPr>
            <w:r>
              <w:rPr>
                <w:rFonts w:ascii="Times New Roman" w:cs="Times New Roman" w:eastAsia="Times New Roman" w:hAnsi="Times New Roman"/>
                <w:sz w:val="18"/>
                <w:szCs w:val="18"/>
                <w:color w:val="auto"/>
              </w:rPr>
              <w:t>$(29,875)</w:t>
            </w:r>
          </w:p>
        </w:tc>
        <w:tc>
          <w:tcPr>
            <w:tcW w:w="780" w:type="dxa"/>
            <w:vAlign w:val="bottom"/>
            <w:gridSpan w:val="6"/>
          </w:tcPr>
          <w:p>
            <w:pPr>
              <w:jc w:val="center"/>
              <w:ind w:left="93"/>
              <w:spacing w:after="0"/>
              <w:rPr>
                <w:sz w:val="20"/>
                <w:szCs w:val="20"/>
                <w:color w:val="auto"/>
              </w:rPr>
            </w:pPr>
            <w:r>
              <w:rPr>
                <w:rFonts w:ascii="Times New Roman" w:cs="Times New Roman" w:eastAsia="Times New Roman" w:hAnsi="Times New Roman"/>
                <w:sz w:val="18"/>
                <w:szCs w:val="18"/>
                <w:color w:val="auto"/>
              </w:rPr>
              <w:t>$ 5,087</w:t>
            </w:r>
          </w:p>
        </w:tc>
        <w:tc>
          <w:tcPr>
            <w:tcW w:w="20" w:type="dxa"/>
            <w:vAlign w:val="bottom"/>
          </w:tcPr>
          <w:p>
            <w:pPr>
              <w:spacing w:after="0"/>
              <w:rPr>
                <w:sz w:val="18"/>
                <w:szCs w:val="18"/>
                <w:color w:val="auto"/>
              </w:rPr>
            </w:pPr>
          </w:p>
        </w:tc>
        <w:tc>
          <w:tcPr>
            <w:tcW w:w="98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 (2,733)</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3"/>
              </w:rPr>
              <w:t>2,650</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2340" w:type="dxa"/>
            <w:vAlign w:val="bottom"/>
            <w:gridSpan w:val="7"/>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$ 14,232</w:t>
            </w:r>
          </w:p>
        </w:tc>
        <w:tc>
          <w:tcPr>
            <w:tcW w:w="140" w:type="dxa"/>
            <w:vAlign w:val="bottom"/>
            <w:shd w:val="clear" w:color="auto" w:fill="CCEEFF"/>
          </w:tcPr>
          <w:p>
            <w:pPr>
              <w:spacing w:after="0"/>
              <w:rPr>
                <w:sz w:val="18"/>
                <w:szCs w:val="18"/>
                <w:color w:val="auto"/>
              </w:rPr>
            </w:pPr>
          </w:p>
        </w:tc>
        <w:tc>
          <w:tcPr>
            <w:tcW w:w="800" w:type="dxa"/>
            <w:vAlign w:val="bottom"/>
            <w:gridSpan w:val="7"/>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rPr>
              <w:t>$37,380</w:t>
            </w:r>
          </w:p>
        </w:tc>
        <w:tc>
          <w:tcPr>
            <w:tcW w:w="8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$33,569</w:t>
            </w:r>
          </w:p>
        </w:tc>
        <w:tc>
          <w:tcPr>
            <w:tcW w:w="160" w:type="dxa"/>
            <w:vAlign w:val="bottom"/>
            <w:shd w:val="clear" w:color="auto" w:fill="CCEEFF"/>
          </w:tcPr>
          <w:p>
            <w:pPr>
              <w:spacing w:after="0"/>
              <w:rPr>
                <w:sz w:val="18"/>
                <w:szCs w:val="18"/>
                <w:color w:val="auto"/>
              </w:rPr>
            </w:pPr>
          </w:p>
        </w:tc>
        <w:tc>
          <w:tcPr>
            <w:tcW w:w="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$33,836</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18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w w:val="93"/>
              </w:rPr>
              <w:t>16.25</w:t>
            </w:r>
          </w:p>
        </w:tc>
        <w:tc>
          <w:tcPr>
            <w:tcW w:w="140" w:type="dxa"/>
            <w:vAlign w:val="bottom"/>
          </w:tcPr>
          <w:p>
            <w:pPr>
              <w:spacing w:after="0"/>
              <w:rPr>
                <w:sz w:val="20"/>
                <w:szCs w:val="20"/>
                <w:color w:val="auto"/>
              </w:rPr>
            </w:pPr>
          </w:p>
        </w:tc>
        <w:tc>
          <w:tcPr>
            <w:tcW w:w="780" w:type="dxa"/>
            <w:vAlign w:val="bottom"/>
            <w:gridSpan w:val="6"/>
          </w:tcPr>
          <w:p>
            <w:pPr>
              <w:jc w:val="center"/>
              <w:ind w:left="93"/>
              <w:spacing w:after="0"/>
              <w:rPr>
                <w:sz w:val="20"/>
                <w:szCs w:val="20"/>
                <w:color w:val="auto"/>
              </w:rPr>
            </w:pPr>
            <w:r>
              <w:rPr>
                <w:rFonts w:ascii="Times New Roman" w:cs="Times New Roman" w:eastAsia="Times New Roman" w:hAnsi="Times New Roman"/>
                <w:sz w:val="18"/>
                <w:szCs w:val="18"/>
                <w:color w:val="auto"/>
              </w:rPr>
              <w:t>$ 16.47</w:t>
            </w:r>
          </w:p>
        </w:tc>
        <w:tc>
          <w:tcPr>
            <w:tcW w:w="20" w:type="dxa"/>
            <w:vAlign w:val="bottom"/>
          </w:tcPr>
          <w:p>
            <w:pPr>
              <w:spacing w:after="0"/>
              <w:rPr>
                <w:sz w:val="20"/>
                <w:szCs w:val="20"/>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$ 16.36</w:t>
            </w:r>
          </w:p>
        </w:tc>
        <w:tc>
          <w:tcPr>
            <w:tcW w:w="160" w:type="dxa"/>
            <w:vAlign w:val="bottom"/>
          </w:tcPr>
          <w:p>
            <w:pPr>
              <w:spacing w:after="0"/>
              <w:rPr>
                <w:sz w:val="20"/>
                <w:szCs w:val="20"/>
                <w:color w:val="auto"/>
              </w:rPr>
            </w:pP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3"/>
              </w:rPr>
              <w:t>16.27</w:t>
            </w:r>
          </w:p>
        </w:tc>
        <w:tc>
          <w:tcPr>
            <w:tcW w:w="60" w:type="dxa"/>
            <w:vAlign w:val="bottom"/>
          </w:tcPr>
          <w:p>
            <w:pPr>
              <w:spacing w:after="0"/>
              <w:rPr>
                <w:sz w:val="20"/>
                <w:szCs w:val="20"/>
                <w:color w:val="auto"/>
              </w:rPr>
            </w:pPr>
          </w:p>
        </w:tc>
      </w:tr>
      <w:tr>
        <w:trPr>
          <w:trHeight w:val="373"/>
        </w:trPr>
        <w:tc>
          <w:tcPr>
            <w:tcW w:w="5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5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5"/>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gridSpan w:val="2"/>
          </w:tcPr>
          <w:p>
            <w:pPr>
              <w:spacing w:after="0"/>
              <w:rPr>
                <w:sz w:val="12"/>
                <w:szCs w:val="12"/>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6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$48,825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$52,305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$58,819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$50,948</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r>
              <w:rPr>
                <w:rFonts w:ascii="Times New Roman" w:cs="Times New Roman" w:eastAsia="Times New Roman" w:hAnsi="Times New Roman"/>
                <w:sz w:val="15"/>
                <w:szCs w:val="15"/>
                <w:color w:val="auto"/>
              </w:rPr>
              <w:t>(1)</w:t>
            </w:r>
          </w:p>
        </w:tc>
        <w:tc>
          <w:tcPr>
            <w:tcW w:w="2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$21,376</w:t>
            </w:r>
          </w:p>
        </w:tc>
        <w:tc>
          <w:tcPr>
            <w:tcW w:w="2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$24,887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$22,429</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2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$30,929</w:t>
            </w:r>
          </w:p>
        </w:tc>
        <w:tc>
          <w:tcPr>
            <w:tcW w:w="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$28,519</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8"/>
                <w:szCs w:val="18"/>
                <w:color w:val="auto"/>
              </w:rPr>
            </w:pPr>
          </w:p>
        </w:tc>
        <w:tc>
          <w:tcPr>
            <w:tcW w:w="78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 (6,170)</w:t>
            </w:r>
          </w:p>
        </w:tc>
        <w:tc>
          <w:tcPr>
            <w:tcW w:w="20" w:type="dxa"/>
            <w:vAlign w:val="bottom"/>
          </w:tcPr>
          <w:p>
            <w:pPr>
              <w:spacing w:after="0"/>
              <w:rPr>
                <w:sz w:val="18"/>
                <w:szCs w:val="18"/>
                <w:color w:val="auto"/>
              </w:rPr>
            </w:pPr>
          </w:p>
        </w:tc>
        <w:tc>
          <w:tcPr>
            <w:tcW w:w="98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 (2,106)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22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$24,759</w:t>
            </w:r>
          </w:p>
        </w:tc>
        <w:tc>
          <w:tcPr>
            <w:tcW w:w="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$28,278</w:t>
            </w:r>
          </w:p>
        </w:tc>
        <w:tc>
          <w:tcPr>
            <w:tcW w:w="60" w:type="dxa"/>
            <w:vAlign w:val="bottom"/>
            <w:shd w:val="clear" w:color="auto" w:fill="CCEEFF"/>
          </w:tcPr>
          <w:p>
            <w:pPr>
              <w:spacing w:after="0"/>
              <w:rPr>
                <w:sz w:val="18"/>
                <w:szCs w:val="18"/>
                <w:color w:val="auto"/>
              </w:rPr>
            </w:pP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$ 16.09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$ 16.15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6" w:lineRule="exact"/>
        <w:rPr>
          <w:sz w:val="20"/>
          <w:szCs w:val="20"/>
          <w:color w:val="auto"/>
        </w:rPr>
      </w:pPr>
    </w:p>
    <w:p>
      <w:pPr>
        <w:ind w:left="720" w:hanging="422"/>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Expenses includes Income taxes, including excise taxes.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320" w:top="455" w:right="6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You should carefully consider the risks set out below and described in Part I, Item 1A, “Risk Factors,” in our 2018 Annual Report and Part 1, Item IA, “Risk Factors,” in our 2019 Q1 Quarterly Report, which are incorporated herein by reference, together with the other information set forth in this prospectus and in the other documents that we include or incorporate by reference into this prospectus before making a decision about investing in our securities. The risks and uncertainties set out below and discussed in our 2018 Annual Report and our 2019 Q1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Offerings Pursuant to This Prospectus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investors in our common stock may not receive dividends or that our dividends may not grow over time.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prospectus.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 Factors—Risks Related to Our Portfolio Company Investments—There are certain risks associated with holding debt obligations that have original issue discount or payment-in-kind interest” in Part I, Item 1A of our 2018 Annual Report.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76" w:lineRule="exact"/>
        <w:rPr>
          <w:sz w:val="20"/>
          <w:szCs w:val="20"/>
          <w:color w:val="auto"/>
        </w:rPr>
      </w:pPr>
    </w:p>
    <w:p>
      <w:pPr>
        <w:jc w:val="both"/>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62"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securities may involve a high degree of risk.</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fluctuate significantly.</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67" w:lineRule="exact"/>
        <w:rPr>
          <w:sz w:val="20"/>
          <w:szCs w:val="20"/>
          <w:color w:val="auto"/>
        </w:rPr>
      </w:pPr>
    </w:p>
    <w:p>
      <w:pPr>
        <w:ind w:left="1080" w:right="8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tax guidelines, particularly with respect to RICs or BDCs;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RIC or BDC status;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earnings or variations in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portfolio of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the value of our portfolio of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guidelines governing valuation of our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in revenue or net income or any increase in losses from levels expected by investors or securities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downgrades to our credit rating or placement on a negative watch status by a credit rating agency;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the Adviser’s or any of its affiliates’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of companies comparable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short-selling pressure with respect to shares of our common stock or BDCs generally;</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securities convertible into or exchangeable or exercisable for our common stock or the conversion of such securities, including our Convertible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surrounding the strength of the U.S. economic recovery;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European sovereign debt and Brexit;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volatility in the Chinese stock market and Chinese currency;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between the U.S. and other countries with respect to trade policies, treaties and tariffs;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base interest rates, such as LIBOR, CDOR, BBSY, EURIBOR, the Federal Funds Effective Rate or the Prime 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other external factors;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funding source.</w:t>
      </w:r>
    </w:p>
    <w:p>
      <w:pPr>
        <w:spacing w:after="0" w:line="22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the market price of shares of our common stock will not decline.</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 may have an adverse effect on the market price of our common stock.</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Sales of substantial amounts of our common stock, the availability of such common stock for sale (including as a result of the conversion of our 2019 Convertible Notes and our 2022 Convertible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experience dilution upon the conversion of the 2019 Convertible Notes and the 2022 Convertible Notes.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2019 Convertible Notes and our 2022 Convertible Notes are convertible into shares of our common stock beginning on June 15, 2019 and February 1, 2022, respectively, or earlier, under certain circumstances. Upon conversion of our 2019 Convertible Notes and 2022 Convertible Notes, we have the choice to pay or deliver, as the case may be, at our election, cash, shares of our common stock or a combination of cash and shares of our common stock. The initial conversion price of the 2019 Convertible Notes was $25.83 per share and the initial conversion price of the 2022 Convertible Notes was $21.34 per share. As the result of our payment of certain cash dividends in respect of our common stock, as of March 31, 2019, the estimated adjusted conversion price of the 2019 Convertible Notes is $24.91 per share, and the estimated adjusted conversion price of the 2022 Convertible Notes is $20.79 per share, in each case taking into account certain de minimis adjustments that will be made on the conversion date and subject to further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60"/>
          </w:cols>
          <w:pgMar w:left="320" w:top="455" w:right="51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common stock in connection with the conversion of the 2019 Convertible Notes and the 2022 Convertible Notes and any dividends paid on our common stock will also be paid on shares issued in connection with such conversion after such issuance.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will experience dilution in their ownership percentage if they opt out of our dividend reinvestment plan.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83"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9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entered into an agreement with Goldman Sachs &amp; Co. LLC, which we refer to as the Company 10b5-1 Plan, in accordance with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Rules 10b5-1 and 10b-18 under the Exchange Act, under which Goldman Sachs &amp; Co. LLC, as agent for us, will buy up to $50 million of our common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in the aggregate during the period ending on the earlier of the date on which all the capital committed to the plan has been exhausted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30, 2019.</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Purchases of our common stock by us under the Company 10b5-1 Plan may result in dilution to our net asset value per share.</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On May 2, 2019, the Board authorized an amendment to the Company 10b5-1 Plan to, among other things, revise the market prices at which Goldman Sachs &amp; Co. LLC, as our agent, is required to repurchase shares of common stock on our behalf from just below our most recently reported net asset value per share to just below 1.05 times the most recently reported net asset value per share, less the amount of any supplemental dividend declared for that quarter but not yet reflected in the most recently reported net asset value per share (including any updates, corrections or adjustments publicly announced by us to any previously announced net asset value per share or supplemental dividend). Under the Company 10b5-1 Plan, the agent will increase the volume of purchases made as the price of our common stock declines, subject to volume restrictions.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proceeds of any offering made pursuant to this prospectus, to the extent it is successful.</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6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83"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162"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16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28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51" w:lineRule="exact"/>
        <w:rPr>
          <w:sz w:val="20"/>
          <w:szCs w:val="20"/>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4"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30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any preferred stock we might issue would have the right to elect members of the board of directors and class voting rights on certain matters.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and the documents incorporated by reference herein, the following factors, among others, could cause actual results to differ materially from forward-looking statements or historical performance:</w:t>
      </w:r>
    </w:p>
    <w:p>
      <w:pPr>
        <w:spacing w:after="0" w:line="67" w:lineRule="exact"/>
        <w:rPr>
          <w:sz w:val="20"/>
          <w:szCs w:val="20"/>
          <w:color w:val="auto"/>
        </w:rPr>
      </w:pPr>
    </w:p>
    <w:p>
      <w:pPr>
        <w:ind w:left="1080" w:right="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312" w:lineRule="auto"/>
        <w:tabs>
          <w:tab w:leader="none" w:pos="10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uncertainties and other factors we identify in the section entitled “Risk Factors” in this prospectus and in Part I, Item 1A of our 2018 Annual Report and Part II, Item 1A of our 2019 Q1 Quarterly Report, and those discussed in other documents we file with the SEC.</w:t>
      </w:r>
    </w:p>
    <w:p>
      <w:pPr>
        <w:spacing w:after="0" w:line="14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of our 2018 Annual Report and Part II, Item 1A of our 2019 Q1 Quarterly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PRICE RANGE OF COMMON STOCK AND DISTRIBUTIONS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2019 and for the years ended December 31, 2018 and 2017. On May 6, 2019, the last reported closing sales price of our common stock on the NYSE was $20.21 per share, which represented a premium of approximately 23.7% to the net asset value per share reported by us as of March 31, 2019, the last date prior to the date of this prospectus for which we reported net asset value.</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260" w:type="dxa"/>
            <w:vAlign w:val="bottom"/>
            <w:vMerge w:val="restart"/>
          </w:tcPr>
          <w:p>
            <w:pPr>
              <w:spacing w:after="0"/>
              <w:rPr>
                <w:sz w:val="13"/>
                <w:szCs w:val="13"/>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100" w:type="dxa"/>
            <w:vAlign w:val="bottom"/>
          </w:tcPr>
          <w:p>
            <w:pPr>
              <w:spacing w:after="0"/>
              <w:rPr>
                <w:sz w:val="13"/>
                <w:szCs w:val="13"/>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65"/>
        </w:trPr>
        <w:tc>
          <w:tcPr>
            <w:tcW w:w="5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Borders>
              <w:bottom w:val="single" w:sz="8" w:color="auto"/>
            </w:tcBorders>
            <w:gridSpan w:val="3"/>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12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Price to Net</w:t>
            </w:r>
          </w:p>
        </w:tc>
        <w:tc>
          <w:tcPr>
            <w:tcW w:w="104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6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17"/>
        </w:trPr>
        <w:tc>
          <w:tcPr>
            <w:tcW w:w="588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NAV</w:t>
            </w:r>
            <w:r>
              <w:rPr>
                <w:rFonts w:ascii="Times New Roman" w:cs="Times New Roman" w:eastAsia="Times New Roman" w:hAnsi="Times New Roman"/>
                <w:sz w:val="12"/>
                <w:szCs w:val="12"/>
                <w:b w:val="1"/>
                <w:bCs w:val="1"/>
                <w:color w:val="auto"/>
                <w:w w:val="94"/>
              </w:rPr>
              <w:t>(1)</w:t>
            </w:r>
          </w:p>
        </w:tc>
        <w:tc>
          <w:tcPr>
            <w:tcW w:w="340" w:type="dxa"/>
            <w:vAlign w:val="bottom"/>
          </w:tcPr>
          <w:p>
            <w:pPr>
              <w:spacing w:after="0"/>
              <w:rPr>
                <w:sz w:val="10"/>
                <w:szCs w:val="10"/>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Low</w:t>
            </w:r>
          </w:p>
        </w:tc>
        <w:tc>
          <w:tcPr>
            <w:tcW w:w="112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104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00" w:type="dxa"/>
            <w:vAlign w:val="bottom"/>
          </w:tcPr>
          <w:p>
            <w:pPr>
              <w:spacing w:after="0"/>
              <w:rPr>
                <w:sz w:val="10"/>
                <w:szCs w:val="10"/>
                <w:color w:val="auto"/>
              </w:rPr>
            </w:pPr>
          </w:p>
        </w:tc>
        <w:tc>
          <w:tcPr>
            <w:tcW w:w="5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(2)</w:t>
            </w: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(2)</w:t>
            </w:r>
          </w:p>
        </w:tc>
        <w:tc>
          <w:tcPr>
            <w:tcW w:w="6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2017</w:t>
            </w: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$16.04</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$20.39</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$18.27</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27.1%</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$16.15</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$20.99</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$20.31</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$16.09</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$21.61</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$19.94</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34.3%</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$16.09</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$21.12</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$19.80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31.3%</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$16.27</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$20.06</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$17.47</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23.3%</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$16.36</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$19.19</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$17.51</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$16.47</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$20.71</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$18.04</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25.7%</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$16.25</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$21.00</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$18.09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29.2%</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2019</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$16.34</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$20.99</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$18.44</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28.5%</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(through May 6, 2019)</w:t>
            </w:r>
          </w:p>
        </w:tc>
        <w:tc>
          <w:tcPr>
            <w:tcW w:w="5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$20.29</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$20.01</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20" w:hanging="424"/>
        <w:spacing w:after="0" w:line="261"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540" w:right="54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net asset value, divided by net asset value (in each case, as of the applicable quarter). Does not reflect intraday trading prices.</w:t>
      </w: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dividends declared in the relevant quarter.</w:t>
      </w:r>
    </w:p>
    <w:p>
      <w:pPr>
        <w:spacing w:after="0" w:line="9"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has not yet been reported for this period.</w:t>
      </w:r>
    </w:p>
    <w:p>
      <w:pPr>
        <w:spacing w:after="0" w:line="207"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40"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On May 2, 2019, our Board declared a second quarter 2019 base dividend of $0.39 per share for stockholders of record as of June 14, 2019, payable on July 15, 2019. Our Board also declared a first quarter variable supplemental dividend of $0.01 per share for stockholders of record as of May 31, 2019, payable on June 28, 2019. We anticipate that these dividends will be paid from income generated primarily by interest earned on our investment portfolio.</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 three months ended March 31, 2019 and years ended December 31, 2018 and 2017:</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7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Dividend</w:t>
            </w:r>
            <w:r>
              <w:rPr>
                <w:rFonts w:ascii="Times New Roman" w:cs="Times New Roman" w:eastAsia="Times New Roman" w:hAnsi="Times New Roman"/>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60" w:type="dxa"/>
            <w:vAlign w:val="bottom"/>
          </w:tcPr>
          <w:p>
            <w:pPr>
              <w:spacing w:after="0"/>
              <w:rPr>
                <w:sz w:val="10"/>
                <w:szCs w:val="10"/>
                <w:color w:val="auto"/>
              </w:rPr>
            </w:pPr>
          </w:p>
        </w:tc>
        <w:tc>
          <w:tcPr>
            <w:tcW w:w="14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8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February 20, 2019</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6"/>
            <w:shd w:val="clear" w:color="auto" w:fill="CCEEFF"/>
          </w:tcPr>
          <w:p>
            <w:pPr>
              <w:jc w:val="center"/>
              <w:ind w:left="36"/>
              <w:spacing w:after="0" w:line="203" w:lineRule="exact"/>
              <w:rPr>
                <w:sz w:val="20"/>
                <w:szCs w:val="20"/>
                <w:color w:val="auto"/>
              </w:rPr>
            </w:pPr>
            <w:r>
              <w:rPr>
                <w:rFonts w:ascii="Times New Roman" w:cs="Times New Roman" w:eastAsia="Times New Roman" w:hAnsi="Times New Roman"/>
                <w:sz w:val="18"/>
                <w:szCs w:val="18"/>
                <w:color w:val="auto"/>
              </w:rPr>
              <w:t>Supplemental</w:t>
            </w: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gridSpan w:val="5"/>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rPr>
              <w:t>February 28, 2019</w:t>
            </w:r>
          </w:p>
        </w:tc>
        <w:tc>
          <w:tcPr>
            <w:tcW w:w="2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gridSpan w:val="3"/>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March 29, 2019</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 2019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5"/>
          </w:tcPr>
          <w:p>
            <w:pPr>
              <w:jc w:val="center"/>
              <w:ind w:left="176"/>
              <w:spacing w:after="0"/>
              <w:rPr>
                <w:sz w:val="20"/>
                <w:szCs w:val="20"/>
                <w:color w:val="auto"/>
              </w:rPr>
            </w:pPr>
            <w:r>
              <w:rPr>
                <w:rFonts w:ascii="Times New Roman" w:cs="Times New Roman" w:eastAsia="Times New Roman" w:hAnsi="Times New Roman"/>
                <w:sz w:val="18"/>
                <w:szCs w:val="18"/>
                <w:color w:val="auto"/>
              </w:rPr>
              <w:t>Base</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March 15, 2019</w:t>
            </w:r>
          </w:p>
        </w:tc>
        <w:tc>
          <w:tcPr>
            <w:tcW w:w="260" w:type="dxa"/>
            <w:vAlign w:val="bottom"/>
          </w:tcPr>
          <w:p>
            <w:pPr>
              <w:spacing w:after="0"/>
              <w:rPr>
                <w:sz w:val="19"/>
                <w:szCs w:val="19"/>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April 15, 2019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40" w:type="dxa"/>
            <w:vAlign w:val="bottom"/>
            <w:gridSpan w:val="9"/>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7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Dividend</w:t>
            </w:r>
            <w:r>
              <w:rPr>
                <w:rFonts w:ascii="Times New Roman" w:cs="Times New Roman" w:eastAsia="Times New Roman" w:hAnsi="Times New Roman"/>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60" w:type="dxa"/>
            <w:vAlign w:val="bottom"/>
          </w:tcPr>
          <w:p>
            <w:pPr>
              <w:spacing w:after="0"/>
              <w:rPr>
                <w:sz w:val="10"/>
                <w:szCs w:val="10"/>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8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gridSpan w:val="6"/>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February 21, 2018</w:t>
            </w: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Supplemental</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gridSpan w:val="4"/>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rPr>
              <w:t>February 28, 2018</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gridSpan w:val="2"/>
            <w:shd w:val="clear" w:color="auto" w:fill="CCEEFF"/>
          </w:tcPr>
          <w:p>
            <w:pPr>
              <w:jc w:val="center"/>
              <w:ind w:right="38"/>
              <w:spacing w:after="0" w:line="203" w:lineRule="exact"/>
              <w:rPr>
                <w:sz w:val="20"/>
                <w:szCs w:val="20"/>
                <w:color w:val="auto"/>
              </w:rPr>
            </w:pPr>
            <w:r>
              <w:rPr>
                <w:rFonts w:ascii="Times New Roman" w:cs="Times New Roman" w:eastAsia="Times New Roman" w:hAnsi="Times New Roman"/>
                <w:sz w:val="18"/>
                <w:szCs w:val="18"/>
                <w:color w:val="auto"/>
                <w:w w:val="99"/>
              </w:rPr>
              <w:t>March 30, 2018</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3"/>
            <w:shd w:val="clear" w:color="auto" w:fill="CCEEFF"/>
          </w:tcPr>
          <w:p>
            <w:pPr>
              <w:jc w:val="right"/>
              <w:ind w:right="108"/>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21, 2018</w:t>
            </w:r>
          </w:p>
        </w:tc>
        <w:tc>
          <w:tcPr>
            <w:tcW w:w="100" w:type="dxa"/>
            <w:vAlign w:val="bottom"/>
          </w:tcPr>
          <w:p>
            <w:pPr>
              <w:spacing w:after="0"/>
              <w:rPr>
                <w:sz w:val="18"/>
                <w:szCs w:val="18"/>
                <w:color w:val="auto"/>
              </w:rPr>
            </w:pPr>
          </w:p>
        </w:tc>
        <w:tc>
          <w:tcPr>
            <w:tcW w:w="154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color w:val="auto"/>
                <w:w w:val="97"/>
              </w:rPr>
              <w:t>Base</w:t>
            </w:r>
          </w:p>
        </w:tc>
        <w:tc>
          <w:tcPr>
            <w:tcW w:w="140" w:type="dxa"/>
            <w:vAlign w:val="bottom"/>
          </w:tcPr>
          <w:p>
            <w:pPr>
              <w:spacing w:after="0"/>
              <w:rPr>
                <w:sz w:val="18"/>
                <w:szCs w:val="18"/>
                <w:color w:val="auto"/>
              </w:rPr>
            </w:pPr>
          </w:p>
        </w:tc>
        <w:tc>
          <w:tcPr>
            <w:tcW w:w="1920" w:type="dxa"/>
            <w:vAlign w:val="bottom"/>
            <w:gridSpan w:val="7"/>
          </w:tcPr>
          <w:p>
            <w:pPr>
              <w:jc w:val="center"/>
              <w:ind w:right="660"/>
              <w:spacing w:after="0"/>
              <w:rPr>
                <w:sz w:val="20"/>
                <w:szCs w:val="20"/>
                <w:color w:val="auto"/>
              </w:rPr>
            </w:pPr>
            <w:r>
              <w:rPr>
                <w:rFonts w:ascii="Times New Roman" w:cs="Times New Roman" w:eastAsia="Times New Roman" w:hAnsi="Times New Roman"/>
                <w:sz w:val="18"/>
                <w:szCs w:val="18"/>
                <w:color w:val="auto"/>
                <w:w w:val="99"/>
              </w:rPr>
              <w:t>March 15, 2018</w:t>
            </w:r>
          </w:p>
        </w:tc>
        <w:tc>
          <w:tcPr>
            <w:tcW w:w="1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rPr>
              <w:t>April 13,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 2018</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8"/>
              </w:rPr>
              <w:t>Supplemental</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6"/>
            <w:shd w:val="clear" w:color="auto" w:fill="CCEEFF"/>
          </w:tcPr>
          <w:p>
            <w:pPr>
              <w:jc w:val="center"/>
              <w:ind w:right="740"/>
              <w:spacing w:after="0"/>
              <w:rPr>
                <w:sz w:val="20"/>
                <w:szCs w:val="20"/>
                <w:color w:val="auto"/>
              </w:rPr>
            </w:pPr>
            <w:r>
              <w:rPr>
                <w:rFonts w:ascii="Times New Roman" w:cs="Times New Roman" w:eastAsia="Times New Roman" w:hAnsi="Times New Roman"/>
                <w:sz w:val="18"/>
                <w:szCs w:val="18"/>
                <w:color w:val="auto"/>
                <w:w w:val="99"/>
              </w:rPr>
              <w:t>May 31, 2018</w:t>
            </w:r>
          </w:p>
        </w:tc>
        <w:tc>
          <w:tcPr>
            <w:tcW w:w="1660" w:type="dxa"/>
            <w:vAlign w:val="bottom"/>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June 29,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 2018</w:t>
            </w:r>
          </w:p>
        </w:tc>
        <w:tc>
          <w:tcPr>
            <w:tcW w:w="100" w:type="dxa"/>
            <w:vAlign w:val="bottom"/>
          </w:tcPr>
          <w:p>
            <w:pPr>
              <w:spacing w:after="0"/>
              <w:rPr>
                <w:sz w:val="18"/>
                <w:szCs w:val="18"/>
                <w:color w:val="auto"/>
              </w:rPr>
            </w:pPr>
          </w:p>
        </w:tc>
        <w:tc>
          <w:tcPr>
            <w:tcW w:w="154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color w:val="auto"/>
                <w:w w:val="97"/>
              </w:rPr>
              <w:t>Base</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6"/>
          </w:tcPr>
          <w:p>
            <w:pPr>
              <w:jc w:val="center"/>
              <w:ind w:right="740"/>
              <w:spacing w:after="0"/>
              <w:rPr>
                <w:sz w:val="20"/>
                <w:szCs w:val="20"/>
                <w:color w:val="auto"/>
              </w:rPr>
            </w:pPr>
            <w:r>
              <w:rPr>
                <w:rFonts w:ascii="Times New Roman" w:cs="Times New Roman" w:eastAsia="Times New Roman" w:hAnsi="Times New Roman"/>
                <w:sz w:val="18"/>
                <w:szCs w:val="18"/>
                <w:color w:val="auto"/>
                <w:w w:val="99"/>
              </w:rPr>
              <w:t>June 15, 2018</w:t>
            </w:r>
          </w:p>
        </w:tc>
        <w:tc>
          <w:tcPr>
            <w:tcW w:w="1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rPr>
              <w:t>July 13,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2018</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8"/>
              </w:rPr>
              <w:t>Supplemental</w:t>
            </w:r>
          </w:p>
        </w:tc>
        <w:tc>
          <w:tcPr>
            <w:tcW w:w="140" w:type="dxa"/>
            <w:vAlign w:val="bottom"/>
            <w:shd w:val="clear" w:color="auto" w:fill="CCEEFF"/>
          </w:tcPr>
          <w:p>
            <w:pPr>
              <w:spacing w:after="0"/>
              <w:rPr>
                <w:sz w:val="18"/>
                <w:szCs w:val="18"/>
                <w:color w:val="auto"/>
              </w:rPr>
            </w:pPr>
          </w:p>
        </w:tc>
        <w:tc>
          <w:tcPr>
            <w:tcW w:w="1920" w:type="dxa"/>
            <w:vAlign w:val="bottom"/>
            <w:gridSpan w:val="7"/>
            <w:shd w:val="clear" w:color="auto" w:fill="CCEEFF"/>
          </w:tcPr>
          <w:p>
            <w:pPr>
              <w:jc w:val="center"/>
              <w:ind w:right="680"/>
              <w:spacing w:after="0"/>
              <w:rPr>
                <w:sz w:val="20"/>
                <w:szCs w:val="20"/>
                <w:color w:val="auto"/>
              </w:rPr>
            </w:pPr>
            <w:r>
              <w:rPr>
                <w:rFonts w:ascii="Times New Roman" w:cs="Times New Roman" w:eastAsia="Times New Roman" w:hAnsi="Times New Roman"/>
                <w:sz w:val="18"/>
                <w:szCs w:val="18"/>
                <w:color w:val="auto"/>
              </w:rPr>
              <w:t>August 31, 2018</w:t>
            </w:r>
          </w:p>
        </w:tc>
        <w:tc>
          <w:tcPr>
            <w:tcW w:w="1660" w:type="dxa"/>
            <w:vAlign w:val="bottom"/>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September 28,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2018</w:t>
            </w:r>
          </w:p>
        </w:tc>
        <w:tc>
          <w:tcPr>
            <w:tcW w:w="100" w:type="dxa"/>
            <w:vAlign w:val="bottom"/>
          </w:tcPr>
          <w:p>
            <w:pPr>
              <w:spacing w:after="0"/>
              <w:rPr>
                <w:sz w:val="18"/>
                <w:szCs w:val="18"/>
                <w:color w:val="auto"/>
              </w:rPr>
            </w:pPr>
          </w:p>
        </w:tc>
        <w:tc>
          <w:tcPr>
            <w:tcW w:w="154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color w:val="auto"/>
                <w:w w:val="97"/>
              </w:rPr>
              <w:t>Base</w:t>
            </w:r>
          </w:p>
        </w:tc>
        <w:tc>
          <w:tcPr>
            <w:tcW w:w="2060" w:type="dxa"/>
            <w:vAlign w:val="bottom"/>
            <w:gridSpan w:val="8"/>
          </w:tcPr>
          <w:p>
            <w:pPr>
              <w:jc w:val="center"/>
              <w:ind w:right="540"/>
              <w:spacing w:after="0"/>
              <w:rPr>
                <w:sz w:val="20"/>
                <w:szCs w:val="20"/>
                <w:color w:val="auto"/>
              </w:rPr>
            </w:pPr>
            <w:r>
              <w:rPr>
                <w:rFonts w:ascii="Times New Roman" w:cs="Times New Roman" w:eastAsia="Times New Roman" w:hAnsi="Times New Roman"/>
                <w:sz w:val="18"/>
                <w:szCs w:val="18"/>
                <w:color w:val="auto"/>
                <w:w w:val="99"/>
              </w:rPr>
              <w:t>September 14, 2018</w:t>
            </w:r>
          </w:p>
        </w:tc>
        <w:tc>
          <w:tcPr>
            <w:tcW w:w="1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rPr>
              <w:t>October 15,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6, 2018</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8"/>
              </w:rPr>
              <w:t>Supplemental</w:t>
            </w:r>
          </w:p>
        </w:tc>
        <w:tc>
          <w:tcPr>
            <w:tcW w:w="2060" w:type="dxa"/>
            <w:vAlign w:val="bottom"/>
            <w:gridSpan w:val="8"/>
            <w:shd w:val="clear" w:color="auto" w:fill="CCEEFF"/>
          </w:tcPr>
          <w:p>
            <w:pPr>
              <w:jc w:val="center"/>
              <w:ind w:right="540"/>
              <w:spacing w:after="0"/>
              <w:rPr>
                <w:sz w:val="20"/>
                <w:szCs w:val="20"/>
                <w:color w:val="auto"/>
              </w:rPr>
            </w:pPr>
            <w:r>
              <w:rPr>
                <w:rFonts w:ascii="Times New Roman" w:cs="Times New Roman" w:eastAsia="Times New Roman" w:hAnsi="Times New Roman"/>
                <w:sz w:val="18"/>
                <w:szCs w:val="18"/>
                <w:color w:val="auto"/>
              </w:rPr>
              <w:t>November 30, 2018</w:t>
            </w:r>
          </w:p>
        </w:tc>
        <w:tc>
          <w:tcPr>
            <w:tcW w:w="1660" w:type="dxa"/>
            <w:vAlign w:val="bottom"/>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December 31,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6, 2018</w:t>
            </w:r>
          </w:p>
        </w:tc>
        <w:tc>
          <w:tcPr>
            <w:tcW w:w="100" w:type="dxa"/>
            <w:vAlign w:val="bottom"/>
          </w:tcPr>
          <w:p>
            <w:pPr>
              <w:spacing w:after="0"/>
              <w:rPr>
                <w:sz w:val="19"/>
                <w:szCs w:val="19"/>
                <w:color w:val="auto"/>
              </w:rPr>
            </w:pPr>
          </w:p>
        </w:tc>
        <w:tc>
          <w:tcPr>
            <w:tcW w:w="154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color w:val="auto"/>
                <w:w w:val="97"/>
              </w:rPr>
              <w:t>Base</w:t>
            </w:r>
          </w:p>
        </w:tc>
        <w:tc>
          <w:tcPr>
            <w:tcW w:w="2060" w:type="dxa"/>
            <w:vAlign w:val="bottom"/>
            <w:gridSpan w:val="8"/>
          </w:tcPr>
          <w:p>
            <w:pPr>
              <w:jc w:val="center"/>
              <w:ind w:right="540"/>
              <w:spacing w:after="0"/>
              <w:rPr>
                <w:sz w:val="20"/>
                <w:szCs w:val="20"/>
                <w:color w:val="auto"/>
              </w:rPr>
            </w:pPr>
            <w:r>
              <w:rPr>
                <w:rFonts w:ascii="Times New Roman" w:cs="Times New Roman" w:eastAsia="Times New Roman" w:hAnsi="Times New Roman"/>
                <w:sz w:val="18"/>
                <w:szCs w:val="18"/>
                <w:color w:val="auto"/>
                <w:w w:val="98"/>
              </w:rPr>
              <w:t>December 14, 2018</w:t>
            </w:r>
          </w:p>
        </w:tc>
        <w:tc>
          <w:tcPr>
            <w:tcW w:w="1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w w:val="98"/>
              </w:rPr>
              <w:t>January 15, 2019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40" w:type="dxa"/>
            <w:vAlign w:val="bottom"/>
            <w:gridSpan w:val="9"/>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 2017</w:t>
            </w: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7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6"/>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Dividend</w:t>
            </w:r>
            <w:r>
              <w:rPr>
                <w:rFonts w:ascii="Times New Roman" w:cs="Times New Roman" w:eastAsia="Times New Roman" w:hAnsi="Times New Roman"/>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60" w:type="dxa"/>
            <w:vAlign w:val="bottom"/>
            <w:gridSpan w:val="6"/>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60" w:type="dxa"/>
            <w:vAlign w:val="bottom"/>
          </w:tcPr>
          <w:p>
            <w:pPr>
              <w:spacing w:after="0"/>
              <w:rPr>
                <w:sz w:val="10"/>
                <w:szCs w:val="10"/>
                <w:color w:val="auto"/>
              </w:rPr>
            </w:pPr>
          </w:p>
        </w:tc>
        <w:tc>
          <w:tcPr>
            <w:tcW w:w="140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8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gridSpan w:val="6"/>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February 22, 2017</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gridSpan w:val="3"/>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Base</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gridSpan w:val="3"/>
            <w:shd w:val="clear" w:color="auto" w:fill="CCEEFF"/>
          </w:tcPr>
          <w:p>
            <w:pPr>
              <w:jc w:val="center"/>
              <w:ind w:right="200"/>
              <w:spacing w:after="0" w:line="203" w:lineRule="exact"/>
              <w:rPr>
                <w:sz w:val="20"/>
                <w:szCs w:val="20"/>
                <w:color w:val="auto"/>
              </w:rPr>
            </w:pPr>
            <w:r>
              <w:rPr>
                <w:rFonts w:ascii="Times New Roman" w:cs="Times New Roman" w:eastAsia="Times New Roman" w:hAnsi="Times New Roman"/>
                <w:sz w:val="18"/>
                <w:szCs w:val="18"/>
                <w:color w:val="auto"/>
                <w:w w:val="99"/>
              </w:rPr>
              <w:t>April 7, 2017</w:t>
            </w:r>
            <w:r>
              <w:rPr>
                <w:rFonts w:ascii="Times New Roman" w:cs="Times New Roman" w:eastAsia="Times New Roman" w:hAnsi="Times New Roman"/>
                <w:sz w:val="15"/>
                <w:szCs w:val="15"/>
                <w:color w:val="auto"/>
                <w:w w:val="99"/>
              </w:rPr>
              <w:t>(2)</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gridSpan w:val="3"/>
            <w:shd w:val="clear" w:color="auto" w:fill="CCEEFF"/>
          </w:tcPr>
          <w:p>
            <w:pPr>
              <w:jc w:val="center"/>
              <w:ind w:right="100"/>
              <w:spacing w:after="0" w:line="203" w:lineRule="exact"/>
              <w:rPr>
                <w:sz w:val="20"/>
                <w:szCs w:val="20"/>
                <w:color w:val="auto"/>
              </w:rPr>
            </w:pPr>
            <w:r>
              <w:rPr>
                <w:rFonts w:ascii="Times New Roman" w:cs="Times New Roman" w:eastAsia="Times New Roman" w:hAnsi="Times New Roman"/>
                <w:sz w:val="18"/>
                <w:szCs w:val="18"/>
                <w:color w:val="auto"/>
              </w:rPr>
              <w:t>April 28, 2017</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gridSpan w:val="2"/>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 2017</w:t>
            </w:r>
          </w:p>
        </w:tc>
        <w:tc>
          <w:tcPr>
            <w:tcW w:w="100" w:type="dxa"/>
            <w:vAlign w:val="bottom"/>
          </w:tcPr>
          <w:p>
            <w:pPr>
              <w:spacing w:after="0"/>
              <w:rPr>
                <w:sz w:val="18"/>
                <w:szCs w:val="18"/>
                <w:color w:val="auto"/>
              </w:rPr>
            </w:pPr>
          </w:p>
        </w:tc>
        <w:tc>
          <w:tcPr>
            <w:tcW w:w="154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color w:val="auto"/>
                <w:w w:val="98"/>
              </w:rPr>
              <w:t>Supplemental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6"/>
          </w:tcPr>
          <w:p>
            <w:pPr>
              <w:jc w:val="center"/>
              <w:ind w:right="620"/>
              <w:spacing w:after="0"/>
              <w:rPr>
                <w:sz w:val="20"/>
                <w:szCs w:val="20"/>
                <w:color w:val="auto"/>
              </w:rPr>
            </w:pPr>
            <w:r>
              <w:rPr>
                <w:rFonts w:ascii="Times New Roman" w:cs="Times New Roman" w:eastAsia="Times New Roman" w:hAnsi="Times New Roman"/>
                <w:sz w:val="18"/>
                <w:szCs w:val="18"/>
                <w:color w:val="auto"/>
                <w:w w:val="99"/>
              </w:rPr>
              <w:t>May 31, 2017</w:t>
            </w:r>
          </w:p>
        </w:tc>
        <w:tc>
          <w:tcPr>
            <w:tcW w:w="260" w:type="dxa"/>
            <w:vAlign w:val="bottom"/>
          </w:tcPr>
          <w:p>
            <w:pPr>
              <w:spacing w:after="0"/>
              <w:rPr>
                <w:sz w:val="18"/>
                <w:szCs w:val="18"/>
                <w:color w:val="auto"/>
              </w:rPr>
            </w:pPr>
          </w:p>
        </w:tc>
        <w:tc>
          <w:tcPr>
            <w:tcW w:w="14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June 30,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 2017</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7"/>
              </w:rPr>
              <w:t>Base</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6"/>
            <w:shd w:val="clear" w:color="auto" w:fill="CCEEFF"/>
          </w:tcPr>
          <w:p>
            <w:pPr>
              <w:jc w:val="center"/>
              <w:ind w:right="620"/>
              <w:spacing w:after="0"/>
              <w:rPr>
                <w:sz w:val="20"/>
                <w:szCs w:val="20"/>
                <w:color w:val="auto"/>
              </w:rPr>
            </w:pPr>
            <w:r>
              <w:rPr>
                <w:rFonts w:ascii="Times New Roman" w:cs="Times New Roman" w:eastAsia="Times New Roman" w:hAnsi="Times New Roman"/>
                <w:sz w:val="18"/>
                <w:szCs w:val="18"/>
                <w:color w:val="auto"/>
                <w:w w:val="99"/>
              </w:rPr>
              <w:t>June 15, 2017</w:t>
            </w: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July 14, 2017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100" w:type="dxa"/>
            <w:vAlign w:val="bottom"/>
          </w:tcPr>
          <w:p>
            <w:pPr>
              <w:spacing w:after="0"/>
              <w:rPr>
                <w:sz w:val="18"/>
                <w:szCs w:val="18"/>
                <w:color w:val="auto"/>
              </w:rPr>
            </w:pPr>
          </w:p>
        </w:tc>
        <w:tc>
          <w:tcPr>
            <w:tcW w:w="154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color w:val="auto"/>
                <w:w w:val="98"/>
              </w:rPr>
              <w:t>Supplemental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6"/>
          </w:tcPr>
          <w:p>
            <w:pPr>
              <w:jc w:val="center"/>
              <w:ind w:right="620"/>
              <w:spacing w:after="0"/>
              <w:rPr>
                <w:sz w:val="20"/>
                <w:szCs w:val="20"/>
                <w:color w:val="auto"/>
              </w:rPr>
            </w:pPr>
            <w:r>
              <w:rPr>
                <w:rFonts w:ascii="Times New Roman" w:cs="Times New Roman" w:eastAsia="Times New Roman" w:hAnsi="Times New Roman"/>
                <w:sz w:val="18"/>
                <w:szCs w:val="18"/>
                <w:color w:val="auto"/>
              </w:rPr>
              <w:t>August 31, 2017</w:t>
            </w:r>
          </w:p>
        </w:tc>
        <w:tc>
          <w:tcPr>
            <w:tcW w:w="16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29,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7"/>
              </w:rPr>
              <w:t>Base</w:t>
            </w:r>
          </w:p>
        </w:tc>
        <w:tc>
          <w:tcPr>
            <w:tcW w:w="2060" w:type="dxa"/>
            <w:vAlign w:val="bottom"/>
            <w:gridSpan w:val="8"/>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September 15, 2017</w:t>
            </w:r>
          </w:p>
        </w:tc>
        <w:tc>
          <w:tcPr>
            <w:tcW w:w="1660" w:type="dxa"/>
            <w:vAlign w:val="bottom"/>
            <w:gridSpan w:val="4"/>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October 13, 2017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7, 2017</w:t>
            </w:r>
          </w:p>
        </w:tc>
        <w:tc>
          <w:tcPr>
            <w:tcW w:w="100" w:type="dxa"/>
            <w:vAlign w:val="bottom"/>
          </w:tcPr>
          <w:p>
            <w:pPr>
              <w:spacing w:after="0"/>
              <w:rPr>
                <w:sz w:val="18"/>
                <w:szCs w:val="18"/>
                <w:color w:val="auto"/>
              </w:rPr>
            </w:pPr>
          </w:p>
        </w:tc>
        <w:tc>
          <w:tcPr>
            <w:tcW w:w="154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color w:val="auto"/>
                <w:w w:val="98"/>
              </w:rPr>
              <w:t>Supplemental</w:t>
            </w:r>
          </w:p>
        </w:tc>
        <w:tc>
          <w:tcPr>
            <w:tcW w:w="2060" w:type="dxa"/>
            <w:vAlign w:val="bottom"/>
            <w:gridSpan w:val="8"/>
          </w:tcPr>
          <w:p>
            <w:pPr>
              <w:jc w:val="center"/>
              <w:ind w:right="420"/>
              <w:spacing w:after="0"/>
              <w:rPr>
                <w:sz w:val="20"/>
                <w:szCs w:val="20"/>
                <w:color w:val="auto"/>
              </w:rPr>
            </w:pPr>
            <w:r>
              <w:rPr>
                <w:rFonts w:ascii="Times New Roman" w:cs="Times New Roman" w:eastAsia="Times New Roman" w:hAnsi="Times New Roman"/>
                <w:sz w:val="18"/>
                <w:szCs w:val="18"/>
                <w:color w:val="auto"/>
              </w:rPr>
              <w:t>November 30, 2017</w:t>
            </w:r>
          </w:p>
        </w:tc>
        <w:tc>
          <w:tcPr>
            <w:tcW w:w="16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December 29,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7, 2017</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7"/>
              </w:rPr>
              <w:t>Base</w:t>
            </w:r>
          </w:p>
        </w:tc>
        <w:tc>
          <w:tcPr>
            <w:tcW w:w="2060" w:type="dxa"/>
            <w:vAlign w:val="bottom"/>
            <w:gridSpan w:val="8"/>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December 15, 2017</w:t>
            </w:r>
          </w:p>
        </w:tc>
        <w:tc>
          <w:tcPr>
            <w:tcW w:w="16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January 12,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260" w:type="dxa"/>
            <w:vAlign w:val="bottom"/>
            <w:tcBorders>
              <w:top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75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20" w:hanging="424"/>
        <w:spacing w:after="0" w:line="261"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completion of the quarter ended March 31, 2017, we introduced a dividend framework that provides for a quarterly base dividend and a variable supplemental dividend, subject to satisfaction of certain measurement tests and the approval of the Board.</w:t>
      </w:r>
    </w:p>
    <w:p>
      <w:pPr>
        <w:ind w:left="540" w:right="120" w:hanging="424"/>
        <w:spacing w:after="0" w:line="253"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our consolidated balance sheet as of March 31, 2017. There was no change to the dividend amount or payment date.</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dividends declared during the three months ended March 31, 2019 were derived from net investment income, determined on a tax basis. The dividends declared during the years ended December 31, 2018 and 2017 were derived from net investment income and net realized capital gains, determined on a tax basis.</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To the extent that the amounts distributed by us are in excess of our current and accumulated earnings and profits, such excess distributions will be treated first as a return of capital to the extent of a stockholder’s tax</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4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be treated as a regulated investment company,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89"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such calendar year;</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income or gains recognized, but not distributed, in preceding years.</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three months ended March 31, 2019 and for calendar years ended December 31, 2018 and 2017 for purposes of additional liquidity and we recorded an expense of $0.3 million for the three months ended March 31, 2019 and $3.4 million and $2.8 million for the years ended December 31, 2018 and December 31, 2017,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2018 Annual Report.</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9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the Management’s Discussion and Analysis of Financial Condition and Results of Operations in Part II, Item 7 of our 2018 Annual Report and in Part I, Item 2 of our 2019 Q1 Quarterly Report is incorporated herein by reference.</w:t>
      </w:r>
    </w:p>
    <w:p>
      <w:pPr>
        <w:spacing w:after="0" w:line="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800"/>
          </w:cols>
          <w:pgMar w:left="320" w:top="455" w:right="7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Information about our senior securities is shown in the following table as of the end of each fiscal year ended December 31 since we commenced operations and as of March 31, 2019. The report of our independent registered public accounting firm, KPMG LLP, on the senior securities table as of December 31, 2018 is attached as an exhibit to the registration statement of which this prospectus is a part.</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56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560" w:type="dxa"/>
            <w:vAlign w:val="bottom"/>
            <w:gridSpan w:val="3"/>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Coverage</w:t>
            </w:r>
          </w:p>
        </w:tc>
        <w:tc>
          <w:tcPr>
            <w:tcW w:w="14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Market</w:t>
            </w:r>
          </w:p>
        </w:tc>
        <w:tc>
          <w:tcPr>
            <w:tcW w:w="0" w:type="dxa"/>
            <w:vAlign w:val="bottom"/>
          </w:tcPr>
          <w:p>
            <w:pPr>
              <w:spacing w:after="0"/>
              <w:rPr>
                <w:sz w:val="1"/>
                <w:szCs w:val="1"/>
                <w:color w:val="auto"/>
              </w:rPr>
            </w:pPr>
          </w:p>
        </w:tc>
      </w:tr>
      <w:tr>
        <w:trPr>
          <w:trHeight w:val="148"/>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1560" w:type="dxa"/>
            <w:vAlign w:val="bottom"/>
            <w:gridSpan w:val="3"/>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2"/>
                <w:szCs w:val="12"/>
                <w:b w:val="1"/>
                <w:bCs w:val="1"/>
                <w:color w:val="auto"/>
              </w:rPr>
              <w:t>(1)</w:t>
            </w:r>
          </w:p>
        </w:tc>
        <w:tc>
          <w:tcPr>
            <w:tcW w:w="1700" w:type="dxa"/>
            <w:vAlign w:val="bottom"/>
            <w:gridSpan w:val="3"/>
            <w:vMerge w:val="continue"/>
          </w:tcPr>
          <w:p>
            <w:pPr>
              <w:spacing w:after="0"/>
              <w:rPr>
                <w:sz w:val="12"/>
                <w:szCs w:val="12"/>
                <w:color w:val="auto"/>
              </w:rPr>
            </w:pPr>
          </w:p>
        </w:tc>
        <w:tc>
          <w:tcPr>
            <w:tcW w:w="146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80" w:type="dxa"/>
            <w:vAlign w:val="bottom"/>
            <w:vMerge w:val="continue"/>
          </w:tcPr>
          <w:p>
            <w:pPr>
              <w:spacing w:after="0"/>
              <w:rPr>
                <w:sz w:val="15"/>
                <w:szCs w:val="15"/>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120" w:type="dxa"/>
            <w:vAlign w:val="bottom"/>
          </w:tcPr>
          <w:p>
            <w:pPr>
              <w:spacing w:after="0"/>
              <w:rPr>
                <w:sz w:val="15"/>
                <w:szCs w:val="15"/>
                <w:color w:val="auto"/>
              </w:rPr>
            </w:pPr>
          </w:p>
        </w:tc>
        <w:tc>
          <w:tcPr>
            <w:tcW w:w="15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Per Unit</w:t>
            </w:r>
            <w:r>
              <w:rPr>
                <w:rFonts w:ascii="Times New Roman" w:cs="Times New Roman" w:eastAsia="Times New Roman" w:hAnsi="Times New Roman"/>
                <w:sz w:val="12"/>
                <w:szCs w:val="12"/>
                <w:b w:val="1"/>
                <w:bCs w:val="1"/>
                <w:color w:val="auto"/>
              </w:rPr>
              <w:t>(2)</w:t>
            </w:r>
          </w:p>
        </w:tc>
        <w:tc>
          <w:tcPr>
            <w:tcW w:w="14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Per Unit</w:t>
            </w:r>
            <w:r>
              <w:rPr>
                <w:rFonts w:ascii="Times New Roman" w:cs="Times New Roman" w:eastAsia="Times New Roman" w:hAnsi="Times New Roman"/>
                <w:sz w:val="12"/>
                <w:szCs w:val="12"/>
                <w:b w:val="1"/>
                <w:bCs w:val="1"/>
                <w:color w:val="auto"/>
              </w:rPr>
              <w:t>(3)</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Value Per Unit</w:t>
            </w:r>
            <w:r>
              <w:rPr>
                <w:rFonts w:ascii="Times New Roman" w:cs="Times New Roman" w:eastAsia="Times New Roman" w:hAnsi="Times New Roman"/>
                <w:sz w:val="12"/>
                <w:szCs w:val="12"/>
                <w:b w:val="1"/>
                <w:bCs w:val="1"/>
                <w:color w:val="auto"/>
              </w:rPr>
              <w:t>(4)</w:t>
            </w:r>
          </w:p>
        </w:tc>
        <w:tc>
          <w:tcPr>
            <w:tcW w:w="0" w:type="dxa"/>
            <w:vAlign w:val="bottom"/>
          </w:tcPr>
          <w:p>
            <w:pPr>
              <w:spacing w:after="0"/>
              <w:rPr>
                <w:sz w:val="1"/>
                <w:szCs w:val="1"/>
                <w:color w:val="auto"/>
              </w:rPr>
            </w:pP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Credit Facilities</w:t>
            </w: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 (as of March 31, 2019)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306.0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2,447.1</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2,705.2</w:t>
            </w:r>
          </w:p>
        </w:tc>
        <w:tc>
          <w:tcPr>
            <w:tcW w:w="1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486.8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2,355.3</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578.7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2,376.6</w:t>
            </w:r>
          </w:p>
        </w:tc>
        <w:tc>
          <w:tcPr>
            <w:tcW w:w="1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540.3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2,257.3</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283.9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3,110.3</w:t>
            </w:r>
          </w:p>
        </w:tc>
        <w:tc>
          <w:tcPr>
            <w:tcW w:w="1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432.3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2,329.5</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331.8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2,445.9</w:t>
            </w:r>
          </w:p>
        </w:tc>
        <w:tc>
          <w:tcPr>
            <w:tcW w:w="1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2,116.7</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Convertible Notes due 2019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 (as of March 31, 2019)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2,447.1</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2,705.2</w:t>
            </w:r>
          </w:p>
        </w:tc>
        <w:tc>
          <w:tcPr>
            <w:tcW w:w="1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2,355.3</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2,376.6</w:t>
            </w:r>
          </w:p>
        </w:tc>
        <w:tc>
          <w:tcPr>
            <w:tcW w:w="1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2,257.3</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3,110.3</w:t>
            </w:r>
          </w:p>
        </w:tc>
        <w:tc>
          <w:tcPr>
            <w:tcW w:w="1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Convertible Notes due 2022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 (as of March 31, 2019)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2,447.1</w:t>
            </w:r>
          </w:p>
        </w:tc>
        <w:tc>
          <w:tcPr>
            <w:tcW w:w="1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2,705.2</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2,355.3</w:t>
            </w:r>
          </w:p>
        </w:tc>
        <w:tc>
          <w:tcPr>
            <w:tcW w:w="1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 Notes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 (as of March 31, 2019)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2,447.1</w:t>
            </w:r>
          </w:p>
        </w:tc>
        <w:tc>
          <w:tcPr>
            <w:tcW w:w="1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2,705.2</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320" w:hanging="424"/>
        <w:spacing w:after="0" w:line="261"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carrying value, excluding the impact of deferred financing costs, at the end of the period presented.</w:t>
      </w:r>
    </w:p>
    <w:p>
      <w:pPr>
        <w:ind w:left="540" w:right="36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because the senior securities are not registered for public trading.</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the sections entitled “Business” in Part I, Item 1 and “Properties” in Part I, Item 2 of our 2018 Annual Report and in the section entitled “Legal Proceedings” in Part II, Item 1 of our 2019 Q1 Quarterly Report is incorporated herein by reference.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PORTFOLIO COMPANIES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table set forth below contains certain information as of March 31, 2019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or Equity or Other Investments.</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 xml:space="preserve">Company </w:t>
      </w:r>
      <w:r>
        <w:rPr>
          <w:rFonts w:ascii="Times New Roman" w:cs="Times New Roman" w:eastAsia="Times New Roman" w:hAnsi="Times New Roman"/>
          <w:sz w:val="12"/>
          <w:szCs w:val="12"/>
          <w:b w:val="1"/>
          <w:bCs w:val="1"/>
          <w:u w:val="single" w:color="auto"/>
          <w:color w:val="auto"/>
        </w:rPr>
        <w:t>(1)</w:t>
      </w:r>
    </w:p>
    <w:p>
      <w:pPr>
        <w:spacing w:after="0" w:line="19" w:lineRule="exact"/>
        <w:rPr>
          <w:sz w:val="20"/>
          <w:szCs w:val="20"/>
          <w:color w:val="auto"/>
        </w:rPr>
      </w:pPr>
    </w:p>
    <w:p>
      <w:pPr>
        <w:ind w:left="120" w:right="440"/>
        <w:spacing w:after="0" w:line="233" w:lineRule="auto"/>
        <w:rPr>
          <w:sz w:val="20"/>
          <w:szCs w:val="20"/>
          <w:color w:val="auto"/>
        </w:rPr>
      </w:pPr>
      <w:r>
        <w:rPr>
          <w:rFonts w:ascii="Times New Roman" w:cs="Times New Roman" w:eastAsia="Times New Roman" w:hAnsi="Times New Roman"/>
          <w:sz w:val="14"/>
          <w:szCs w:val="14"/>
          <w:b w:val="1"/>
          <w:bCs w:val="1"/>
          <w:color w:val="auto"/>
        </w:rPr>
        <w:t xml:space="preserve">Debt Investments Beverage, food and tobacco </w:t>
      </w:r>
      <w:r>
        <w:rPr>
          <w:rFonts w:ascii="Times New Roman" w:cs="Times New Roman" w:eastAsia="Times New Roman" w:hAnsi="Times New Roman"/>
          <w:sz w:val="14"/>
          <w:szCs w:val="14"/>
          <w:color w:val="auto"/>
        </w:rPr>
        <w:t xml:space="preserve">AFS Technologies, Inc. </w:t>
      </w:r>
      <w:r>
        <w:rPr>
          <w:rFonts w:ascii="Times New Roman" w:cs="Times New Roman" w:eastAsia="Times New Roman" w:hAnsi="Times New Roman"/>
          <w:sz w:val="12"/>
          <w:szCs w:val="12"/>
          <w:color w:val="auto"/>
        </w:rPr>
        <w:t>(3)(5)(6)</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Business services</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Acceo Solutions, Inc. </w:t>
      </w:r>
      <w:r>
        <w:rPr>
          <w:rFonts w:ascii="Times New Roman" w:cs="Times New Roman" w:eastAsia="Times New Roman" w:hAnsi="Times New Roman"/>
          <w:sz w:val="12"/>
          <w:szCs w:val="12"/>
          <w:color w:val="auto"/>
        </w:rPr>
        <w:t>(3)(4)(5)</w:t>
      </w:r>
    </w:p>
    <w:p>
      <w:pPr>
        <w:spacing w:after="0" w:line="1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Integration Appliance, Inc. </w:t>
      </w:r>
      <w:r>
        <w:rPr>
          <w:rFonts w:ascii="Times New Roman" w:cs="Times New Roman" w:eastAsia="Times New Roman" w:hAnsi="Times New Roman"/>
          <w:sz w:val="12"/>
          <w:szCs w:val="12"/>
          <w:color w:val="auto"/>
        </w:rPr>
        <w:t>(3)</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Jive Software, Inc. </w:t>
      </w:r>
      <w:r>
        <w:rPr>
          <w:rFonts w:ascii="Times New Roman" w:cs="Times New Roman" w:eastAsia="Times New Roman" w:hAnsi="Times New Roman"/>
          <w:sz w:val="12"/>
          <w:szCs w:val="12"/>
          <w:color w:val="auto"/>
        </w:rPr>
        <w:t>(3)(5)</w:t>
      </w:r>
    </w:p>
    <w:p>
      <w:pPr>
        <w:ind w:left="120"/>
        <w:spacing w:after="0" w:line="226" w:lineRule="auto"/>
        <w:rPr>
          <w:sz w:val="20"/>
          <w:szCs w:val="20"/>
          <w:color w:val="auto"/>
        </w:rPr>
      </w:pPr>
      <w:r>
        <w:rPr>
          <w:rFonts w:ascii="Times New Roman" w:cs="Times New Roman" w:eastAsia="Times New Roman" w:hAnsi="Times New Roman"/>
          <w:sz w:val="14"/>
          <w:szCs w:val="14"/>
          <w:color w:val="auto"/>
        </w:rPr>
        <w:t xml:space="preserve">Motus, LLC </w:t>
      </w:r>
      <w:r>
        <w:rPr>
          <w:rFonts w:ascii="Times New Roman" w:cs="Times New Roman" w:eastAsia="Times New Roman" w:hAnsi="Times New Roman"/>
          <w:sz w:val="12"/>
          <w:szCs w:val="12"/>
          <w:color w:val="auto"/>
        </w:rPr>
        <w:t>(3)</w:t>
      </w:r>
    </w:p>
    <w:p>
      <w:pPr>
        <w:ind w:left="120"/>
        <w:spacing w:after="0" w:line="222" w:lineRule="auto"/>
        <w:rPr>
          <w:sz w:val="20"/>
          <w:szCs w:val="20"/>
          <w:color w:val="auto"/>
        </w:rPr>
      </w:pPr>
      <w:r>
        <w:rPr>
          <w:rFonts w:ascii="Times New Roman" w:cs="Times New Roman" w:eastAsia="Times New Roman" w:hAnsi="Times New Roman"/>
          <w:sz w:val="14"/>
          <w:szCs w:val="14"/>
          <w:color w:val="auto"/>
        </w:rPr>
        <w:t xml:space="preserve">Nintex Global Limited </w:t>
      </w:r>
      <w:r>
        <w:rPr>
          <w:rFonts w:ascii="Times New Roman" w:cs="Times New Roman" w:eastAsia="Times New Roman" w:hAnsi="Times New Roman"/>
          <w:sz w:val="12"/>
          <w:szCs w:val="12"/>
          <w:color w:val="auto"/>
        </w:rPr>
        <w:t>(3)(5)</w:t>
      </w:r>
    </w:p>
    <w:p>
      <w:pPr>
        <w:ind w:left="120"/>
        <w:spacing w:after="0"/>
        <w:rPr>
          <w:sz w:val="20"/>
          <w:szCs w:val="20"/>
          <w:color w:val="auto"/>
        </w:rPr>
      </w:pPr>
      <w:r>
        <w:rPr>
          <w:rFonts w:ascii="Times New Roman" w:cs="Times New Roman" w:eastAsia="Times New Roman" w:hAnsi="Times New Roman"/>
          <w:sz w:val="14"/>
          <w:szCs w:val="14"/>
          <w:color w:val="auto"/>
        </w:rPr>
        <w:t xml:space="preserve">Sovos Compliance, LLC </w:t>
      </w:r>
      <w:r>
        <w:rPr>
          <w:rFonts w:ascii="Times New Roman" w:cs="Times New Roman" w:eastAsia="Times New Roman" w:hAnsi="Times New Roman"/>
          <w:sz w:val="12"/>
          <w:szCs w:val="12"/>
          <w:color w:val="auto"/>
        </w:rPr>
        <w:t>(3)</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Chemicals</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Vertellus Specialties, Inc. </w:t>
      </w:r>
      <w:r>
        <w:rPr>
          <w:rFonts w:ascii="Times New Roman" w:cs="Times New Roman" w:eastAsia="Times New Roman" w:hAnsi="Times New Roman"/>
          <w:sz w:val="12"/>
          <w:szCs w:val="12"/>
          <w:color w:val="auto"/>
        </w:rPr>
        <w:t>(3)</w:t>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Education</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Curriculum Associates, LLC </w:t>
      </w:r>
      <w:r>
        <w:rPr>
          <w:rFonts w:ascii="Times New Roman" w:cs="Times New Roman" w:eastAsia="Times New Roman" w:hAnsi="Times New Roman"/>
          <w:sz w:val="12"/>
          <w:szCs w:val="12"/>
          <w:color w:val="auto"/>
        </w:rPr>
        <w:t>(3)(5)</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Frontline Technologies Group, LLC </w:t>
      </w:r>
      <w:r>
        <w:rPr>
          <w:rFonts w:ascii="Times New Roman" w:cs="Times New Roman" w:eastAsia="Times New Roman" w:hAnsi="Times New Roman"/>
          <w:sz w:val="12"/>
          <w:szCs w:val="12"/>
          <w:color w:val="auto"/>
        </w:rPr>
        <w:t>(3)</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Illuminate Education, Inc.</w:t>
      </w:r>
      <w:r>
        <w:rPr>
          <w:rFonts w:ascii="Times New Roman" w:cs="Times New Roman" w:eastAsia="Times New Roman" w:hAnsi="Times New Roman"/>
          <w:sz w:val="12"/>
          <w:szCs w:val="12"/>
          <w:color w:val="auto"/>
        </w:rPr>
        <w:t>(3)(5)</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Electronics</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Monitronics International, Inc. </w:t>
      </w:r>
      <w:r>
        <w:rPr>
          <w:rFonts w:ascii="Times New Roman" w:cs="Times New Roman" w:eastAsia="Times New Roman" w:hAnsi="Times New Roman"/>
          <w:sz w:val="12"/>
          <w:szCs w:val="12"/>
          <w:color w:val="auto"/>
        </w:rPr>
        <w:t>(3)(11)</w:t>
      </w:r>
    </w:p>
    <w:p>
      <w:pPr>
        <w:spacing w:after="0" w:line="1" w:lineRule="exact"/>
        <w:rPr>
          <w:sz w:val="20"/>
          <w:szCs w:val="20"/>
          <w:color w:val="auto"/>
        </w:rPr>
      </w:pPr>
    </w:p>
    <w:p>
      <w:pPr>
        <w:ind w:left="120" w:right="700"/>
        <w:spacing w:after="0" w:line="230" w:lineRule="auto"/>
        <w:rPr>
          <w:sz w:val="20"/>
          <w:szCs w:val="20"/>
          <w:color w:val="auto"/>
        </w:rPr>
      </w:pPr>
      <w:r>
        <w:rPr>
          <w:rFonts w:ascii="Times New Roman" w:cs="Times New Roman" w:eastAsia="Times New Roman" w:hAnsi="Times New Roman"/>
          <w:sz w:val="14"/>
          <w:szCs w:val="14"/>
          <w:b w:val="1"/>
          <w:bCs w:val="1"/>
          <w:color w:val="auto"/>
        </w:rPr>
        <w:t xml:space="preserve">Financial services </w:t>
      </w:r>
      <w:r>
        <w:rPr>
          <w:rFonts w:ascii="Times New Roman" w:cs="Times New Roman" w:eastAsia="Times New Roman" w:hAnsi="Times New Roman"/>
          <w:sz w:val="14"/>
          <w:szCs w:val="14"/>
          <w:color w:val="auto"/>
        </w:rPr>
        <w:t xml:space="preserve">AppStar Financial, LLC </w:t>
      </w:r>
      <w:r>
        <w:rPr>
          <w:rFonts w:ascii="Times New Roman" w:cs="Times New Roman" w:eastAsia="Times New Roman" w:hAnsi="Times New Roman"/>
          <w:sz w:val="12"/>
          <w:szCs w:val="12"/>
          <w:color w:val="auto"/>
        </w:rPr>
        <w:t>(3)</w:t>
      </w:r>
      <w:r>
        <w:rPr>
          <w:rFonts w:ascii="Times New Roman" w:cs="Times New Roman" w:eastAsia="Times New Roman" w:hAnsi="Times New Roman"/>
          <w:sz w:val="14"/>
          <w:szCs w:val="14"/>
          <w:color w:val="auto"/>
        </w:rPr>
        <w:t xml:space="preserve"> AvidXchange, Inc. </w:t>
      </w:r>
      <w:r>
        <w:rPr>
          <w:rFonts w:ascii="Times New Roman" w:cs="Times New Roman" w:eastAsia="Times New Roman" w:hAnsi="Times New Roman"/>
          <w:sz w:val="12"/>
          <w:szCs w:val="12"/>
          <w:color w:val="auto"/>
        </w:rPr>
        <w:t>(3)</w:t>
      </w:r>
      <w:r>
        <w:rPr>
          <w:rFonts w:ascii="Times New Roman" w:cs="Times New Roman" w:eastAsia="Times New Roman" w:hAnsi="Times New Roman"/>
          <w:sz w:val="14"/>
          <w:szCs w:val="14"/>
          <w:color w:val="auto"/>
        </w:rPr>
        <w:t xml:space="preserve"> G Treasury SS, LLC </w:t>
      </w: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GC Agile Holdings Limited </w:t>
      </w:r>
      <w:r>
        <w:rPr>
          <w:rFonts w:ascii="Times New Roman" w:cs="Times New Roman" w:eastAsia="Times New Roman" w:hAnsi="Times New Roman"/>
          <w:sz w:val="12"/>
          <w:szCs w:val="12"/>
          <w:color w:val="auto"/>
        </w:rPr>
        <w:t>(3)(4)</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Government Brands, LLC </w:t>
      </w: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PayLease, LLC </w:t>
      </w:r>
      <w:r>
        <w:rPr>
          <w:rFonts w:ascii="Times New Roman" w:cs="Times New Roman" w:eastAsia="Times New Roman" w:hAnsi="Times New Roman"/>
          <w:sz w:val="12"/>
          <w:szCs w:val="12"/>
          <w:color w:val="auto"/>
        </w:rPr>
        <w:t>(3)</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PaySimple, Inc. </w:t>
      </w:r>
      <w:r>
        <w:rPr>
          <w:rFonts w:ascii="Times New Roman" w:cs="Times New Roman" w:eastAsia="Times New Roman" w:hAnsi="Times New Roman"/>
          <w:sz w:val="12"/>
          <w:szCs w:val="12"/>
          <w:color w:val="auto"/>
        </w:rPr>
        <w:t>(3)(5)</w:t>
      </w: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PrimeRevenue, Inc. </w:t>
      </w: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36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0" w:type="dxa"/>
            <w:vAlign w:val="bottom"/>
            <w:vMerge w:val="restart"/>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Rate and</w:t>
            </w:r>
          </w:p>
        </w:tc>
        <w:tc>
          <w:tcPr>
            <w:tcW w:w="82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2"/>
                <w:szCs w:val="12"/>
                <w:b w:val="1"/>
                <w:bCs w:val="1"/>
                <w:color w:val="auto"/>
              </w:rPr>
              <w:t>(10)</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260" w:type="dxa"/>
            <w:vAlign w:val="bottom"/>
          </w:tcPr>
          <w:p>
            <w:pPr>
              <w:spacing w:after="0"/>
              <w:rPr>
                <w:sz w:val="15"/>
                <w:szCs w:val="15"/>
                <w:color w:val="auto"/>
              </w:rPr>
            </w:pPr>
          </w:p>
        </w:tc>
        <w:tc>
          <w:tcPr>
            <w:tcW w:w="4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(2)(8)</w:t>
            </w:r>
          </w:p>
        </w:tc>
        <w:tc>
          <w:tcPr>
            <w:tcW w:w="24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of Net Assets</w:t>
            </w:r>
          </w:p>
        </w:tc>
        <w:tc>
          <w:tcPr>
            <w:tcW w:w="0" w:type="dxa"/>
            <w:vAlign w:val="bottom"/>
          </w:tcPr>
          <w:p>
            <w:pPr>
              <w:spacing w:after="0"/>
              <w:rPr>
                <w:sz w:val="1"/>
                <w:szCs w:val="1"/>
                <w:color w:val="auto"/>
              </w:rPr>
            </w:pPr>
          </w:p>
        </w:tc>
      </w:tr>
      <w:tr>
        <w:trPr>
          <w:trHeight w:val="20"/>
        </w:trPr>
        <w:tc>
          <w:tcPr>
            <w:tcW w:w="2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First-lien loan ($46,441 par, due</w:t>
            </w:r>
          </w:p>
        </w:tc>
        <w:tc>
          <w:tcPr>
            <w:tcW w:w="180" w:type="dxa"/>
            <w:vAlign w:val="bottom"/>
          </w:tcPr>
          <w:p>
            <w:pPr>
              <w:spacing w:after="0"/>
              <w:rPr>
                <w:sz w:val="24"/>
                <w:szCs w:val="24"/>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10/16/2018</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L + 6.25%</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8.75%</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45,781</w:t>
            </w:r>
          </w:p>
        </w:tc>
        <w:tc>
          <w:tcPr>
            <w:tcW w:w="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45,628</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21"/>
        </w:trPr>
        <w:tc>
          <w:tcPr>
            <w:tcW w:w="2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10/2023)</w:t>
            </w:r>
          </w:p>
        </w:tc>
        <w:tc>
          <w:tcPr>
            <w:tcW w:w="1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(CAD 64,513 par, due</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7/6/2018</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C + 5.25%</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7.23%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48,205</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47,444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7/2023)</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(CAD 63,384)</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($52,381 par, due 8/2023)</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8/13/2018</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 + 7.25%</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9.75%</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51,676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51,595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First-lien revolving loan ($2,095 par,</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8/13/2018</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L + 7.25%</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9.74%</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2,056</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due 8/2023)</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6/12/2017</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L + 9.25%</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11.75%</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50,085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53,621</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First-lien loan ($51,435 par, due 6/2022)</w:t>
            </w:r>
          </w:p>
        </w:tc>
        <w:tc>
          <w:tcPr>
            <w:tcW w:w="9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First-lien loan ($68,880 par, due 1/2024)</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1/17/2018</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L + 6.75%</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9.53%</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67,328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69,811</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First-lien loan ($74,789 par, due 4/2024)</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3/30/2018</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L + 6.75%</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9.25%</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73,200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75,163</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71"/>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($36,360 par, due 3/2022)</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7/1/2016</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 + 6.00%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8.50%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36,457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328,525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336,147</w:t>
            </w:r>
          </w:p>
        </w:tc>
        <w:tc>
          <w:tcPr>
            <w:tcW w:w="30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Second-lien loan ($3,341 par, due</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10/31/2016</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 + 12.00%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14.41%</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3,341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8"/>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10/2021)</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($49,625 par, due 2/2024)</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2/28/2018</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 + 6.00%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8.53%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48,307</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50,617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($49,192 par, due 9/2023)</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9/18/2017</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 + 6.50%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49,192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5"/>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($64,513 par, due 8/2022)</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8/25/2017</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 + 7.25%</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9.75%</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63,512</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63,706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160,535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163,515</w:t>
            </w:r>
          </w:p>
        </w:tc>
        <w:tc>
          <w:tcPr>
            <w:tcW w:w="30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($1,164 par, due 9/2022)</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1/2/2019</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 + 5.50%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8.10%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969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71"/>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($18,056 par, due 8/2020)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8/18/2015</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 + 7.50%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17,912</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18,207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First-lien loan ($54,449 par, due 8/2020)</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8/7/2015</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L + 9.50%</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54,133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55,130</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First-lien loan ($30,749 par, due 4/2022)</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4/9/2018</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L + 9.25%</w:t>
            </w: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11.99%</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30,196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30,277</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($32,910 par, due 6/2025)</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1/31/2019</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L + 7.00%</w:t>
            </w: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PIK)</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32,198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32,310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2"/>
        </w:trPr>
        <w:tc>
          <w:tcPr>
            <w:tcW w:w="25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9.72%</w:t>
            </w: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First-lien loan ($46,151 par, due 3/2023)</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3/15/2018</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L + 9.25%</w:t>
            </w: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11.75%</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45,512</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($59,807 par, due 7/2022)</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7/28/2017</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L + 7.00%</w:t>
            </w: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PIK)</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58,892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59,649</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8"/>
        </w:trPr>
        <w:tc>
          <w:tcPr>
            <w:tcW w:w="25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9.50%</w:t>
            </w: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First-lien loan ($59,621 par, due 3/2022)</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4/17/2018</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L + 8.25%</w:t>
            </w: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10.75%</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59,365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59,173</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($20,270 par, due</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12/31/2018</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L + 8.50%</w:t>
            </w: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PIK)</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19,957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20,204</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9"/>
        </w:trPr>
        <w:tc>
          <w:tcPr>
            <w:tcW w:w="25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11.00%</w:t>
            </w: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12/2023)</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PIK)</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-1767205</wp:posOffset>
            </wp:positionH>
            <wp:positionV relativeFrom="paragraph">
              <wp:posOffset>-4485005</wp:posOffset>
            </wp:positionV>
            <wp:extent cx="6995160" cy="939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-4296410</wp:posOffset>
            </wp:positionV>
            <wp:extent cx="6995160" cy="1974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6995160" cy="197485"/>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-4004945</wp:posOffset>
            </wp:positionV>
            <wp:extent cx="6995160" cy="1974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6995160" cy="197485"/>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-3704590</wp:posOffset>
            </wp:positionV>
            <wp:extent cx="699516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6995160" cy="188595"/>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-3422015</wp:posOffset>
            </wp:positionV>
            <wp:extent cx="6995160" cy="939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-3233420</wp:posOffset>
            </wp:positionV>
            <wp:extent cx="6995160" cy="939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-3010535</wp:posOffset>
            </wp:positionV>
            <wp:extent cx="6995160" cy="939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-2727325</wp:posOffset>
            </wp:positionV>
            <wp:extent cx="6995160" cy="939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-2530475</wp:posOffset>
            </wp:positionV>
            <wp:extent cx="6995160" cy="1028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-2307590</wp:posOffset>
            </wp:positionV>
            <wp:extent cx="6995160" cy="946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-2101850</wp:posOffset>
            </wp:positionV>
            <wp:extent cx="6995160" cy="1028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-1904365</wp:posOffset>
            </wp:positionV>
            <wp:extent cx="6995160" cy="946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-1715770</wp:posOffset>
            </wp:positionV>
            <wp:extent cx="6995160" cy="3771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-1236345</wp:posOffset>
            </wp:positionV>
            <wp:extent cx="6995160" cy="3771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-764540</wp:posOffset>
            </wp:positionV>
            <wp:extent cx="6995160" cy="3771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2380" w:space="520"/>
            <w:col w:w="8180"/>
          </w:cols>
          <w:pgMar w:left="320" w:top="455"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55" w:right="499" w:bottom="1440" w:gutter="0" w:footer="0" w:header="0"/>
          <w:type w:val="continuous"/>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 xml:space="preserve">Company </w:t>
      </w:r>
      <w:r>
        <w:rPr>
          <w:rFonts w:ascii="Times New Roman" w:cs="Times New Roman" w:eastAsia="Times New Roman" w:hAnsi="Times New Roman"/>
          <w:sz w:val="12"/>
          <w:szCs w:val="12"/>
          <w:b w:val="1"/>
          <w:bCs w:val="1"/>
          <w:u w:val="single" w:color="auto"/>
          <w:color w:val="auto"/>
        </w:rPr>
        <w:t>(1)</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Swift Gift Limited </w:t>
      </w:r>
      <w:r>
        <w:rPr>
          <w:rFonts w:ascii="Times New Roman" w:cs="Times New Roman" w:eastAsia="Times New Roman" w:hAnsi="Times New Roman"/>
          <w:sz w:val="12"/>
          <w:szCs w:val="12"/>
          <w:color w:val="auto"/>
        </w:rPr>
        <w:t>(3)(5)</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Healthcare</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Caris Life Sciences, Ltd.</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Integrated Practice Solutions, Inc. </w:t>
      </w:r>
      <w:r>
        <w:rPr>
          <w:rFonts w:ascii="Times New Roman" w:cs="Times New Roman" w:eastAsia="Times New Roman" w:hAnsi="Times New Roman"/>
          <w:sz w:val="12"/>
          <w:szCs w:val="12"/>
          <w:color w:val="auto"/>
        </w:rPr>
        <w:t>(3)(5)</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InterOperability Bidco, Inc. </w:t>
      </w:r>
      <w:r>
        <w:rPr>
          <w:rFonts w:ascii="Times New Roman" w:cs="Times New Roman" w:eastAsia="Times New Roman" w:hAnsi="Times New Roman"/>
          <w:sz w:val="12"/>
          <w:szCs w:val="12"/>
          <w:color w:val="auto"/>
        </w:rPr>
        <w:t>(3)(5)</w:t>
      </w:r>
    </w:p>
    <w:p>
      <w:pPr>
        <w:ind w:left="120"/>
        <w:spacing w:after="0" w:line="222" w:lineRule="auto"/>
        <w:rPr>
          <w:sz w:val="20"/>
          <w:szCs w:val="20"/>
          <w:color w:val="auto"/>
        </w:rPr>
      </w:pPr>
      <w:r>
        <w:rPr>
          <w:rFonts w:ascii="Times New Roman" w:cs="Times New Roman" w:eastAsia="Times New Roman" w:hAnsi="Times New Roman"/>
          <w:sz w:val="14"/>
          <w:szCs w:val="14"/>
          <w:color w:val="auto"/>
        </w:rPr>
        <w:t xml:space="preserve">MedeAnalytics, Inc. </w:t>
      </w:r>
      <w:r>
        <w:rPr>
          <w:rFonts w:ascii="Times New Roman" w:cs="Times New Roman" w:eastAsia="Times New Roman" w:hAnsi="Times New Roman"/>
          <w:sz w:val="12"/>
          <w:szCs w:val="12"/>
          <w:color w:val="auto"/>
        </w:rPr>
        <w:t>(3)(5)</w:t>
      </w:r>
    </w:p>
    <w:p>
      <w:pPr>
        <w:ind w:left="120"/>
        <w:spacing w:after="0" w:line="222" w:lineRule="auto"/>
        <w:rPr>
          <w:sz w:val="20"/>
          <w:szCs w:val="20"/>
          <w:color w:val="auto"/>
        </w:rPr>
      </w:pPr>
      <w:r>
        <w:rPr>
          <w:rFonts w:ascii="Times New Roman" w:cs="Times New Roman" w:eastAsia="Times New Roman" w:hAnsi="Times New Roman"/>
          <w:sz w:val="14"/>
          <w:szCs w:val="14"/>
          <w:color w:val="auto"/>
        </w:rPr>
        <w:t xml:space="preserve">Quantros, Inc. </w:t>
      </w:r>
      <w:r>
        <w:rPr>
          <w:rFonts w:ascii="Times New Roman" w:cs="Times New Roman" w:eastAsia="Times New Roman" w:hAnsi="Times New Roman"/>
          <w:sz w:val="12"/>
          <w:szCs w:val="12"/>
          <w:color w:val="auto"/>
        </w:rPr>
        <w:t>(3)(5)</w:t>
      </w:r>
    </w:p>
    <w:p>
      <w:pPr>
        <w:ind w:left="120"/>
        <w:spacing w:after="0"/>
        <w:rPr>
          <w:sz w:val="20"/>
          <w:szCs w:val="20"/>
          <w:color w:val="auto"/>
        </w:rPr>
      </w:pPr>
      <w:r>
        <w:rPr>
          <w:rFonts w:ascii="Times New Roman" w:cs="Times New Roman" w:eastAsia="Times New Roman" w:hAnsi="Times New Roman"/>
          <w:sz w:val="14"/>
          <w:szCs w:val="14"/>
          <w:color w:val="auto"/>
        </w:rPr>
        <w:t xml:space="preserve">Vita Bidco, Inc. </w:t>
      </w:r>
      <w:r>
        <w:rPr>
          <w:rFonts w:ascii="Times New Roman" w:cs="Times New Roman" w:eastAsia="Times New Roman" w:hAnsi="Times New Roman"/>
          <w:sz w:val="12"/>
          <w:szCs w:val="12"/>
          <w:color w:val="auto"/>
        </w:rPr>
        <w:t>(3)(5)</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Hotel, gaming, and leisure</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12"/>
          <w:szCs w:val="12"/>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240"/>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Human resource support services </w:t>
      </w:r>
      <w:r>
        <w:rPr>
          <w:rFonts w:ascii="Times New Roman" w:cs="Times New Roman" w:eastAsia="Times New Roman" w:hAnsi="Times New Roman"/>
          <w:sz w:val="14"/>
          <w:szCs w:val="14"/>
          <w:color w:val="auto"/>
        </w:rPr>
        <w:t xml:space="preserve">ClearCompany, LLC </w:t>
      </w:r>
      <w:r>
        <w:rPr>
          <w:rFonts w:ascii="Times New Roman" w:cs="Times New Roman" w:eastAsia="Times New Roman" w:hAnsi="Times New Roman"/>
          <w:sz w:val="12"/>
          <w:szCs w:val="12"/>
          <w:color w:val="auto"/>
        </w:rPr>
        <w:t>(3)</w:t>
      </w:r>
    </w:p>
    <w:p>
      <w:pPr>
        <w:spacing w:after="0" w:line="3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PageUp People Limited </w:t>
      </w:r>
      <w:r>
        <w:rPr>
          <w:rFonts w:ascii="Times New Roman" w:cs="Times New Roman" w:eastAsia="Times New Roman" w:hAnsi="Times New Roman"/>
          <w:sz w:val="12"/>
          <w:szCs w:val="12"/>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Insurance</w:t>
      </w:r>
    </w:p>
    <w:p>
      <w:pPr>
        <w:ind w:left="120"/>
        <w:spacing w:after="0" w:line="229" w:lineRule="auto"/>
        <w:rPr>
          <w:sz w:val="20"/>
          <w:szCs w:val="20"/>
          <w:color w:val="auto"/>
        </w:rPr>
      </w:pPr>
      <w:r>
        <w:rPr>
          <w:rFonts w:ascii="Times New Roman" w:cs="Times New Roman" w:eastAsia="Times New Roman" w:hAnsi="Times New Roman"/>
          <w:sz w:val="14"/>
          <w:szCs w:val="14"/>
          <w:color w:val="auto"/>
        </w:rPr>
        <w:t xml:space="preserve">Insurity, Inc. </w:t>
      </w:r>
      <w:r>
        <w:rPr>
          <w:rFonts w:ascii="Times New Roman" w:cs="Times New Roman" w:eastAsia="Times New Roman" w:hAnsi="Times New Roman"/>
          <w:sz w:val="12"/>
          <w:szCs w:val="12"/>
          <w:color w:val="auto"/>
        </w:rPr>
        <w:t>(3)(5)</w:t>
      </w:r>
    </w:p>
    <w:p>
      <w:pPr>
        <w:ind w:left="120"/>
        <w:spacing w:after="0"/>
        <w:rPr>
          <w:sz w:val="20"/>
          <w:szCs w:val="20"/>
          <w:color w:val="auto"/>
        </w:rPr>
      </w:pPr>
      <w:r>
        <w:rPr>
          <w:rFonts w:ascii="Times New Roman" w:cs="Times New Roman" w:eastAsia="Times New Roman" w:hAnsi="Times New Roman"/>
          <w:sz w:val="14"/>
          <w:szCs w:val="14"/>
          <w:color w:val="auto"/>
        </w:rPr>
        <w:t xml:space="preserve">Riskonnect, Inc. </w:t>
      </w:r>
      <w:r>
        <w:rPr>
          <w:rFonts w:ascii="Times New Roman" w:cs="Times New Roman" w:eastAsia="Times New Roman" w:hAnsi="Times New Roman"/>
          <w:sz w:val="12"/>
          <w:szCs w:val="12"/>
          <w:color w:val="auto"/>
        </w:rPr>
        <w:t>(3)(5)</w:t>
      </w:r>
    </w:p>
    <w:p>
      <w:pPr>
        <w:spacing w:after="0" w:line="172" w:lineRule="exact"/>
        <w:rPr>
          <w:sz w:val="20"/>
          <w:szCs w:val="20"/>
          <w:color w:val="auto"/>
        </w:rPr>
      </w:pPr>
    </w:p>
    <w:p>
      <w:pPr>
        <w:ind w:left="120" w:right="500"/>
        <w:spacing w:after="0" w:line="243" w:lineRule="auto"/>
        <w:rPr>
          <w:sz w:val="20"/>
          <w:szCs w:val="20"/>
          <w:color w:val="auto"/>
        </w:rPr>
      </w:pPr>
      <w:r>
        <w:rPr>
          <w:rFonts w:ascii="Times New Roman" w:cs="Times New Roman" w:eastAsia="Times New Roman" w:hAnsi="Times New Roman"/>
          <w:sz w:val="14"/>
          <w:szCs w:val="14"/>
          <w:b w:val="1"/>
          <w:bCs w:val="1"/>
          <w:color w:val="auto"/>
        </w:rPr>
        <w:t xml:space="preserve">Internet services </w:t>
      </w:r>
      <w:r>
        <w:rPr>
          <w:rFonts w:ascii="Times New Roman" w:cs="Times New Roman" w:eastAsia="Times New Roman" w:hAnsi="Times New Roman"/>
          <w:sz w:val="14"/>
          <w:szCs w:val="14"/>
          <w:color w:val="auto"/>
        </w:rPr>
        <w:t xml:space="preserve">Higher Logic, LLC </w:t>
      </w:r>
      <w:r>
        <w:rPr>
          <w:rFonts w:ascii="Times New Roman" w:cs="Times New Roman" w:eastAsia="Times New Roman" w:hAnsi="Times New Roman"/>
          <w:sz w:val="12"/>
          <w:szCs w:val="12"/>
          <w:color w:val="auto"/>
        </w:rPr>
        <w:t>(3)(5)</w:t>
      </w:r>
      <w:r>
        <w:rPr>
          <w:rFonts w:ascii="Times New Roman" w:cs="Times New Roman" w:eastAsia="Times New Roman" w:hAnsi="Times New Roman"/>
          <w:sz w:val="14"/>
          <w:szCs w:val="14"/>
          <w:color w:val="auto"/>
        </w:rPr>
        <w:t xml:space="preserve"> Lithium Technologies, LLC </w:t>
      </w:r>
      <w:r>
        <w:rPr>
          <w:rFonts w:ascii="Times New Roman" w:cs="Times New Roman" w:eastAsia="Times New Roman" w:hAnsi="Times New Roman"/>
          <w:sz w:val="12"/>
          <w:szCs w:val="12"/>
          <w:color w:val="auto"/>
        </w:rPr>
        <w:t>(3)</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Manufacturing</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ScentAir Technologies, Inc. </w:t>
      </w: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Marketing services</w:t>
      </w:r>
    </w:p>
    <w:p>
      <w:pPr>
        <w:ind w:left="120"/>
        <w:spacing w:after="0" w:line="229" w:lineRule="auto"/>
        <w:rPr>
          <w:sz w:val="20"/>
          <w:szCs w:val="20"/>
          <w:color w:val="auto"/>
        </w:rPr>
      </w:pPr>
      <w:r>
        <w:rPr>
          <w:rFonts w:ascii="Times New Roman" w:cs="Times New Roman" w:eastAsia="Times New Roman" w:hAnsi="Times New Roman"/>
          <w:sz w:val="14"/>
          <w:szCs w:val="14"/>
          <w:color w:val="auto"/>
        </w:rPr>
        <w:t xml:space="preserve">Validity, Inc. </w:t>
      </w:r>
      <w:r>
        <w:rPr>
          <w:rFonts w:ascii="Times New Roman" w:cs="Times New Roman" w:eastAsia="Times New Roman" w:hAnsi="Times New Roman"/>
          <w:sz w:val="12"/>
          <w:szCs w:val="12"/>
          <w:color w:val="auto"/>
        </w:rPr>
        <w:t>(3)(5)(6)</w:t>
      </w:r>
    </w:p>
    <w:p>
      <w:pPr>
        <w:ind w:left="120"/>
        <w:spacing w:after="0" w:line="221" w:lineRule="auto"/>
        <w:rPr>
          <w:sz w:val="20"/>
          <w:szCs w:val="20"/>
          <w:color w:val="auto"/>
        </w:rPr>
      </w:pPr>
      <w:r>
        <w:rPr>
          <w:rFonts w:ascii="Times New Roman" w:cs="Times New Roman" w:eastAsia="Times New Roman" w:hAnsi="Times New Roman"/>
          <w:sz w:val="14"/>
          <w:szCs w:val="14"/>
          <w:b w:val="1"/>
          <w:bCs w:val="1"/>
          <w:color w:val="auto"/>
        </w:rPr>
        <w:t>Office products</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USR Parent Inc. </w:t>
      </w:r>
      <w:r>
        <w:rPr>
          <w:rFonts w:ascii="Times New Roman" w:cs="Times New Roman" w:eastAsia="Times New Roman" w:hAnsi="Times New Roman"/>
          <w:sz w:val="12"/>
          <w:szCs w:val="12"/>
          <w:color w:val="auto"/>
        </w:rPr>
        <w:t>(3)(5)</w:t>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Oil, gas and consumable</w:t>
      </w:r>
    </w:p>
    <w:p>
      <w:pPr>
        <w:ind w:left="260"/>
        <w:spacing w:after="0" w:line="229" w:lineRule="auto"/>
        <w:rPr>
          <w:sz w:val="20"/>
          <w:szCs w:val="20"/>
          <w:color w:val="auto"/>
        </w:rPr>
      </w:pPr>
      <w:r>
        <w:rPr>
          <w:rFonts w:ascii="Times New Roman" w:cs="Times New Roman" w:eastAsia="Times New Roman" w:hAnsi="Times New Roman"/>
          <w:sz w:val="14"/>
          <w:szCs w:val="14"/>
          <w:b w:val="1"/>
          <w:bCs w:val="1"/>
          <w:color w:val="auto"/>
        </w:rPr>
        <w:t>fuels</w:t>
      </w:r>
    </w:p>
    <w:p>
      <w:pPr>
        <w:ind w:left="120"/>
        <w:spacing w:after="0"/>
        <w:rPr>
          <w:sz w:val="20"/>
          <w:szCs w:val="20"/>
          <w:color w:val="auto"/>
        </w:rPr>
      </w:pPr>
      <w:r>
        <w:rPr>
          <w:rFonts w:ascii="Times New Roman" w:cs="Times New Roman" w:eastAsia="Times New Roman" w:hAnsi="Times New Roman"/>
          <w:sz w:val="14"/>
          <w:szCs w:val="14"/>
          <w:color w:val="auto"/>
        </w:rPr>
        <w:t xml:space="preserve">MD America Energy, LLC </w:t>
      </w: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82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74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2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2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Rate and</w:t>
            </w:r>
          </w:p>
        </w:tc>
        <w:tc>
          <w:tcPr>
            <w:tcW w:w="7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2"/>
                <w:szCs w:val="12"/>
                <w:b w:val="1"/>
                <w:bCs w:val="1"/>
                <w:color w:val="auto"/>
              </w:rPr>
              <w:t>(10)</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720" w:type="dxa"/>
            <w:vAlign w:val="bottom"/>
            <w:gridSpan w:val="2"/>
            <w:vMerge w:val="continue"/>
          </w:tcPr>
          <w:p>
            <w:pPr>
              <w:spacing w:after="0"/>
              <w:rPr>
                <w:sz w:val="13"/>
                <w:szCs w:val="13"/>
                <w:color w:val="auto"/>
              </w:rPr>
            </w:pPr>
          </w:p>
        </w:tc>
        <w:tc>
          <w:tcPr>
            <w:tcW w:w="88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820" w:type="dxa"/>
            <w:vAlign w:val="bottom"/>
            <w:gridSpan w:val="2"/>
          </w:tcPr>
          <w:p>
            <w:pPr>
              <w:jc w:val="center"/>
              <w:ind w:right="148"/>
              <w:spacing w:after="0" w:line="151" w:lineRule="exact"/>
              <w:rPr>
                <w:sz w:val="20"/>
                <w:szCs w:val="20"/>
                <w:color w:val="auto"/>
              </w:rPr>
            </w:pPr>
            <w:r>
              <w:rPr>
                <w:rFonts w:ascii="Times New Roman" w:cs="Times New Roman" w:eastAsia="Times New Roman" w:hAnsi="Times New Roman"/>
                <w:sz w:val="14"/>
                <w:szCs w:val="14"/>
                <w:b w:val="1"/>
                <w:bCs w:val="1"/>
                <w:color w:val="auto"/>
              </w:rPr>
              <w:t>Spread</w:t>
            </w:r>
          </w:p>
        </w:tc>
        <w:tc>
          <w:tcPr>
            <w:tcW w:w="740" w:type="dxa"/>
            <w:vAlign w:val="bottom"/>
            <w:gridSpan w:val="2"/>
          </w:tcPr>
          <w:p>
            <w:pPr>
              <w:jc w:val="right"/>
              <w:ind w:right="288"/>
              <w:spacing w:after="0" w:line="151" w:lineRule="exact"/>
              <w:rPr>
                <w:sz w:val="20"/>
                <w:szCs w:val="20"/>
                <w:color w:val="auto"/>
              </w:rPr>
            </w:pPr>
            <w:r>
              <w:rPr>
                <w:rFonts w:ascii="Times New Roman" w:cs="Times New Roman" w:eastAsia="Times New Roman" w:hAnsi="Times New Roman"/>
                <w:sz w:val="14"/>
                <w:szCs w:val="14"/>
                <w:b w:val="1"/>
                <w:bCs w:val="1"/>
                <w:color w:val="auto"/>
              </w:rPr>
              <w:t>Rate</w:t>
            </w:r>
          </w:p>
        </w:tc>
        <w:tc>
          <w:tcPr>
            <w:tcW w:w="7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(2)(8)</w:t>
            </w:r>
          </w:p>
        </w:tc>
        <w:tc>
          <w:tcPr>
            <w:tcW w:w="1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00" w:type="dxa"/>
            <w:vAlign w:val="bottom"/>
            <w:gridSpan w:val="2"/>
          </w:tcPr>
          <w:p>
            <w:pPr>
              <w:jc w:val="right"/>
              <w:ind w:right="48"/>
              <w:spacing w:after="0" w:line="151" w:lineRule="exact"/>
              <w:rPr>
                <w:sz w:val="20"/>
                <w:szCs w:val="20"/>
                <w:color w:val="auto"/>
              </w:rPr>
            </w:pPr>
            <w:r>
              <w:rPr>
                <w:rFonts w:ascii="Times New Roman" w:cs="Times New Roman" w:eastAsia="Times New Roman" w:hAnsi="Times New Roman"/>
                <w:sz w:val="14"/>
                <w:szCs w:val="14"/>
                <w:b w:val="1"/>
                <w:bCs w:val="1"/>
                <w:color w:val="auto"/>
                <w:w w:val="98"/>
              </w:rPr>
              <w:t>of Net Assets</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6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First-lien loan ($28,693 par, due 1/2022)</w:t>
            </w:r>
          </w:p>
        </w:tc>
        <w:tc>
          <w:tcPr>
            <w:tcW w:w="100" w:type="dxa"/>
            <w:vAlign w:val="bottom"/>
            <w:vMerge w:val="continue"/>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7/31/2017</w:t>
            </w:r>
          </w:p>
        </w:tc>
        <w:tc>
          <w:tcPr>
            <w:tcW w:w="160" w:type="dxa"/>
            <w:vAlign w:val="bottom"/>
            <w:vMerge w:val="continue"/>
          </w:tcPr>
          <w:p>
            <w:pPr>
              <w:spacing w:after="0"/>
              <w:rPr>
                <w:sz w:val="12"/>
                <w:szCs w:val="12"/>
                <w:color w:val="auto"/>
              </w:rPr>
            </w:pPr>
          </w:p>
        </w:tc>
        <w:tc>
          <w:tcPr>
            <w:tcW w:w="62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L + 6.50</w:t>
            </w:r>
          </w:p>
        </w:tc>
        <w:tc>
          <w:tcPr>
            <w:tcW w:w="200" w:type="dxa"/>
            <w:vAlign w:val="bottom"/>
            <w:vMerge w:val="continue"/>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9.00</w:t>
            </w:r>
          </w:p>
        </w:tc>
        <w:tc>
          <w:tcPr>
            <w:tcW w:w="260" w:type="dxa"/>
            <w:vAlign w:val="bottom"/>
            <w:vMerge w:val="continue"/>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28,195</w:t>
            </w:r>
          </w:p>
        </w:tc>
        <w:tc>
          <w:tcPr>
            <w:tcW w:w="120" w:type="dxa"/>
            <w:vAlign w:val="bottom"/>
            <w:vMerge w:val="continue"/>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29,984</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346,173</w:t>
            </w:r>
          </w:p>
        </w:tc>
        <w:tc>
          <w:tcPr>
            <w:tcW w:w="12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350,446</w:t>
            </w:r>
          </w:p>
        </w:tc>
        <w:tc>
          <w:tcPr>
            <w:tcW w:w="20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($2,500 par, due 9/2023)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9/21/2018</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11.30%</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11.30%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2,306</w:t>
            </w: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8"/>
        </w:trPr>
        <w:tc>
          <w:tcPr>
            <w:tcW w:w="2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Convertible note ($2,500 par, due 9/2023)</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9/21/2018</w:t>
            </w:r>
          </w:p>
        </w:tc>
        <w:tc>
          <w:tcPr>
            <w:tcW w:w="8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7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12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2,531</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2"/>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($36,409 par, due 6/2022)</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6/30/2017</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+ 8.00%</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10.50%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35,655</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36,227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2"/>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($29,925 par, due 10/2023)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10/30/2018</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+ 7.00%</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9.50%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28,778</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28,952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8"/>
        </w:trPr>
        <w:tc>
          <w:tcPr>
            <w:tcW w:w="2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First-lien loan ($41,606 par, due 9/2020)</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9/30/2015</w:t>
            </w:r>
          </w:p>
        </w:tc>
        <w:tc>
          <w:tcPr>
            <w:tcW w:w="8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L + 7.50%</w:t>
            </w:r>
          </w:p>
        </w:tc>
        <w:tc>
          <w:tcPr>
            <w:tcW w:w="7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41,176</w:t>
            </w:r>
          </w:p>
        </w:tc>
        <w:tc>
          <w:tcPr>
            <w:tcW w:w="12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41,815</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8"/>
        </w:trPr>
        <w:tc>
          <w:tcPr>
            <w:tcW w:w="2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First-lien loan ($27,590 par, due 9/2019)</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2/29/2016</w:t>
            </w:r>
          </w:p>
        </w:tc>
        <w:tc>
          <w:tcPr>
            <w:tcW w:w="8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L + 7.75%</w:t>
            </w:r>
          </w:p>
        </w:tc>
        <w:tc>
          <w:tcPr>
            <w:tcW w:w="7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10.35%</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26,712</w:t>
            </w:r>
          </w:p>
        </w:tc>
        <w:tc>
          <w:tcPr>
            <w:tcW w:w="12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27,314</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($21,938 par, due 2/2024)</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2/11/2019</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+ 6.50%</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21,317</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21,390</w:t>
            </w:r>
          </w:p>
        </w:tc>
        <w:tc>
          <w:tcPr>
            <w:tcW w:w="2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158,456</w:t>
            </w:r>
          </w:p>
        </w:tc>
        <w:tc>
          <w:tcPr>
            <w:tcW w:w="120" w:type="dxa"/>
            <w:vAlign w:val="bottom"/>
            <w:vMerge w:val="continue"/>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160,535</w:t>
            </w:r>
          </w:p>
        </w:tc>
        <w:tc>
          <w:tcPr>
            <w:tcW w:w="20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($30,410 par, due 9/2019)</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9/29/2015</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+ 9.50%</w:t>
            </w: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12.10%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28,556</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30,333</w:t>
            </w: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First-lien revolving loan ($894 par, due</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9/29/2015</w:t>
            </w:r>
          </w:p>
        </w:tc>
        <w:tc>
          <w:tcPr>
            <w:tcW w:w="8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L + 9.50%</w:t>
            </w: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PIK)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2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886</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8"/>
        </w:trPr>
        <w:tc>
          <w:tcPr>
            <w:tcW w:w="274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700" w:type="dxa"/>
            <w:vAlign w:val="bottom"/>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9/2019)</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PIK)</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29,450</w:t>
            </w:r>
          </w:p>
        </w:tc>
        <w:tc>
          <w:tcPr>
            <w:tcW w:w="12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31,219</w:t>
            </w:r>
          </w:p>
        </w:tc>
        <w:tc>
          <w:tcPr>
            <w:tcW w:w="20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($17,261 par, due 7/2023)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7/23/2018</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+ 8.50%</w:t>
            </w: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11.13%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17,011</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17,008</w:t>
            </w: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First-lien loan (AUD 47,078 par, due</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1/11/2018</w:t>
            </w:r>
          </w:p>
        </w:tc>
        <w:tc>
          <w:tcPr>
            <w:tcW w:w="8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B + 7.25%</w:t>
            </w: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PIK)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36,372</w:t>
            </w:r>
          </w:p>
        </w:tc>
        <w:tc>
          <w:tcPr>
            <w:tcW w:w="12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33,164</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8"/>
        </w:trPr>
        <w:tc>
          <w:tcPr>
            <w:tcW w:w="274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9.27%</w:t>
            </w:r>
          </w:p>
        </w:tc>
        <w:tc>
          <w:tcPr>
            <w:tcW w:w="700" w:type="dxa"/>
            <w:vAlign w:val="bottom"/>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12/2022)</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(AUD 46,688)</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PIK)</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53,383</w:t>
            </w:r>
          </w:p>
        </w:tc>
        <w:tc>
          <w:tcPr>
            <w:tcW w:w="12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50,172</w:t>
            </w:r>
          </w:p>
        </w:tc>
        <w:tc>
          <w:tcPr>
            <w:tcW w:w="20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($60,837 par, due 10/2020)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10/31/2014</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+ 6.50%</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9.18%</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60,593</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61,293</w:t>
            </w: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1"/>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($50,000 par, due 10/2023)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6/30/2017</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+ 7.75%</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10.36%</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49,455</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49,250</w:t>
            </w:r>
          </w:p>
        </w:tc>
        <w:tc>
          <w:tcPr>
            <w:tcW w:w="2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110,048</w:t>
            </w:r>
          </w:p>
        </w:tc>
        <w:tc>
          <w:tcPr>
            <w:tcW w:w="120" w:type="dxa"/>
            <w:vAlign w:val="bottom"/>
            <w:vMerge w:val="continue"/>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110,543</w:t>
            </w:r>
          </w:p>
        </w:tc>
        <w:tc>
          <w:tcPr>
            <w:tcW w:w="20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($37,715 par, due 1/2022)</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6/18/2018</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+ 6.00%</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8.61%</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37,184</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37,149</w:t>
            </w: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5"/>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($54,700 par, due 10/2022)</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10/3/2017</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+ 8.00%</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10.49%</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53,699</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54,260</w:t>
            </w:r>
          </w:p>
        </w:tc>
        <w:tc>
          <w:tcPr>
            <w:tcW w:w="2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90,883</w:t>
            </w:r>
          </w:p>
        </w:tc>
        <w:tc>
          <w:tcPr>
            <w:tcW w:w="120" w:type="dxa"/>
            <w:vAlign w:val="bottom"/>
            <w:vMerge w:val="continue"/>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91,409</w:t>
            </w:r>
          </w:p>
        </w:tc>
        <w:tc>
          <w:tcPr>
            <w:tcW w:w="20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($19,986 par, due 12/2019)</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12/30/2014</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+ 7.25%</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9.75%</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19,918</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19,986</w:t>
            </w: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2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First-lien revolving loan ($1,393 par, due</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12/30/2014</w:t>
            </w:r>
          </w:p>
        </w:tc>
        <w:tc>
          <w:tcPr>
            <w:tcW w:w="8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L + 7.25%</w:t>
            </w:r>
          </w:p>
        </w:tc>
        <w:tc>
          <w:tcPr>
            <w:tcW w:w="7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9.75%</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1,387</w:t>
            </w:r>
          </w:p>
        </w:tc>
        <w:tc>
          <w:tcPr>
            <w:tcW w:w="12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1,393</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12/2019)</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21,305</w:t>
            </w:r>
          </w:p>
        </w:tc>
        <w:tc>
          <w:tcPr>
            <w:tcW w:w="12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21,379</w:t>
            </w:r>
          </w:p>
        </w:tc>
        <w:tc>
          <w:tcPr>
            <w:tcW w:w="20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($36,797 par, due 5/2023)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5/31/2018</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+ 6.50%</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9.19%</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36,243</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36,153</w:t>
            </w: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57"/>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ABL FILO term loan ($13,000 par, due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9/12/2017</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+ 7.75%</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10.23%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12,773</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12,967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8"/>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9/2022)</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($14,906 par, due 11/2023)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11/14/2018</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+ 7.75%</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10.44%</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14,512</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14,383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-6019165</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-5196205</wp:posOffset>
            </wp:positionV>
            <wp:extent cx="6995160" cy="1028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-4965065</wp:posOffset>
            </wp:positionV>
            <wp:extent cx="6995160" cy="939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-4776470</wp:posOffset>
            </wp:positionV>
            <wp:extent cx="6995160" cy="939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-4578985</wp:posOffset>
            </wp:positionV>
            <wp:extent cx="6995160" cy="1028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-4382135</wp:posOffset>
            </wp:positionV>
            <wp:extent cx="6995160" cy="939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-4176395</wp:posOffset>
            </wp:positionV>
            <wp:extent cx="6995160" cy="939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-3970655</wp:posOffset>
            </wp:positionV>
            <wp:extent cx="6995160" cy="3771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-3199130</wp:posOffset>
            </wp:positionV>
            <wp:extent cx="6995160" cy="939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-2993390</wp:posOffset>
            </wp:positionV>
            <wp:extent cx="6995160" cy="3771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-2221865</wp:posOffset>
            </wp:positionV>
            <wp:extent cx="6995160" cy="939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-2016125</wp:posOffset>
            </wp:positionV>
            <wp:extent cx="6995160" cy="939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-1810385</wp:posOffset>
            </wp:positionV>
            <wp:extent cx="6995160" cy="946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-1604645</wp:posOffset>
            </wp:positionV>
            <wp:extent cx="6995160" cy="939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-1390015</wp:posOffset>
            </wp:positionV>
            <wp:extent cx="6995160" cy="939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-1184275</wp:posOffset>
            </wp:positionV>
            <wp:extent cx="6995160" cy="1028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-875665</wp:posOffset>
            </wp:positionV>
            <wp:extent cx="6995160" cy="939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-670560</wp:posOffset>
            </wp:positionV>
            <wp:extent cx="6995160" cy="946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-481965</wp:posOffset>
            </wp:positionV>
            <wp:extent cx="699516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6995160" cy="18859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-104140</wp:posOffset>
            </wp:positionV>
            <wp:extent cx="6995160" cy="1028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spacing w:after="0" w:line="1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2">
            <w:col w:w="2400" w:space="680"/>
            <w:col w:w="8000"/>
          </w:cols>
          <w:pgMar w:left="320" w:top="455" w:right="49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 xml:space="preserve">Company </w:t>
      </w:r>
      <w:r>
        <w:rPr>
          <w:rFonts w:ascii="Times New Roman" w:cs="Times New Roman" w:eastAsia="Times New Roman" w:hAnsi="Times New Roman"/>
          <w:sz w:val="12"/>
          <w:szCs w:val="12"/>
          <w:b w:val="1"/>
          <w:bCs w:val="1"/>
          <w:u w:val="single" w:color="auto"/>
          <w:color w:val="auto"/>
        </w:rPr>
        <w:t>(1)</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Mississippi Resources, LLC </w:t>
      </w:r>
      <w:r>
        <w:rPr>
          <w:rFonts w:ascii="Times New Roman" w:cs="Times New Roman" w:eastAsia="Times New Roman" w:hAnsi="Times New Roman"/>
          <w:sz w:val="12"/>
          <w:szCs w:val="12"/>
          <w:color w:val="auto"/>
        </w:rPr>
        <w:t>(3)(7)</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Pharmaceuticals</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Ironwood Pharmaceuticals, Inc. </w:t>
      </w:r>
      <w:r>
        <w:rPr>
          <w:rFonts w:ascii="Times New Roman" w:cs="Times New Roman" w:eastAsia="Times New Roman" w:hAnsi="Times New Roman"/>
          <w:sz w:val="12"/>
          <w:szCs w:val="12"/>
          <w:color w:val="auto"/>
        </w:rPr>
        <w:t>(4)(5)(9)</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Nektar Therapeutics </w:t>
      </w:r>
      <w:r>
        <w:rPr>
          <w:rFonts w:ascii="Times New Roman" w:cs="Times New Roman" w:eastAsia="Times New Roman" w:hAnsi="Times New Roman"/>
          <w:sz w:val="12"/>
          <w:szCs w:val="12"/>
          <w:color w:val="auto"/>
        </w:rPr>
        <w:t>(4)(5)(9)</w:t>
      </w:r>
    </w:p>
    <w:p>
      <w:pPr>
        <w:spacing w:after="0" w:line="172" w:lineRule="exact"/>
        <w:rPr>
          <w:sz w:val="20"/>
          <w:szCs w:val="20"/>
          <w:color w:val="auto"/>
        </w:rPr>
      </w:pPr>
    </w:p>
    <w:p>
      <w:pPr>
        <w:ind w:left="120" w:right="440"/>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Retail and consumer products </w:t>
      </w:r>
      <w:r>
        <w:rPr>
          <w:rFonts w:ascii="Times New Roman" w:cs="Times New Roman" w:eastAsia="Times New Roman" w:hAnsi="Times New Roman"/>
          <w:sz w:val="14"/>
          <w:szCs w:val="14"/>
          <w:color w:val="auto"/>
        </w:rPr>
        <w:t xml:space="preserve">99 Cents Only Stores LLC </w:t>
      </w:r>
      <w:r>
        <w:rPr>
          <w:rFonts w:ascii="Times New Roman" w:cs="Times New Roman" w:eastAsia="Times New Roman" w:hAnsi="Times New Roman"/>
          <w:sz w:val="12"/>
          <w:szCs w:val="12"/>
          <w:color w:val="auto"/>
        </w:rPr>
        <w:t>(3)</w:t>
      </w:r>
    </w:p>
    <w:p>
      <w:pPr>
        <w:spacing w:after="0" w:line="1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American Achievement Corporation </w:t>
      </w:r>
      <w:r>
        <w:rPr>
          <w:rFonts w:ascii="Times New Roman" w:cs="Times New Roman" w:eastAsia="Times New Roman" w:hAnsi="Times New Roman"/>
          <w:sz w:val="12"/>
          <w:szCs w:val="12"/>
          <w:color w:val="auto"/>
        </w:rPr>
        <w:t>(3)</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PayLess Inc. </w:t>
      </w:r>
      <w:r>
        <w:rPr>
          <w:rFonts w:ascii="Times New Roman" w:cs="Times New Roman" w:eastAsia="Times New Roman" w:hAnsi="Times New Roman"/>
          <w:sz w:val="12"/>
          <w:szCs w:val="12"/>
          <w:color w:val="auto"/>
        </w:rPr>
        <w:t>(3)(5)</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Transform SR Holdings, LLC </w:t>
      </w:r>
      <w:r>
        <w:rPr>
          <w:rFonts w:ascii="Times New Roman" w:cs="Times New Roman" w:eastAsia="Times New Roman" w:hAnsi="Times New Roman"/>
          <w:sz w:val="12"/>
          <w:szCs w:val="12"/>
          <w:color w:val="auto"/>
        </w:rPr>
        <w:t>(3)</w:t>
      </w:r>
    </w:p>
    <w:p>
      <w:pPr>
        <w:spacing w:after="0" w:line="3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Transportation</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Ferrellgas, L.P. </w:t>
      </w:r>
      <w:r>
        <w:rPr>
          <w:rFonts w:ascii="Times New Roman" w:cs="Times New Roman" w:eastAsia="Times New Roman" w:hAnsi="Times New Roman"/>
          <w:sz w:val="12"/>
          <w:szCs w:val="12"/>
          <w:color w:val="auto"/>
        </w:rPr>
        <w:t>(3)(4)(5)</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Total Debt Investments</w:t>
      </w:r>
    </w:p>
    <w:p>
      <w:pPr>
        <w:spacing w:after="0" w:line="15" w:lineRule="exact"/>
        <w:rPr>
          <w:sz w:val="20"/>
          <w:szCs w:val="20"/>
          <w:color w:val="auto"/>
        </w:rPr>
      </w:pPr>
    </w:p>
    <w:p>
      <w:pPr>
        <w:ind w:left="120" w:right="340"/>
        <w:spacing w:after="0" w:line="229" w:lineRule="auto"/>
        <w:rPr>
          <w:sz w:val="20"/>
          <w:szCs w:val="20"/>
          <w:color w:val="auto"/>
        </w:rPr>
      </w:pPr>
      <w:r>
        <w:rPr>
          <w:rFonts w:ascii="Times New Roman" w:cs="Times New Roman" w:eastAsia="Times New Roman" w:hAnsi="Times New Roman"/>
          <w:sz w:val="14"/>
          <w:szCs w:val="14"/>
          <w:b w:val="1"/>
          <w:bCs w:val="1"/>
          <w:color w:val="auto"/>
        </w:rPr>
        <w:t xml:space="preserve">Equity and Other Investments Beverage, food and tobacco </w:t>
      </w:r>
      <w:r>
        <w:rPr>
          <w:rFonts w:ascii="Times New Roman" w:cs="Times New Roman" w:eastAsia="Times New Roman" w:hAnsi="Times New Roman"/>
          <w:sz w:val="14"/>
          <w:szCs w:val="14"/>
          <w:color w:val="auto"/>
        </w:rPr>
        <w:t xml:space="preserve">AFS Technologies, Inc. </w:t>
      </w:r>
      <w:r>
        <w:rPr>
          <w:rFonts w:ascii="Times New Roman" w:cs="Times New Roman" w:eastAsia="Times New Roman" w:hAnsi="Times New Roman"/>
          <w:sz w:val="12"/>
          <w:szCs w:val="12"/>
          <w:color w:val="auto"/>
        </w:rPr>
        <w:t>(6)(13)(14)</w:t>
      </w:r>
    </w:p>
    <w:p>
      <w:pPr>
        <w:ind w:left="120"/>
        <w:spacing w:after="0" w:line="223" w:lineRule="auto"/>
        <w:rPr>
          <w:sz w:val="20"/>
          <w:szCs w:val="20"/>
          <w:color w:val="auto"/>
        </w:rPr>
      </w:pPr>
      <w:r>
        <w:rPr>
          <w:rFonts w:ascii="Times New Roman" w:cs="Times New Roman" w:eastAsia="Times New Roman" w:hAnsi="Times New Roman"/>
          <w:sz w:val="14"/>
          <w:szCs w:val="14"/>
          <w:b w:val="1"/>
          <w:bCs w:val="1"/>
          <w:color w:val="auto"/>
        </w:rPr>
        <w:t>Business Services</w:t>
      </w:r>
    </w:p>
    <w:p>
      <w:pPr>
        <w:ind w:left="120"/>
        <w:spacing w:after="0"/>
        <w:rPr>
          <w:sz w:val="20"/>
          <w:szCs w:val="20"/>
          <w:color w:val="auto"/>
        </w:rPr>
      </w:pPr>
      <w:r>
        <w:rPr>
          <w:rFonts w:ascii="Times New Roman" w:cs="Times New Roman" w:eastAsia="Times New Roman" w:hAnsi="Times New Roman"/>
          <w:sz w:val="14"/>
          <w:szCs w:val="14"/>
          <w:color w:val="auto"/>
        </w:rPr>
        <w:t xml:space="preserve">Motus, LLC </w:t>
      </w:r>
      <w:r>
        <w:rPr>
          <w:rFonts w:ascii="Times New Roman" w:cs="Times New Roman" w:eastAsia="Times New Roman" w:hAnsi="Times New Roman"/>
          <w:sz w:val="12"/>
          <w:szCs w:val="12"/>
          <w:color w:val="auto"/>
        </w:rPr>
        <w:t>(13)</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Nintex Global Limited </w:t>
      </w:r>
      <w:r>
        <w:rPr>
          <w:rFonts w:ascii="Times New Roman" w:cs="Times New Roman" w:eastAsia="Times New Roman" w:hAnsi="Times New Roman"/>
          <w:sz w:val="12"/>
          <w:szCs w:val="12"/>
          <w:color w:val="auto"/>
        </w:rPr>
        <w:t>(13)</w:t>
      </w:r>
    </w:p>
    <w:p>
      <w:pPr>
        <w:spacing w:after="0" w:line="3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Chemicals</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Vertellus Specialties, Inc. </w:t>
      </w:r>
      <w:r>
        <w:rPr>
          <w:rFonts w:ascii="Times New Roman" w:cs="Times New Roman" w:eastAsia="Times New Roman" w:hAnsi="Times New Roman"/>
          <w:sz w:val="12"/>
          <w:szCs w:val="12"/>
          <w:color w:val="auto"/>
        </w:rPr>
        <w:t>(13)</w:t>
      </w:r>
    </w:p>
    <w:p>
      <w:pPr>
        <w:ind w:left="120"/>
        <w:spacing w:after="0" w:line="222" w:lineRule="auto"/>
        <w:rPr>
          <w:sz w:val="20"/>
          <w:szCs w:val="20"/>
          <w:color w:val="auto"/>
        </w:rPr>
      </w:pPr>
      <w:r>
        <w:rPr>
          <w:rFonts w:ascii="Times New Roman" w:cs="Times New Roman" w:eastAsia="Times New Roman" w:hAnsi="Times New Roman"/>
          <w:sz w:val="14"/>
          <w:szCs w:val="14"/>
          <w:b w:val="1"/>
          <w:bCs w:val="1"/>
          <w:color w:val="auto"/>
        </w:rPr>
        <w:t>Financial services</w:t>
      </w:r>
    </w:p>
    <w:p>
      <w:pPr>
        <w:ind w:left="120"/>
        <w:spacing w:after="0" w:line="222" w:lineRule="auto"/>
        <w:rPr>
          <w:sz w:val="20"/>
          <w:szCs w:val="20"/>
          <w:color w:val="auto"/>
        </w:rPr>
      </w:pPr>
      <w:r>
        <w:rPr>
          <w:rFonts w:ascii="Times New Roman" w:cs="Times New Roman" w:eastAsia="Times New Roman" w:hAnsi="Times New Roman"/>
          <w:sz w:val="14"/>
          <w:szCs w:val="14"/>
          <w:color w:val="auto"/>
        </w:rPr>
        <w:t xml:space="preserve">AvidXchange, Inc. </w:t>
      </w:r>
      <w:r>
        <w:rPr>
          <w:rFonts w:ascii="Times New Roman" w:cs="Times New Roman" w:eastAsia="Times New Roman" w:hAnsi="Times New Roman"/>
          <w:sz w:val="12"/>
          <w:szCs w:val="12"/>
          <w:color w:val="auto"/>
        </w:rPr>
        <w:t>(13)</w:t>
      </w:r>
    </w:p>
    <w:p>
      <w:pPr>
        <w:ind w:left="120"/>
        <w:spacing w:after="0"/>
        <w:rPr>
          <w:sz w:val="20"/>
          <w:szCs w:val="20"/>
          <w:color w:val="auto"/>
        </w:rPr>
      </w:pPr>
      <w:r>
        <w:rPr>
          <w:rFonts w:ascii="Times New Roman" w:cs="Times New Roman" w:eastAsia="Times New Roman" w:hAnsi="Times New Roman"/>
          <w:sz w:val="14"/>
          <w:szCs w:val="14"/>
          <w:color w:val="auto"/>
        </w:rPr>
        <w:t xml:space="preserve">Oxford Square Capital Corp. </w:t>
      </w:r>
      <w:r>
        <w:rPr>
          <w:rFonts w:ascii="Times New Roman" w:cs="Times New Roman" w:eastAsia="Times New Roman" w:hAnsi="Times New Roman"/>
          <w:sz w:val="12"/>
          <w:szCs w:val="12"/>
          <w:color w:val="auto"/>
        </w:rPr>
        <w:t>(4)(12)</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Swift Gift Limited </w:t>
      </w:r>
      <w:r>
        <w:rPr>
          <w:rFonts w:ascii="Times New Roman" w:cs="Times New Roman" w:eastAsia="Times New Roman" w:hAnsi="Times New Roman"/>
          <w:sz w:val="12"/>
          <w:szCs w:val="12"/>
          <w:color w:val="auto"/>
        </w:rPr>
        <w:t>(13)</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Healthcare</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Caris Life Sciences, Ltd. </w:t>
      </w:r>
      <w:r>
        <w:rPr>
          <w:rFonts w:ascii="Times New Roman" w:cs="Times New Roman" w:eastAsia="Times New Roman" w:hAnsi="Times New Roman"/>
          <w:sz w:val="12"/>
          <w:szCs w:val="12"/>
          <w:color w:val="auto"/>
        </w:rPr>
        <w:t>(13)(14)</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Vita Topco, Inc. </w:t>
      </w:r>
      <w:r>
        <w:rPr>
          <w:rFonts w:ascii="Times New Roman" w:cs="Times New Roman" w:eastAsia="Times New Roman" w:hAnsi="Times New Roman"/>
          <w:sz w:val="12"/>
          <w:szCs w:val="12"/>
          <w:color w:val="auto"/>
        </w:rPr>
        <w:t>(13)(14)(15)</w:t>
      </w:r>
    </w:p>
    <w:p>
      <w:pPr>
        <w:spacing w:after="0" w:line="172" w:lineRule="exact"/>
        <w:rPr>
          <w:sz w:val="20"/>
          <w:szCs w:val="20"/>
          <w:color w:val="auto"/>
        </w:rPr>
      </w:pPr>
    </w:p>
    <w:p>
      <w:pPr>
        <w:ind w:left="120" w:right="620"/>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Hotel, gaming, and leisure </w:t>
      </w: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12"/>
          <w:szCs w:val="12"/>
          <w:color w:val="auto"/>
        </w:rPr>
        <w:t>(7)(13)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vMerge w:val="restart"/>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Rate and</w:t>
            </w:r>
          </w:p>
        </w:tc>
        <w:tc>
          <w:tcPr>
            <w:tcW w:w="7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 xml:space="preserve">Fair Value </w:t>
            </w:r>
            <w:r>
              <w:rPr>
                <w:rFonts w:ascii="Times New Roman" w:cs="Times New Roman" w:eastAsia="Times New Roman" w:hAnsi="Times New Roman"/>
                <w:sz w:val="12"/>
                <w:szCs w:val="12"/>
                <w:b w:val="1"/>
                <w:bCs w:val="1"/>
                <w:color w:val="auto"/>
                <w:w w:val="98"/>
              </w:rPr>
              <w:t>(10)</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20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of Net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26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First-lien loan ($17,429 par, due 6/2020)</w:t>
            </w:r>
          </w:p>
        </w:tc>
        <w:tc>
          <w:tcPr>
            <w:tcW w:w="10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6/29/2018</w:t>
            </w:r>
          </w:p>
        </w:tc>
        <w:tc>
          <w:tcPr>
            <w:tcW w:w="140" w:type="dxa"/>
            <w:vAlign w:val="bottom"/>
            <w:vMerge w:val="continue"/>
          </w:tcPr>
          <w:p>
            <w:pPr>
              <w:spacing w:after="0"/>
              <w:rPr>
                <w:sz w:val="13"/>
                <w:szCs w:val="13"/>
                <w:color w:val="auto"/>
              </w:rPr>
            </w:pPr>
          </w:p>
        </w:tc>
        <w:tc>
          <w:tcPr>
            <w:tcW w:w="8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L + 9.00%</w:t>
            </w:r>
          </w:p>
        </w:tc>
        <w:tc>
          <w:tcPr>
            <w:tcW w:w="76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11.50%</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17,428</w:t>
            </w:r>
          </w:p>
        </w:tc>
        <w:tc>
          <w:tcPr>
            <w:tcW w:w="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17,212</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31,940</w:t>
            </w:r>
          </w:p>
        </w:tc>
        <w:tc>
          <w:tcPr>
            <w:tcW w:w="14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31,595</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Secured note ($30,610 par, due 9/2026)</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1/5/2017</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8.38%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8.38%</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30,493</w:t>
            </w:r>
          </w:p>
        </w:tc>
        <w:tc>
          <w:tcPr>
            <w:tcW w:w="1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31,529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1"/>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Secured note ($74,950 par, due 10/2020)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10/5/2015</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7.75%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7.75%</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74,611</w:t>
            </w:r>
          </w:p>
        </w:tc>
        <w:tc>
          <w:tcPr>
            <w:tcW w:w="14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76,824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105,104</w:t>
            </w:r>
          </w:p>
        </w:tc>
        <w:tc>
          <w:tcPr>
            <w:tcW w:w="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108,353</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0"/>
        </w:trPr>
        <w:tc>
          <w:tcPr>
            <w:tcW w:w="2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ABL FILO term loan ($32,500 par, due</w:t>
            </w: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780" w:type="dxa"/>
            <w:vAlign w:val="bottom"/>
            <w:gridSpan w:val="3"/>
            <w:vMerge w:val="continue"/>
          </w:tcPr>
          <w:p>
            <w:pPr>
              <w:spacing w:after="0"/>
              <w:rPr>
                <w:sz w:val="24"/>
                <w:szCs w:val="2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9/6/2017</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L + 7.75%</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10.36%</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32,197</w:t>
            </w:r>
          </w:p>
        </w:tc>
        <w:tc>
          <w:tcPr>
            <w:tcW w:w="2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32,825</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21"/>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4/2021)</w:t>
            </w: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6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($22,214 par, due 9/2020)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9/30/2015</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L + 8.25%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10.74%</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22,105</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21,992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2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Secured Promissory Note ($795 par, due</w:t>
            </w: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12/19/2018</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L + 8.25%</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10.74%</w:t>
            </w: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789</w:t>
            </w:r>
          </w:p>
        </w:tc>
        <w:tc>
          <w:tcPr>
            <w:tcW w:w="11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795</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8"/>
        </w:trPr>
        <w:tc>
          <w:tcPr>
            <w:tcW w:w="2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12/2020)</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3/1/2018</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L + 10.00%</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12.50%</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14,000</w:t>
            </w:r>
          </w:p>
        </w:tc>
        <w:tc>
          <w:tcPr>
            <w:tcW w:w="11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14,235</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2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ABL FILO term loan ($14,235 par, due</w:t>
            </w:r>
          </w:p>
        </w:tc>
        <w:tc>
          <w:tcPr>
            <w:tcW w:w="8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8/2022)</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ABL FILO term loan ($75,000 par, due</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2/11/2019</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L + 7.25%</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9.74%</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74,265</w:t>
            </w:r>
          </w:p>
        </w:tc>
        <w:tc>
          <w:tcPr>
            <w:tcW w:w="11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75,000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21"/>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2/2024)</w:t>
            </w: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6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143,356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144,847</w:t>
            </w:r>
          </w:p>
        </w:tc>
        <w:tc>
          <w:tcPr>
            <w:tcW w:w="16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($82,500 par, due 5/2023)</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5/4/2018</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L + 5.75%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8.24%</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81,101</w:t>
            </w:r>
          </w:p>
        </w:tc>
        <w:tc>
          <w:tcPr>
            <w:tcW w:w="1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84,188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1,759,407</w:t>
            </w:r>
          </w:p>
        </w:tc>
        <w:tc>
          <w:tcPr>
            <w:tcW w:w="14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1,783,406</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Preferred Units (4,441,090 units)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10/16/2018</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4,441</w:t>
            </w:r>
          </w:p>
        </w:tc>
        <w:tc>
          <w:tcPr>
            <w:tcW w:w="1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4,441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71"/>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Class A Units (1,262 units)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1/17/2018</w:t>
            </w: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1,262</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1,325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9"/>
        </w:trPr>
        <w:tc>
          <w:tcPr>
            <w:tcW w:w="2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Class B Units (517,020 units)</w:t>
            </w: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1/17/2018</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8"/>
        </w:trPr>
        <w:tc>
          <w:tcPr>
            <w:tcW w:w="2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Class A Shares (1,197 shares)</w:t>
            </w: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3/30/2018</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1,197</w:t>
            </w:r>
          </w:p>
        </w:tc>
        <w:tc>
          <w:tcPr>
            <w:tcW w:w="11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1,532</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Class B Shares (398,557 shares)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3/30/2018</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2,471</w:t>
            </w:r>
          </w:p>
        </w:tc>
        <w:tc>
          <w:tcPr>
            <w:tcW w:w="14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2,872</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Units (2,672,990 units)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10/31/2016</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3,828</w:t>
            </w:r>
          </w:p>
        </w:tc>
        <w:tc>
          <w:tcPr>
            <w:tcW w:w="1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3,560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71"/>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Series E Preferred Equity (214,132 shares)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8/7/2015</w:t>
            </w: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3,846</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7,481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62"/>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Shares (1,059 shares)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8/5/2015</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Shares (35,000 shares)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7/31/2017</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3,500</w:t>
            </w:r>
          </w:p>
        </w:tc>
        <w:tc>
          <w:tcPr>
            <w:tcW w:w="14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7,997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7,353</w:t>
            </w:r>
          </w:p>
        </w:tc>
        <w:tc>
          <w:tcPr>
            <w:tcW w:w="14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15,485</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Shares Class A (1,980 shares)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9/21/2018</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192</w:t>
            </w:r>
          </w:p>
        </w:tc>
        <w:tc>
          <w:tcPr>
            <w:tcW w:w="1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Shares (1,000 shares)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2/11/2019</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1,192</w:t>
            </w:r>
          </w:p>
        </w:tc>
        <w:tc>
          <w:tcPr>
            <w:tcW w:w="14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1,192</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Class A Units (27,690,171 units) </w:t>
            </w:r>
            <w:r>
              <w:rPr>
                <w:rFonts w:ascii="Times New Roman" w:cs="Times New Roman" w:eastAsia="Times New Roman" w:hAnsi="Times New Roman"/>
                <w:sz w:val="12"/>
                <w:szCs w:val="12"/>
                <w:color w:val="auto"/>
              </w:rPr>
              <w:t>(14)</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12/21/2018</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20,063</w:t>
            </w:r>
          </w:p>
        </w:tc>
        <w:tc>
          <w:tcPr>
            <w:tcW w:w="1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Shares (8,800,000 shares)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12/21/2018</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c>
          <w:tcPr>
            <w:tcW w:w="14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20,163</w:t>
            </w:r>
          </w:p>
        </w:tc>
        <w:tc>
          <w:tcPr>
            <w:tcW w:w="14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3,648</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-5322570</wp:posOffset>
            </wp:positionV>
            <wp:extent cx="714946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-4499610</wp:posOffset>
            </wp:positionV>
            <wp:extent cx="6995160" cy="1117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6995160" cy="11176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-4259580</wp:posOffset>
            </wp:positionV>
            <wp:extent cx="6995160" cy="939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-4062730</wp:posOffset>
            </wp:positionV>
            <wp:extent cx="6995160" cy="946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-3839845</wp:posOffset>
            </wp:positionV>
            <wp:extent cx="6995160" cy="939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-3548380</wp:posOffset>
            </wp:positionV>
            <wp:extent cx="6995160" cy="1028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-3256915</wp:posOffset>
            </wp:positionV>
            <wp:extent cx="699516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6995160" cy="188595"/>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-2853690</wp:posOffset>
            </wp:positionV>
            <wp:extent cx="6995160" cy="946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-2647950</wp:posOffset>
            </wp:positionV>
            <wp:extent cx="6995160" cy="939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-2425065</wp:posOffset>
            </wp:positionV>
            <wp:extent cx="6995160" cy="946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-2236470</wp:posOffset>
            </wp:positionV>
            <wp:extent cx="6995160" cy="1028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-2039620</wp:posOffset>
            </wp:positionV>
            <wp:extent cx="6995160" cy="946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-1851025</wp:posOffset>
            </wp:positionV>
            <wp:extent cx="6995160" cy="939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-1645285</wp:posOffset>
            </wp:positionV>
            <wp:extent cx="6995160" cy="946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-1439545</wp:posOffset>
            </wp:positionV>
            <wp:extent cx="6995160" cy="1028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-1242060</wp:posOffset>
            </wp:positionV>
            <wp:extent cx="6995160" cy="939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-1045210</wp:posOffset>
            </wp:positionV>
            <wp:extent cx="6995160" cy="939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-822325</wp:posOffset>
            </wp:positionV>
            <wp:extent cx="6995160" cy="939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-624840</wp:posOffset>
            </wp:positionV>
            <wp:extent cx="6995160" cy="946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-401955</wp:posOffset>
            </wp:positionV>
            <wp:extent cx="6995160" cy="939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-213995</wp:posOffset>
            </wp:positionV>
            <wp:extent cx="6995160" cy="946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6995160" cy="94615"/>
                    </a:xfrm>
                    <a:prstGeom prst="rect">
                      <a:avLst/>
                    </a:prstGeom>
                    <a:noFill/>
                  </pic:spPr>
                </pic:pic>
              </a:graphicData>
            </a:graphic>
          </wp:anchor>
        </w:drawing>
      </w:r>
    </w:p>
    <w:p>
      <w:pPr>
        <w:spacing w:after="0" w:line="12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2">
            <w:col w:w="2400" w:space="700"/>
            <w:col w:w="7980"/>
          </w:cols>
          <w:pgMar w:left="320" w:top="455" w:right="49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(1)</w:t>
            </w:r>
          </w:p>
        </w:tc>
        <w:tc>
          <w:tcPr>
            <w:tcW w:w="186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284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Rate and</w:t>
            </w:r>
          </w:p>
        </w:tc>
        <w:tc>
          <w:tcPr>
            <w:tcW w:w="7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2"/>
                <w:szCs w:val="12"/>
                <w:b w:val="1"/>
                <w:bCs w:val="1"/>
                <w:color w:val="auto"/>
              </w:rPr>
              <w:t>(10)</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840" w:type="dxa"/>
            <w:vAlign w:val="bottom"/>
            <w:gridSpan w:val="2"/>
            <w:vMerge w:val="continue"/>
          </w:tcPr>
          <w:p>
            <w:pPr>
              <w:spacing w:after="0"/>
              <w:rPr>
                <w:sz w:val="15"/>
                <w:szCs w:val="15"/>
                <w:color w:val="auto"/>
              </w:rPr>
            </w:pPr>
          </w:p>
        </w:tc>
        <w:tc>
          <w:tcPr>
            <w:tcW w:w="8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7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Spread</w:t>
            </w:r>
          </w:p>
        </w:tc>
        <w:tc>
          <w:tcPr>
            <w:tcW w:w="7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80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 xml:space="preserve">Cost </w:t>
            </w:r>
            <w:r>
              <w:rPr>
                <w:rFonts w:ascii="Times New Roman" w:cs="Times New Roman" w:eastAsia="Times New Roman" w:hAnsi="Times New Roman"/>
                <w:sz w:val="12"/>
                <w:szCs w:val="12"/>
                <w:b w:val="1"/>
                <w:bCs w:val="1"/>
                <w:color w:val="auto"/>
                <w:w w:val="98"/>
              </w:rPr>
              <w:t>(2)(8)</w:t>
            </w:r>
          </w:p>
        </w:tc>
        <w:tc>
          <w:tcPr>
            <w:tcW w:w="1040" w:type="dxa"/>
            <w:vAlign w:val="bottom"/>
            <w:gridSpan w:val="3"/>
            <w:vMerge w:val="continue"/>
          </w:tcPr>
          <w:p>
            <w:pPr>
              <w:spacing w:after="0"/>
              <w:rPr>
                <w:sz w:val="15"/>
                <w:szCs w:val="15"/>
                <w:color w:val="auto"/>
              </w:rPr>
            </w:pPr>
          </w:p>
        </w:tc>
        <w:tc>
          <w:tcPr>
            <w:tcW w:w="100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122"/>
        </w:trPr>
        <w:tc>
          <w:tcPr>
            <w:tcW w:w="264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Human resource support services</w:t>
            </w:r>
          </w:p>
        </w:tc>
        <w:tc>
          <w:tcPr>
            <w:tcW w:w="420" w:type="dxa"/>
            <w:vAlign w:val="bottom"/>
            <w:tcBorders>
              <w:top w:val="single" w:sz="8" w:color="CCEEFF"/>
            </w:tcBorders>
            <w:shd w:val="clear" w:color="auto" w:fill="CCEEFF"/>
          </w:tcPr>
          <w:p>
            <w:pPr>
              <w:spacing w:after="0"/>
              <w:rPr>
                <w:sz w:val="10"/>
                <w:szCs w:val="10"/>
                <w:color w:val="auto"/>
              </w:rPr>
            </w:pPr>
          </w:p>
        </w:tc>
        <w:tc>
          <w:tcPr>
            <w:tcW w:w="27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ClearCompany, LLC </w:t>
            </w:r>
            <w:r>
              <w:rPr>
                <w:rFonts w:ascii="Times New Roman" w:cs="Times New Roman" w:eastAsia="Times New Roman" w:hAnsi="Times New Roman"/>
                <w:sz w:val="12"/>
                <w:szCs w:val="12"/>
                <w:color w:val="auto"/>
              </w:rPr>
              <w:t>(13)(14)(15)</w:t>
            </w:r>
          </w:p>
        </w:tc>
        <w:tc>
          <w:tcPr>
            <w:tcW w:w="326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Class A Units (44,944 units)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8/24/2018</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2,014</w:t>
            </w:r>
          </w:p>
        </w:tc>
        <w:tc>
          <w:tcPr>
            <w:tcW w:w="2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2,014</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8"/>
        </w:trPr>
        <w:tc>
          <w:tcPr>
            <w:tcW w:w="2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42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xml:space="preserve">Riskonnect, Inc. </w:t>
            </w:r>
            <w:r>
              <w:rPr>
                <w:rFonts w:ascii="Times New Roman" w:cs="Times New Roman" w:eastAsia="Times New Roman" w:hAnsi="Times New Roman"/>
                <w:sz w:val="12"/>
                <w:szCs w:val="12"/>
                <w:color w:val="auto"/>
              </w:rPr>
              <w:t>(13)(14)</w:t>
            </w:r>
          </w:p>
        </w:tc>
        <w:tc>
          <w:tcPr>
            <w:tcW w:w="3260" w:type="dxa"/>
            <w:vAlign w:val="bottom"/>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Shares Class A (1,020 units)</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6/30/2017</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1,020</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1,020</w:t>
            </w:r>
          </w:p>
        </w:tc>
        <w:tc>
          <w:tcPr>
            <w:tcW w:w="10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326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Shares Class B (987,929 units)</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6/30/2017</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1,030</w:t>
            </w:r>
          </w:p>
        </w:tc>
        <w:tc>
          <w:tcPr>
            <w:tcW w:w="1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1,030</w:t>
            </w:r>
          </w:p>
        </w:tc>
        <w:tc>
          <w:tcPr>
            <w:tcW w:w="140" w:type="dxa"/>
            <w:vAlign w:val="bottom"/>
            <w:vMerge w:val="continue"/>
          </w:tcPr>
          <w:p>
            <w:pPr>
              <w:spacing w:after="0"/>
              <w:rPr>
                <w:sz w:val="14"/>
                <w:szCs w:val="14"/>
                <w:color w:val="auto"/>
              </w:rPr>
            </w:pPr>
          </w:p>
        </w:tc>
        <w:tc>
          <w:tcPr>
            <w:tcW w:w="100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9"/>
        </w:trPr>
        <w:tc>
          <w:tcPr>
            <w:tcW w:w="2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Marketing services</w:t>
            </w:r>
          </w:p>
        </w:tc>
        <w:tc>
          <w:tcPr>
            <w:tcW w:w="42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xml:space="preserve">Validity, Inc. </w:t>
            </w:r>
            <w:r>
              <w:rPr>
                <w:rFonts w:ascii="Times New Roman" w:cs="Times New Roman" w:eastAsia="Times New Roman" w:hAnsi="Times New Roman"/>
                <w:sz w:val="12"/>
                <w:szCs w:val="12"/>
                <w:color w:val="auto"/>
              </w:rPr>
              <w:t>(6)(13)(14)</w:t>
            </w:r>
          </w:p>
        </w:tc>
        <w:tc>
          <w:tcPr>
            <w:tcW w:w="3260" w:type="dxa"/>
            <w:vAlign w:val="bottom"/>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Series A Preferred Shares (3,840,000 shares)</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5/31/2018</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3,840</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3,840</w:t>
            </w:r>
          </w:p>
        </w:tc>
        <w:tc>
          <w:tcPr>
            <w:tcW w:w="10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24"/>
        </w:trPr>
        <w:tc>
          <w:tcPr>
            <w:tcW w:w="264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Oil, gas and consumable</w:t>
            </w:r>
          </w:p>
        </w:tc>
        <w:tc>
          <w:tcPr>
            <w:tcW w:w="42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fuels</w:t>
            </w:r>
          </w:p>
        </w:tc>
        <w:tc>
          <w:tcPr>
            <w:tcW w:w="42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Mississippi Resources, LLC </w:t>
            </w:r>
            <w:r>
              <w:rPr>
                <w:rFonts w:ascii="Times New Roman" w:cs="Times New Roman" w:eastAsia="Times New Roman" w:hAnsi="Times New Roman"/>
                <w:sz w:val="12"/>
                <w:szCs w:val="12"/>
                <w:color w:val="auto"/>
              </w:rPr>
              <w:t>(7)(13)(14)</w:t>
            </w:r>
          </w:p>
        </w:tc>
        <w:tc>
          <w:tcPr>
            <w:tcW w:w="326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Class A-1 Member Units (1,360 units)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5/3/2017</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10,366</w:t>
            </w:r>
          </w:p>
        </w:tc>
        <w:tc>
          <w:tcPr>
            <w:tcW w:w="2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2,021</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326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Class A-2 Member Units (933 units)</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6/4/2014</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8,874</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2"/>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Northern Oil and Gas, Inc. </w:t>
            </w:r>
            <w:r>
              <w:rPr>
                <w:rFonts w:ascii="Times New Roman" w:cs="Times New Roman" w:eastAsia="Times New Roman" w:hAnsi="Times New Roman"/>
                <w:sz w:val="12"/>
                <w:szCs w:val="12"/>
                <w:color w:val="auto"/>
              </w:rPr>
              <w:t>(12)(13)</w:t>
            </w:r>
          </w:p>
        </w:tc>
        <w:tc>
          <w:tcPr>
            <w:tcW w:w="326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Common Shares (493,316 shares)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5/15/2018</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1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19,980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Equity and Other Investments</w:t>
            </w:r>
          </w:p>
        </w:tc>
        <w:tc>
          <w:tcPr>
            <w:tcW w:w="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4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66,312</w:t>
            </w:r>
          </w:p>
        </w:tc>
        <w:tc>
          <w:tcPr>
            <w:tcW w:w="1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41,455</w:t>
            </w:r>
          </w:p>
        </w:tc>
        <w:tc>
          <w:tcPr>
            <w:tcW w:w="140" w:type="dxa"/>
            <w:vAlign w:val="bottom"/>
            <w:vMerge w:val="continue"/>
          </w:tcPr>
          <w:p>
            <w:pPr>
              <w:spacing w:after="0"/>
              <w:rPr>
                <w:sz w:val="13"/>
                <w:szCs w:val="13"/>
                <w:color w:val="auto"/>
              </w:rPr>
            </w:pPr>
          </w:p>
        </w:tc>
        <w:tc>
          <w:tcPr>
            <w:tcW w:w="100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Investments</w:t>
            </w:r>
          </w:p>
        </w:tc>
        <w:tc>
          <w:tcPr>
            <w:tcW w:w="42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1,825,719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1,824,861</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169.6%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portfolio company investments are subject to contractual restrictions on sales.</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amortized cost represents the original cost adjusted for the amortization of discounts and premiums, as applicable, on debt investments using the effective interest method.</w:t>
      </w:r>
    </w:p>
    <w:p>
      <w:pPr>
        <w:ind w:left="540" w:right="180" w:hanging="424"/>
        <w:spacing w:after="0" w:line="221" w:lineRule="auto"/>
        <w:tabs>
          <w:tab w:leader="none" w:pos="5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March 31, 2019.</w:t>
      </w:r>
    </w:p>
    <w:p>
      <w:pPr>
        <w:spacing w:after="0" w:line="1" w:lineRule="exact"/>
        <w:rPr>
          <w:rFonts w:ascii="Times New Roman" w:cs="Times New Roman" w:eastAsia="Times New Roman" w:hAnsi="Times New Roman"/>
          <w:sz w:val="14"/>
          <w:szCs w:val="14"/>
          <w:color w:val="auto"/>
        </w:rPr>
      </w:pPr>
    </w:p>
    <w:p>
      <w:pPr>
        <w:jc w:val="both"/>
        <w:ind w:left="540" w:right="220" w:hanging="424"/>
        <w:spacing w:after="0" w:line="221" w:lineRule="auto"/>
        <w:tabs>
          <w:tab w:leader="none" w:pos="5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16.5% of total assets as of March 31, 2019.</w:t>
      </w:r>
    </w:p>
    <w:p>
      <w:pPr>
        <w:jc w:val="both"/>
        <w:ind w:left="540" w:right="140" w:hanging="424"/>
        <w:spacing w:after="0" w:line="221" w:lineRule="auto"/>
        <w:tabs>
          <w:tab w:leader="none" w:pos="5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ind w:left="540" w:right="160" w:hanging="424"/>
        <w:spacing w:after="0" w:line="233" w:lineRule="auto"/>
        <w:tabs>
          <w:tab w:leader="none" w:pos="5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1940 Act, the Company is deemed to be an “Affiliated Person” of, as defined in the 1940 Act, this portfolio company, as the Company owns more than 5% of the portfolio company’s outstanding voting securities. Transactions during the three months ended March 31, 2019 in which the issuer was an Affiliated Person of the portfolio company are as follows:</w:t>
      </w:r>
    </w:p>
    <w:p>
      <w:pPr>
        <w:spacing w:after="0" w:line="28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160" w:type="dxa"/>
            <w:vAlign w:val="bottom"/>
            <w:gridSpan w:val="18"/>
          </w:tcPr>
          <w:p>
            <w:pPr>
              <w:ind w:left="760"/>
              <w:spacing w:after="0"/>
              <w:rPr>
                <w:sz w:val="20"/>
                <w:szCs w:val="20"/>
                <w:color w:val="auto"/>
              </w:rPr>
            </w:pPr>
            <w:r>
              <w:rPr>
                <w:rFonts w:ascii="Times New Roman" w:cs="Times New Roman" w:eastAsia="Times New Roman" w:hAnsi="Times New Roman"/>
                <w:sz w:val="14"/>
                <w:szCs w:val="14"/>
                <w:b w:val="1"/>
                <w:bCs w:val="1"/>
                <w:color w:val="auto"/>
              </w:rPr>
              <w:t>Non-controlled, Affiliated Investments during the three months ended March 31, 2019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5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18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50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8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38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00" w:type="dxa"/>
            <w:vAlign w:val="bottom"/>
            <w:tcBorders>
              <w:bottom w:val="single" w:sz="8" w:color="auto"/>
            </w:tcBorders>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48"/>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Additions (a)</w:t>
            </w:r>
          </w:p>
        </w:tc>
        <w:tc>
          <w:tcPr>
            <w:tcW w:w="13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Reductions (b)</w:t>
            </w:r>
          </w:p>
        </w:tc>
        <w:tc>
          <w:tcPr>
            <w:tcW w:w="100" w:type="dxa"/>
            <w:vAlign w:val="bottom"/>
          </w:tcPr>
          <w:p>
            <w:pPr>
              <w:spacing w:after="0"/>
              <w:rPr>
                <w:sz w:val="15"/>
                <w:szCs w:val="15"/>
                <w:color w:val="auto"/>
              </w:rPr>
            </w:pPr>
          </w:p>
        </w:tc>
        <w:tc>
          <w:tcPr>
            <w:tcW w:w="96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(Loss)</w:t>
            </w:r>
          </w:p>
        </w:tc>
        <w:tc>
          <w:tcPr>
            <w:tcW w:w="5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(Losses)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5"/>
                <w:szCs w:val="15"/>
                <w:color w:val="auto"/>
              </w:rPr>
            </w:pPr>
          </w:p>
        </w:tc>
        <w:tc>
          <w:tcPr>
            <w:tcW w:w="5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35"/>
        </w:trPr>
        <w:tc>
          <w:tcPr>
            <w:tcW w:w="2100" w:type="dxa"/>
            <w:vAlign w:val="bottom"/>
            <w:tcBorders>
              <w:top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AFS Technologies, Inc.</w:t>
            </w:r>
          </w:p>
        </w:tc>
        <w:tc>
          <w:tcPr>
            <w:tcW w:w="7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45,342</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8"/>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4,742</w:t>
            </w:r>
          </w:p>
        </w:tc>
        <w:tc>
          <w:tcPr>
            <w:tcW w:w="3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ind w:left="460"/>
              <w:spacing w:after="0" w:line="136" w:lineRule="exact"/>
              <w:rPr>
                <w:sz w:val="20"/>
                <w:szCs w:val="20"/>
                <w:color w:val="auto"/>
              </w:rPr>
            </w:pPr>
            <w:r>
              <w:rPr>
                <w:rFonts w:ascii="Times New Roman" w:cs="Times New Roman" w:eastAsia="Times New Roman" w:hAnsi="Times New Roman"/>
                <w:sz w:val="14"/>
                <w:szCs w:val="14"/>
                <w:color w:val="auto"/>
                <w:w w:val="78"/>
              </w:rPr>
              <w:t>(294)</w:t>
            </w:r>
          </w:p>
        </w:tc>
        <w:tc>
          <w:tcPr>
            <w:tcW w:w="4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279</w:t>
            </w: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gridSpan w:val="2"/>
            <w:shd w:val="clear" w:color="auto" w:fill="CCEEFF"/>
          </w:tcPr>
          <w:p>
            <w:pPr>
              <w:ind w:left="2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50,069</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ind w:left="120"/>
              <w:spacing w:after="0" w:line="136" w:lineRule="exact"/>
              <w:rPr>
                <w:sz w:val="20"/>
                <w:szCs w:val="20"/>
                <w:color w:val="auto"/>
              </w:rPr>
            </w:pPr>
            <w:r>
              <w:rPr>
                <w:rFonts w:ascii="Times New Roman" w:cs="Times New Roman" w:eastAsia="Times New Roman" w:hAnsi="Times New Roman"/>
                <w:sz w:val="14"/>
                <w:szCs w:val="14"/>
                <w:color w:val="auto"/>
                <w:w w:val="85"/>
              </w:rPr>
              <w:t>19</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1,248</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Validity, Inc.</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38,590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1,489</w:t>
            </w:r>
          </w:p>
        </w:tc>
        <w:tc>
          <w:tcPr>
            <w:tcW w:w="180" w:type="dxa"/>
            <w:vAlign w:val="bottom"/>
          </w:tcPr>
          <w:p>
            <w:pPr>
              <w:spacing w:after="0"/>
              <w:rPr>
                <w:sz w:val="12"/>
                <w:szCs w:val="12"/>
                <w:color w:val="auto"/>
              </w:rPr>
            </w:pPr>
          </w:p>
        </w:tc>
        <w:tc>
          <w:tcPr>
            <w:tcW w:w="11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2"/>
                <w:szCs w:val="12"/>
                <w:color w:val="auto"/>
              </w:rPr>
            </w:pPr>
          </w:p>
        </w:tc>
        <w:tc>
          <w:tcPr>
            <w:tcW w:w="4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39,993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1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83,932</w:t>
            </w:r>
          </w:p>
        </w:tc>
        <w:tc>
          <w:tcPr>
            <w:tcW w:w="3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6,231</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(528)</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427</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90,062</w:t>
            </w:r>
          </w:p>
        </w:tc>
        <w:tc>
          <w:tcPr>
            <w:tcW w:w="3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3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2,411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880" w:right="440" w:hanging="332"/>
        <w:spacing w:after="0" w:line="261" w:lineRule="auto"/>
        <w:tabs>
          <w:tab w:leader="none" w:pos="8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300" w:hanging="332"/>
        <w:spacing w:after="0" w:line="241" w:lineRule="auto"/>
        <w:tabs>
          <w:tab w:leader="none" w:pos="88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2" w:lineRule="exact"/>
        <w:rPr>
          <w:rFonts w:ascii="Times New Roman" w:cs="Times New Roman" w:eastAsia="Times New Roman" w:hAnsi="Times New Roman"/>
          <w:sz w:val="14"/>
          <w:szCs w:val="14"/>
          <w:color w:val="auto"/>
        </w:rPr>
      </w:pPr>
    </w:p>
    <w:p>
      <w:pPr>
        <w:ind w:left="540" w:right="80" w:hanging="424"/>
        <w:spacing w:after="0" w:line="236" w:lineRule="auto"/>
        <w:tabs>
          <w:tab w:leader="none" w:pos="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2019 in which the issuer was an Affiliated Person of and was deemed to Control a portfolio company are as follows:</w:t>
      </w:r>
    </w:p>
    <w:p>
      <w:pPr>
        <w:spacing w:after="0" w:line="2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6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auto"/>
              </w:rPr>
              <w:t>Controlled, Affiliated Investments during the three months ended March 31, 2019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2"/>
                <w:szCs w:val="12"/>
                <w:color w:val="auto"/>
              </w:rPr>
            </w:pPr>
          </w:p>
        </w:tc>
        <w:tc>
          <w:tcPr>
            <w:tcW w:w="110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5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18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68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8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38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00" w:type="dxa"/>
            <w:vAlign w:val="bottom"/>
            <w:tcBorders>
              <w:bottom w:val="single" w:sz="8" w:color="auto"/>
            </w:tcBorders>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8"/>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Additions (a)</w:t>
            </w:r>
          </w:p>
        </w:tc>
        <w:tc>
          <w:tcPr>
            <w:tcW w:w="180" w:type="dxa"/>
            <w:vAlign w:val="bottom"/>
          </w:tcPr>
          <w:p>
            <w:pPr>
              <w:spacing w:after="0"/>
              <w:rPr>
                <w:sz w:val="15"/>
                <w:szCs w:val="15"/>
                <w:color w:val="auto"/>
              </w:rPr>
            </w:pPr>
          </w:p>
        </w:tc>
        <w:tc>
          <w:tcPr>
            <w:tcW w:w="9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Reductions (b)</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(Loss)</w:t>
            </w:r>
          </w:p>
        </w:tc>
        <w:tc>
          <w:tcPr>
            <w:tcW w:w="5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(Losses)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5"/>
                <w:szCs w:val="15"/>
                <w:color w:val="auto"/>
              </w:rPr>
            </w:pPr>
          </w:p>
        </w:tc>
        <w:tc>
          <w:tcPr>
            <w:tcW w:w="5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36"/>
        </w:trPr>
        <w:tc>
          <w:tcPr>
            <w:tcW w:w="2280" w:type="dxa"/>
            <w:vAlign w:val="bottom"/>
            <w:tcBorders>
              <w:top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IRGSE Holding Corp.</w:t>
            </w:r>
          </w:p>
        </w:tc>
        <w:tc>
          <w:tcPr>
            <w:tcW w:w="6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34,527</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center"/>
              <w:ind w:left="268"/>
              <w:spacing w:after="0" w:line="136" w:lineRule="exact"/>
              <w:rPr>
                <w:sz w:val="20"/>
                <w:szCs w:val="20"/>
                <w:color w:val="auto"/>
              </w:rPr>
            </w:pPr>
            <w:r>
              <w:rPr>
                <w:rFonts w:ascii="Times New Roman" w:cs="Times New Roman" w:eastAsia="Times New Roman" w:hAnsi="Times New Roman"/>
                <w:sz w:val="14"/>
                <w:szCs w:val="14"/>
                <w:color w:val="auto"/>
              </w:rPr>
              <w:t>1,262</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ind w:left="5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(922)</w:t>
            </w:r>
          </w:p>
        </w:tc>
        <w:tc>
          <w:tcPr>
            <w:tcW w:w="4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34,867</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w w:val="71"/>
              </w:rPr>
              <w:t>5</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937</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Mississippi Resources, LLC</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21,978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(2,745)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19,233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56,505</w:t>
            </w:r>
          </w:p>
        </w:tc>
        <w:tc>
          <w:tcPr>
            <w:tcW w:w="32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1,262</w:t>
            </w:r>
          </w:p>
        </w:tc>
        <w:tc>
          <w:tcPr>
            <w:tcW w:w="3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(3,667)</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54,100</w:t>
            </w:r>
          </w:p>
        </w:tc>
        <w:tc>
          <w:tcPr>
            <w:tcW w:w="3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3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1,439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880" w:right="440" w:hanging="332"/>
        <w:spacing w:after="0" w:line="233" w:lineRule="auto"/>
        <w:tabs>
          <w:tab w:leader="none" w:pos="88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ind w:left="880" w:right="300" w:hanging="332"/>
        <w:spacing w:after="0" w:line="233" w:lineRule="auto"/>
        <w:tabs>
          <w:tab w:leader="none" w:pos="88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2" w:lineRule="exact"/>
        <w:rPr>
          <w:rFonts w:ascii="Times New Roman" w:cs="Times New Roman" w:eastAsia="Times New Roman" w:hAnsi="Times New Roman"/>
          <w:sz w:val="14"/>
          <w:szCs w:val="14"/>
          <w:color w:val="auto"/>
        </w:rPr>
      </w:pPr>
    </w:p>
    <w:p>
      <w:pPr>
        <w:ind w:left="540" w:right="240" w:hanging="424"/>
        <w:spacing w:after="0" w:line="233" w:lineRule="auto"/>
        <w:tabs>
          <w:tab w:leader="none" w:pos="5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2019, the estimated cost basis of investments for U.S. federal tax purposes was $1,825,595, resulting in estimated gross unrealized gains and losses of $86,883 and $82,732, respectively.</w:t>
      </w:r>
    </w:p>
    <w:p>
      <w:pPr>
        <w:ind w:left="540" w:right="280" w:hanging="424"/>
        <w:spacing w:after="0" w:line="221" w:lineRule="auto"/>
        <w:tabs>
          <w:tab w:leader="none" w:pos="5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investments contain a fixed rate structure. The Company entered into an interest rate swap agreement to swap to a floating rate. Refer to Note 5 to our consolidated financial statements in our 2019 Q1 Quarterly Report for further information related to the Company’s interest rate swaps on investments.</w:t>
      </w:r>
    </w:p>
    <w:p>
      <w:pPr>
        <w:ind w:left="540" w:right="100" w:hanging="424"/>
        <w:spacing w:after="0" w:line="221" w:lineRule="auto"/>
        <w:tabs>
          <w:tab w:leader="none" w:pos="5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accordance with Financial Accounting Standards Board Accounting Standards Codification 820,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(“ASC 820”), unless otherwise indicated, the fair values of all investments were determined using significant unobservable inputs and are considered Level 3 investments. See Note 6 to our consolidated financial statements in our 2019 Q1 Quarterly Report for further information related to investments at fair value.</w:t>
      </w:r>
    </w:p>
    <w:p>
      <w:pPr>
        <w:ind w:left="540" w:right="300" w:hanging="424"/>
        <w:spacing w:after="0" w:line="221" w:lineRule="auto"/>
        <w:tabs>
          <w:tab w:leader="none" w:pos="5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valued using observable inputs and is considered a Level 2 investment. See Note 6 to our consolidated financial statements in our 2019 Q1 Quarterly Report for further information related to investments at fair value.</w:t>
      </w:r>
    </w:p>
    <w:p>
      <w:pPr>
        <w:ind w:left="540" w:right="300" w:hanging="424"/>
        <w:spacing w:after="0" w:line="221" w:lineRule="auto"/>
        <w:tabs>
          <w:tab w:leader="none" w:pos="5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valued using observable inputs and is considered a Level 1 investment. See Note 6 to our consolidated financial statements in our 2019 Q1 Quarterly Report for further information related to investments at fair value.</w:t>
      </w:r>
    </w:p>
    <w:p>
      <w:pPr>
        <w:ind w:left="540" w:hanging="424"/>
        <w:spacing w:after="0" w:line="221" w:lineRule="auto"/>
        <w:tabs>
          <w:tab w:leader="none" w:pos="5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equity investment is non-income producing.</w:t>
      </w:r>
    </w:p>
    <w:p>
      <w:pPr>
        <w:ind w:left="540" w:right="140" w:hanging="424"/>
        <w:spacing w:after="0" w:line="221" w:lineRule="auto"/>
        <w:tabs>
          <w:tab w:leader="none" w:pos="5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acquired in transaction exempt from registration under the Securities Act of 1933, and may be deemed to be “restricted securities” under the Securities Act. As of March 31, 2019, the aggregate fair value of these securities is $15,652, or 1.5% of the Company’s net assets.</w:t>
      </w:r>
    </w:p>
    <w:p>
      <w:pPr>
        <w:ind w:left="540" w:hanging="424"/>
        <w:spacing w:after="0"/>
        <w:tabs>
          <w:tab w:leader="none" w:pos="5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of equity investments may occur through a holding company or partnership.</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information in the sections entitled “Election of Directors” and “Corporate Governance” in our 2019 Annual Proxy.</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 AND OTHER AGREEMENTS</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the section entitled “Management Agreements” in Part I, Item 1 of our 2018 Annual Report and in Note 3 to our consolidated financial statements in our 2019 Q1 Quarterly Report is incorporated herein by reference.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RELATED-PARTY TRANSACTIONS AND CERTAIN RELATIONSHIPS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the section entitled “Certain Relationships and Related Party Transactions” in our 2019 Annual Proxy is incorporated herein by reference.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CONTROL PERSONS AND PRINCIPAL STOCKHOLDERS</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the sections entitled “Election of Directors” and “Security Ownership of Certain Beneficial Owners and Management” in our 2019 Annual Proxy is incorporated herein by reference.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229"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II, Item 7 of our 2018 Annual Report and in Part I, Item 2 of our 2019 Q1 Quarterly Report, which are incorporated herein by reference.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121"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w:t>
      </w:r>
    </w:p>
    <w:p>
      <w:pPr>
        <w:spacing w:after="0" w:line="63"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of our common stock disclosed in the most recent periodic report that we filed with the SEC;</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3" w:lineRule="exact"/>
        <w:rPr>
          <w:sz w:val="20"/>
          <w:szCs w:val="20"/>
          <w:color w:val="auto"/>
        </w:rPr>
      </w:pPr>
    </w:p>
    <w:p>
      <w:pPr>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SALES OF COMMON STOCK BELOW NET ASSET VALUE</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w:t>
      </w:r>
    </w:p>
    <w:p>
      <w:pPr>
        <w:spacing w:after="0" w:line="85"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our directors have determined that any such sale would be in the best interests of us and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be issued does not exceed 25% of our then-outstanding common stock immediately prior to each such offering.</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There is no limit on the percentage below net asset value per share at which shares may be sold by us or the number of offerings, each for up to 25% of our then-outstanding common stock, that we may conduct under the approval for the one-year period that authorization is granted.</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making a determination that an offering of common stock at a price below its net asset value per share pursuant to the approval is in our and our stockholders’ best interests, our Board will consider a variety of factors including:</w:t>
      </w:r>
    </w:p>
    <w:p>
      <w:pPr>
        <w:spacing w:after="0" w:line="67" w:lineRule="exact"/>
        <w:rPr>
          <w:sz w:val="20"/>
          <w:szCs w:val="20"/>
          <w:color w:val="auto"/>
        </w:rPr>
      </w:pPr>
    </w:p>
    <w:p>
      <w:pPr>
        <w:ind w:left="1080" w:right="1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per share by which the offering price per share and the net proceeds per share are less than our most recently determined net asset value per share;</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of recent market prices of our common stock to net asset value per share and the potential impact of the offering on the market price per share of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estimated offering price would closely approximate the market value of shares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impact of being able to raise capital during the current financial market difficulties;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new investors anticipated to acquire shares of our common stock in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of return on and quality, type and availability of investments;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available to us.</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76" w:lineRule="exact"/>
        <w:rPr>
          <w:sz w:val="20"/>
          <w:szCs w:val="20"/>
          <w:color w:val="auto"/>
        </w:rPr>
      </w:pPr>
    </w:p>
    <w:p>
      <w:pPr>
        <w:ind w:left="120" w:right="240" w:firstLine="440"/>
        <w:spacing w:after="0" w:line="253" w:lineRule="auto"/>
        <w:rPr>
          <w:sz w:val="20"/>
          <w:szCs w:val="20"/>
          <w:color w:val="auto"/>
        </w:rPr>
      </w:pPr>
      <w:r>
        <w:rPr>
          <w:rFonts w:ascii="Times New Roman" w:cs="Times New Roman" w:eastAsia="Times New Roman" w:hAnsi="Times New Roman"/>
          <w:sz w:val="18"/>
          <w:szCs w:val="18"/>
          <w:color w:val="auto"/>
        </w:rPr>
        <w:t>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 11.07 million shares of common stock at net proceeds to us of $8.50 per share, which would produce dilution of 6.67%, before we would reach the aggregate 15% limit.</w:t>
      </w:r>
    </w:p>
    <w:p>
      <w:pPr>
        <w:spacing w:after="0" w:line="19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Examples of Dilutive Effect of the Issuance of Shares Below NAV</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following three headings and accompanying tables explain and provide hypothetical examples on the impact of a public offering of our common stock at a price less than net asset value per share on three different types of investors:</w:t>
      </w:r>
    </w:p>
    <w:p>
      <w:pPr>
        <w:spacing w:after="0" w:line="67"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purchase a relatively small amount of shares in the offering or a relatively large amount of shares in the offering;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investors who become stockholders by purchasing shares in the offering.</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Not Participate in the Offering</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existing stockholders who do not participate in an offering of our common stock at a price below our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our assets, potential earning power and voting interests due to the offering. These stockholders may also experience a decline in the market price of their shares, which often reflects to some degree announced or potential increases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and decreases in net asset value per share. This decrease could be more pronounced as the size of the offering and level of discounts increase. There is no maximum level of discount from net asset value per share at which we may sell shares pursuant to such authority.</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chart illustrates the level of net asset value per share dilution that would be experienced by a nonparticipating stockholder in four different hypothetical offerings of different sizes and levels of discount from net asset value per share. It is not possible to predict the level of market price decline that may occur. Actual sales prices and discounts may differ from the presentation below.</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20"/>
          </w:cols>
          <w:pgMar w:left="320" w:top="455" w:right="6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example assumes that we have 65.4 million shares outstanding, $1.7 billion in total assets and $0.7 billion in total liabilities (all figures correspond to actual data as of December 31, 2018). The current net asset value and net asset value per share are thus $1.1 billion and $16.25 per share. The chart illustrates the dilutive effect on Stockholder A of (a) an offering of 3.3 million shares of common stock (5% of the outstanding shares) at $15.44 per share after offering expenses and commissions (a 5% discount from net asset value per share), (b) an offering of 6.5 million shares of common stock (10% of the outstanding shares) at $14.63 per share after offering expenses and commissions (a 10% discount from net asset value per share), (c) an offering of 13.1 million shares of common stock (20% of the outstanding shares) at $13.00 per share after offering expenses and commissions (a 20% discount from net asset value per share), and (d) an offering of 16.4 million shares of common stock (25% of the outstanding shares) at $12.19 per share after offering expenses and commissions (a 25% discount from net asset value per share). The prospectus supplement pursuant to which any discounted offering is made will include a chart based on the actual number of shares of common stock in such offering and the actual discount to the most recently determined net asset value per share. It is not possible to predict the level of market price decline that may occur. These examples are provided for illustrative purposes only.</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80" w:type="dxa"/>
            <w:vAlign w:val="bottom"/>
          </w:tcPr>
          <w:p>
            <w:pPr>
              <w:spacing w:after="0"/>
              <w:rPr>
                <w:sz w:val="15"/>
                <w:szCs w:val="15"/>
                <w:color w:val="auto"/>
              </w:rPr>
            </w:pPr>
          </w:p>
        </w:tc>
        <w:tc>
          <w:tcPr>
            <w:tcW w:w="16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Example 4</w:t>
            </w:r>
          </w:p>
        </w:tc>
        <w:tc>
          <w:tcPr>
            <w:tcW w:w="0" w:type="dxa"/>
            <w:vAlign w:val="bottom"/>
          </w:tcPr>
          <w:p>
            <w:pPr>
              <w:spacing w:after="0"/>
              <w:rPr>
                <w:sz w:val="1"/>
                <w:szCs w:val="1"/>
                <w:color w:val="auto"/>
              </w:rPr>
            </w:pPr>
          </w:p>
        </w:tc>
      </w:tr>
      <w:tr>
        <w:trPr>
          <w:trHeight w:val="117"/>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5% Offering at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10% Offering at</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20% Offering at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tcPr>
          <w:p>
            <w:pPr>
              <w:spacing w:after="0"/>
              <w:rPr>
                <w:sz w:val="15"/>
                <w:szCs w:val="15"/>
                <w:color w:val="auto"/>
              </w:rPr>
            </w:pPr>
          </w:p>
        </w:tc>
        <w:tc>
          <w:tcPr>
            <w:tcW w:w="16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5% Discount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10% Discount</w:t>
            </w:r>
          </w:p>
        </w:tc>
        <w:tc>
          <w:tcPr>
            <w:tcW w:w="80" w:type="dxa"/>
            <w:vAlign w:val="bottom"/>
          </w:tcPr>
          <w:p>
            <w:pPr>
              <w:spacing w:after="0"/>
              <w:rPr>
                <w:sz w:val="15"/>
                <w:szCs w:val="15"/>
                <w:color w:val="auto"/>
              </w:rPr>
            </w:pPr>
          </w:p>
        </w:tc>
        <w:tc>
          <w:tcPr>
            <w:tcW w:w="16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 Discount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25% Discount</w:t>
            </w:r>
          </w:p>
        </w:tc>
        <w:tc>
          <w:tcPr>
            <w:tcW w:w="0" w:type="dxa"/>
            <w:vAlign w:val="bottom"/>
          </w:tcPr>
          <w:p>
            <w:pPr>
              <w:spacing w:after="0"/>
              <w:rPr>
                <w:sz w:val="1"/>
                <w:szCs w:val="1"/>
                <w:color w:val="auto"/>
              </w:rPr>
            </w:pPr>
          </w:p>
        </w:tc>
      </w:tr>
      <w:tr>
        <w:trPr>
          <w:trHeight w:val="104"/>
        </w:trPr>
        <w:tc>
          <w:tcPr>
            <w:tcW w:w="2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20" w:type="dxa"/>
            <w:vAlign w:val="bottom"/>
            <w:tcBorders>
              <w:top w:val="single" w:sz="8" w:color="auto"/>
            </w:tcBorders>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Borders>
              <w:top w:val="single" w:sz="8" w:color="auto"/>
            </w:tcBorders>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9"/>
                <w:szCs w:val="9"/>
                <w:color w:val="auto"/>
              </w:rPr>
            </w:pPr>
          </w:p>
        </w:tc>
        <w:tc>
          <w:tcPr>
            <w:tcW w:w="1000" w:type="dxa"/>
            <w:vAlign w:val="bottom"/>
            <w:tcBorders>
              <w:top w:val="single" w:sz="8" w:color="auto"/>
            </w:tcBorders>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Sale Below</w:t>
            </w: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2"/>
              </w:rPr>
              <w:t>NAV</w:t>
            </w:r>
          </w:p>
        </w:tc>
        <w:tc>
          <w:tcPr>
            <w:tcW w:w="8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28"/>
        </w:trPr>
        <w:tc>
          <w:tcPr>
            <w:tcW w:w="27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Price per Share to Public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15.39</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13.68</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12.83</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Proceeds per Share to Issuer</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15.44</w:t>
            </w: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14.63</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12.19</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Decrease/Increase to Net Asset Value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Shares Outstanding</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w w:val="98"/>
              </w:rPr>
              <w:t>65,412,817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68,683,458</w:t>
            </w: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71,954,099</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w w:val="98"/>
              </w:rPr>
              <w:t>78,495,380</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8"/>
              </w:rPr>
              <w:t>81,766,021</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Asset Value per Share</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16.21</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16.11</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(0.89%)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15.71</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15.44</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Dilution to Nonparticipating Stockholder</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Shares Held by Stockholder 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65,413</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65,413</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65,413</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65,413</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65,413</w:t>
            </w: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Percentage Held by Stockholder 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26"/>
        </w:trPr>
        <w:tc>
          <w:tcPr>
            <w:tcW w:w="276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Total Net Asset Value Held by</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1,063,202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1,060,662</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(0.24%)</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1,053,519</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(0.91%)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1,027,732</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(3.34%)</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1,010,008</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71"/>
        </w:trPr>
        <w:tc>
          <w:tcPr>
            <w:tcW w:w="27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Stockholder A</w:t>
            </w:r>
          </w:p>
        </w:tc>
        <w:tc>
          <w:tcPr>
            <w:tcW w:w="1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Total Investment by Stockholder A</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1,063,202</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1,063,202</w:t>
            </w: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1,063,202</w:t>
            </w: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1,063,202</w:t>
            </w: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1,063,202</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(Assumed to be $16.25 per Share)</w:t>
            </w:r>
          </w:p>
        </w:tc>
        <w:tc>
          <w:tcPr>
            <w:tcW w:w="1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Total Dilution to Stockholder A (Total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Net Asset Value Less Total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(2,539)</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(9,682)</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(35,470)</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(53,194)</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Investment)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Investment per Share Held by</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Stockholder A (Assumed to be $16.25</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16.25</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16.25</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16.25</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16.25</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16.25</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per Share on Shares Held Prior to Sale)</w:t>
            </w:r>
          </w:p>
        </w:tc>
        <w:tc>
          <w:tcPr>
            <w:tcW w:w="1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Net Asset Value per Share Held by</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16.21</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16.11</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15.71</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15.44</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Stockholder A</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Dilution per Share Held by Stockholder</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 (Net Asset Value per Share Less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(0.04)</w:t>
            </w: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(0.14)</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(0.54)</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(0.81)</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Investment per Share)</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Percentage Dilution to Stockholder A</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(Dilution per Share Divided by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(0.89%)</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88"/>
        </w:trPr>
        <w:tc>
          <w:tcPr>
            <w:tcW w:w="27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Investment per Share)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55" w:right="4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Participate in the Offering</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existing stockholders who participate in an offering at a price below net asset value per share or who buy additional shares in the secondary market at the same or lower price as we obtain in the offering (after expenses and commissions) 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40"/>
          </w:cols>
          <w:pgMar w:left="320" w:top="455" w:right="5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13.1 million shares) rather than its 0.10% proportionate share and (b) 150% of such percentage (i.e., 0.15% of an offering of 13.1 million shares) rather than its 0.10% proportionate share.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26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50% Participation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150% Participation</w:t>
            </w:r>
          </w:p>
        </w:tc>
        <w:tc>
          <w:tcPr>
            <w:tcW w:w="0" w:type="dxa"/>
            <w:vAlign w:val="bottom"/>
          </w:tcPr>
          <w:p>
            <w:pPr>
              <w:spacing w:after="0"/>
              <w:rPr>
                <w:sz w:val="1"/>
                <w:szCs w:val="1"/>
                <w:color w:val="auto"/>
              </w:rPr>
            </w:pPr>
          </w:p>
        </w:tc>
      </w:tr>
      <w:tr>
        <w:trPr>
          <w:trHeight w:val="117"/>
        </w:trPr>
        <w:tc>
          <w:tcPr>
            <w:tcW w:w="48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Following Sale</w:t>
            </w:r>
          </w:p>
        </w:tc>
        <w:tc>
          <w:tcPr>
            <w:tcW w:w="46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Following Sale</w:t>
            </w:r>
          </w:p>
        </w:tc>
        <w:tc>
          <w:tcPr>
            <w:tcW w:w="48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6"/>
              </w:rPr>
              <w:t>Below NAV</w:t>
            </w:r>
          </w:p>
        </w:tc>
        <w:tc>
          <w:tcPr>
            <w:tcW w:w="18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20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Price per Share to Public</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13.68</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13.68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13.00</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13.00</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Decrease/Increase to Net Asset Value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6"/>
              </w:rPr>
              <w:t>65,412,817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78,495,380</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6"/>
              </w:rPr>
              <w:t>78,495,380</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 Value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16.25</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15.71</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(3.31%)</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15.71</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194"/>
        </w:trPr>
        <w:tc>
          <w:tcPr>
            <w:tcW w:w="4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Dilution/Accretion to Participating Stockholder Shares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Held by Stockholder A</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Held by Stockholder A</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65,413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71,954</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85,037</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Percentage Held by Stockholder A</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0.09%</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0.11%</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Net Asset Value Held by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Stockholder 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1,063,202</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1,130,505</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6.33%</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1,336,051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25.66%</w:t>
            </w: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Investment by Stockholder A (Assumed to be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$16.25 per Share on Shares Held Prior to 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1,063,202</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1,152,714</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1,331,739</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Dilution/Accretion to Stockholder A (Total Net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Asset Value Less Total Investment)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(22,209)</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4,312</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Investment per Share Held by Stockholder A (Assumed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 be $16.25 per Share on Shares Held Prior to 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16.25</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16.02</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15.66</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 Value per Share Held by Stockholder A</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15.71</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15.71</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Dilution/Accretion per Share Held by Stockholder A (Net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Asset Value per Share Less Investment per Share)</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(0.31)</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0.05</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Percentage Dilution/Accretion to Stockholder A (Dilution</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per Share Divided by Investment per Share)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 on New Investors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tcPr>
          <w:p>
            <w:pPr>
              <w:spacing w:after="0"/>
              <w:rPr>
                <w:sz w:val="15"/>
                <w:szCs w:val="15"/>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80" w:type="dxa"/>
            <w:vAlign w:val="bottom"/>
          </w:tcPr>
          <w:p>
            <w:pPr>
              <w:spacing w:after="0"/>
              <w:rPr>
                <w:sz w:val="15"/>
                <w:szCs w:val="15"/>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Example 4</w:t>
            </w:r>
          </w:p>
        </w:tc>
        <w:tc>
          <w:tcPr>
            <w:tcW w:w="0" w:type="dxa"/>
            <w:vAlign w:val="bottom"/>
          </w:tcPr>
          <w:p>
            <w:pPr>
              <w:spacing w:after="0"/>
              <w:rPr>
                <w:sz w:val="1"/>
                <w:szCs w:val="1"/>
                <w:color w:val="auto"/>
              </w:rPr>
            </w:pPr>
          </w:p>
        </w:tc>
      </w:tr>
      <w:tr>
        <w:trPr>
          <w:trHeight w:val="129"/>
        </w:trPr>
        <w:tc>
          <w:tcPr>
            <w:tcW w:w="2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5% Offering at 5%</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10% Offering at</w:t>
            </w:r>
          </w:p>
        </w:tc>
        <w:tc>
          <w:tcPr>
            <w:tcW w:w="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 Offering at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25% Offering at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Sale</w:t>
            </w:r>
          </w:p>
        </w:tc>
        <w:tc>
          <w:tcPr>
            <w:tcW w:w="80" w:type="dxa"/>
            <w:vAlign w:val="bottom"/>
          </w:tcPr>
          <w:p>
            <w:pPr>
              <w:spacing w:after="0"/>
              <w:rPr>
                <w:sz w:val="14"/>
                <w:szCs w:val="14"/>
                <w:color w:val="auto"/>
              </w:rPr>
            </w:pPr>
          </w:p>
        </w:tc>
        <w:tc>
          <w:tcPr>
            <w:tcW w:w="960" w:type="dxa"/>
            <w:vAlign w:val="bottom"/>
            <w:gridSpan w:val="2"/>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10% Discount</w:t>
            </w:r>
          </w:p>
        </w:tc>
        <w:tc>
          <w:tcPr>
            <w:tcW w:w="8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25% Discount</w:t>
            </w:r>
          </w:p>
        </w:tc>
        <w:tc>
          <w:tcPr>
            <w:tcW w:w="0" w:type="dxa"/>
            <w:vAlign w:val="bottom"/>
          </w:tcPr>
          <w:p>
            <w:pPr>
              <w:spacing w:after="0"/>
              <w:rPr>
                <w:sz w:val="1"/>
                <w:szCs w:val="1"/>
                <w:color w:val="auto"/>
              </w:rPr>
            </w:pPr>
          </w:p>
        </w:tc>
      </w:tr>
      <w:tr>
        <w:trPr>
          <w:trHeight w:val="117"/>
        </w:trPr>
        <w:tc>
          <w:tcPr>
            <w:tcW w:w="2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Below</w:t>
            </w:r>
          </w:p>
        </w:tc>
        <w:tc>
          <w:tcPr>
            <w:tcW w:w="104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2"/>
              </w:rPr>
              <w:t>NAV</w:t>
            </w:r>
          </w:p>
        </w:tc>
        <w:tc>
          <w:tcPr>
            <w:tcW w:w="8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28"/>
        </w:trPr>
        <w:tc>
          <w:tcPr>
            <w:tcW w:w="26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Price per Share to Public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15.39</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13.68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12.83</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Proceeds per Share to Issuer</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15.44</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14.63</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12.19</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68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Decrease/Increase to Net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Asset Value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Shares Outstanding</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w w:val="98"/>
              </w:rPr>
              <w:t>65,412,817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68,683,458</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8"/>
              </w:rPr>
              <w:t>71,954,099</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78,495,380</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8"/>
              </w:rPr>
              <w:t>81,766,021</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Offered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3,270,641</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6,541,282</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13,082,563</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8"/>
              </w:rPr>
              <w:t>16,353,204</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Asset Value per Share</w:t>
            </w:r>
          </w:p>
        </w:tc>
        <w:tc>
          <w:tcPr>
            <w:tcW w:w="1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16.21</w:t>
            </w:r>
          </w:p>
        </w:tc>
        <w:tc>
          <w:tcPr>
            <w:tcW w:w="72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16.11</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(0.89%)</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15.71</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15.44</w:t>
            </w: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Dilution/Accretion to New Investor 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Held by Investor 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3,271</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6,541</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13,083</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16,353</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Percentage Held by Investor 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Net Asset Value Held by Investor A</w:t>
            </w:r>
          </w:p>
        </w:tc>
        <w:tc>
          <w:tcPr>
            <w:tcW w:w="1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53,033</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105,352</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205,546</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252,501</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Investment by Investor A (At Price to</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53,148</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100,701</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179,025</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209,794</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Public)</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Dilution/Accretion to Investor A (Total</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(115)</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4,650</w:t>
            </w: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26,521</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42,707</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Asset Value Less Total Investment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per Share Held by Investor 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15.39</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13.68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12.83</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Asset Value per Share Held by Investor</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16.21</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16.11</w:t>
            </w: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15.71</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15.44</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Dilution/Accretion per Share Held by</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Investor A (Net Asset Value per Share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(0.04)</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0.71</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2.03</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2.61</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Investment per Share)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Percentage Dilution/Accretion to Investor A</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(Dilution per Share Divided by Investment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4.62%</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14.81%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 Share)</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information under the heading “Dividend Reinvestment Plan” in Part I, Item I of our 2018 Annual Report is incorporated herein by reference.</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8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89"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subject to the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(except as discussed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securities holdings;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(except as discussed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(except as discussed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taxed as partnerships or partners therein;</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shares of common stock or preferred stock as part of a “straddle,” “hedge,” “conversion transaction,” “synthetic security” or other integrated investment;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our stock as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stock on behalf of another person as a nominee;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stockholders (as defined below) who have a “functional currency” other than the U.S. dollar.</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Finally, this summary does not address other U.S. federal tax consequences (such as estate, gift and Medicare contribution tax consequences) or any state, local or foreign tax consequences.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0"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 “Non-U.S. stockholder” is a beneficial owner of shares of our common stock or preferred stock that is not a U.S. stockholder and not an entity taxed as a partnership.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Regulated Investment Company Classification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maintain our status as a RIC, we must, among other things:</w:t>
      </w:r>
    </w:p>
    <w:p>
      <w:pPr>
        <w:spacing w:after="0" w:line="131"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 so that, subject to certain exceptions and cure periods, at the end of each quarter of our taxable year:</w:t>
      </w:r>
    </w:p>
    <w:p>
      <w:pPr>
        <w:spacing w:after="0" w:line="130" w:lineRule="exact"/>
        <w:rPr>
          <w:rFonts w:ascii="Times New Roman" w:cs="Times New Roman" w:eastAsia="Times New Roman" w:hAnsi="Times New Roman"/>
          <w:sz w:val="18"/>
          <w:szCs w:val="18"/>
          <w:color w:val="auto"/>
        </w:rPr>
      </w:pPr>
    </w:p>
    <w:p>
      <w:pPr>
        <w:ind w:left="1540" w:right="60" w:hanging="331"/>
        <w:spacing w:after="0" w:line="261"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85" w:lineRule="exact"/>
        <w:rPr>
          <w:rFonts w:ascii="Times New Roman" w:cs="Times New Roman" w:eastAsia="Times New Roman" w:hAnsi="Times New Roman"/>
          <w:sz w:val="18"/>
          <w:szCs w:val="18"/>
          <w:color w:val="auto"/>
        </w:rPr>
      </w:pPr>
    </w:p>
    <w:p>
      <w:pPr>
        <w:jc w:val="both"/>
        <w:ind w:left="1540" w:hanging="331"/>
        <w:spacing w:after="0" w:line="266"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76" w:lineRule="exact"/>
        <w:rPr>
          <w:sz w:val="20"/>
          <w:szCs w:val="20"/>
          <w:color w:val="auto"/>
        </w:rPr>
      </w:pPr>
    </w:p>
    <w:p>
      <w:pPr>
        <w:jc w:val="both"/>
        <w:ind w:left="120" w:right="240" w:firstLine="440"/>
        <w:spacing w:after="0" w:line="257"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91"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generally expect to distribute substantially all of our earnings on a quarterly basis, but will reinvest dividends on behalf of those investors that do not elect to receive their dividends in cash. See “Price Range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67" w:lineRule="exact"/>
        <w:rPr>
          <w:sz w:val="20"/>
          <w:szCs w:val="20"/>
          <w:color w:val="auto"/>
        </w:rPr>
      </w:pPr>
    </w:p>
    <w:p>
      <w:pPr>
        <w:ind w:left="1080" w:right="160" w:hanging="424"/>
        <w:spacing w:after="0" w:line="261"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85"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9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stockholder’s adjusted tax basis in such U.S. stockholder’s common stock or preferred stock and, after the adjusted tax basis is reduced to zero, will constitute capital gains to such U.S. stockholder.</w:t>
      </w:r>
    </w:p>
    <w:p>
      <w:pPr>
        <w:spacing w:after="0" w:line="162"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85" w:lineRule="exact"/>
        <w:rPr>
          <w:sz w:val="20"/>
          <w:szCs w:val="20"/>
          <w:color w:val="auto"/>
        </w:rPr>
      </w:pPr>
    </w:p>
    <w:p>
      <w:pPr>
        <w:ind w:left="1080" w:right="4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such amount in the 12-month period following the close of such prior taxable year; and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election in our U.S. federal corporate income tax return for the taxable year in which such undistributed investment company taxable income or net capital gains were recognized.</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87"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a U.S. stockholder sells or otherwise disposes of shares of our common stock or preferred stock, the U.S. stockholder will recognize gain or loss equal to the difference between its adjusted tax basis in the shares sold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w:t>
      </w:r>
    </w:p>
    <w:p>
      <w:pPr>
        <w:spacing w:after="0" w:line="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8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Under applicable U.S. Treasury regulations, if a U.S. stockholder recognizes a loss with respect to our common stock or preferred stock of</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8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Limitation with Respect to Certain U.S. Stockholders on Deductions for Certain Fees and Expenses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Tax-Exempt U.S. Stockholders</w:t>
      </w:r>
    </w:p>
    <w:p>
      <w:pPr>
        <w:spacing w:after="0" w:line="121" w:lineRule="exact"/>
        <w:rPr>
          <w:sz w:val="20"/>
          <w:szCs w:val="20"/>
          <w:color w:val="auto"/>
        </w:rPr>
      </w:pPr>
    </w:p>
    <w:p>
      <w:pPr>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Distributions of our investment company taxable income that we pay to a Non-U.S. stockholder will be subject to U.S. withholding tax at a 30% rate to the extent of our current or accumulated earnings and profits 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80"/>
          </w:cols>
          <w:pgMar w:left="320" w:top="455" w:right="49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case of distributions made by the Company (other than capital gain dividends),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8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320" w:top="455" w:right="5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SECURITIES</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our certificate of incorporation, which was adopted on March 8, 2011 and amended on March 10, 2014, our authorized capital stock consists of 400,000,000 shares of common stock, par value $0.01 per share, of which 66,031,076 shares are outstanding as of May 6, 2019, and 100,000,000 shares of preferred stock, par value $0.01 per share, of which no shares are outstanding as of May 6, 2019.</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presents our outstanding classes of securities as of May 6, 2019:</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980" w:type="dxa"/>
            <w:vAlign w:val="bottom"/>
            <w:gridSpan w:val="2"/>
            <w:vMerge w:val="restart"/>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Amount Held by Us or for Our</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 Outstanding Exclusive of</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860" w:type="dxa"/>
            <w:vAlign w:val="bottom"/>
            <w:vMerge w:val="restart"/>
          </w:tcPr>
          <w:p>
            <w:pPr>
              <w:spacing w:after="0"/>
              <w:rPr>
                <w:sz w:val="12"/>
                <w:szCs w:val="12"/>
                <w:color w:val="auto"/>
              </w:rPr>
            </w:pPr>
          </w:p>
        </w:tc>
        <w:tc>
          <w:tcPr>
            <w:tcW w:w="2320" w:type="dxa"/>
            <w:vAlign w:val="bottom"/>
            <w:gridSpan w:val="2"/>
            <w:vMerge w:val="restart"/>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2980" w:type="dxa"/>
            <w:vAlign w:val="bottom"/>
            <w:gridSpan w:val="2"/>
            <w:vMerge w:val="continue"/>
          </w:tcPr>
          <w:p>
            <w:pPr>
              <w:spacing w:after="0"/>
              <w:rPr>
                <w:sz w:val="12"/>
                <w:szCs w:val="12"/>
                <w:color w:val="auto"/>
              </w:rPr>
            </w:pPr>
          </w:p>
        </w:tc>
        <w:tc>
          <w:tcPr>
            <w:tcW w:w="21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Amount Held by Us or for Our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2320" w:type="dxa"/>
            <w:vAlign w:val="bottom"/>
            <w:gridSpan w:val="2"/>
            <w:vMerge w:val="continue"/>
          </w:tcPr>
          <w:p>
            <w:pPr>
              <w:spacing w:after="0"/>
              <w:rPr>
                <w:sz w:val="15"/>
                <w:szCs w:val="15"/>
                <w:color w:val="auto"/>
              </w:rPr>
            </w:pPr>
          </w:p>
        </w:tc>
        <w:tc>
          <w:tcPr>
            <w:tcW w:w="2980" w:type="dxa"/>
            <w:vAlign w:val="bottom"/>
            <w:gridSpan w:val="2"/>
          </w:tcPr>
          <w:p>
            <w:pPr>
              <w:ind w:left="700"/>
              <w:spacing w:after="0" w:line="160" w:lineRule="exact"/>
              <w:rPr>
                <w:sz w:val="20"/>
                <w:szCs w:val="20"/>
                <w:color w:val="auto"/>
              </w:rPr>
            </w:pPr>
            <w:r>
              <w:rPr>
                <w:rFonts w:ascii="Times New Roman" w:cs="Times New Roman" w:eastAsia="Times New Roman" w:hAnsi="Times New Roman"/>
                <w:sz w:val="14"/>
                <w:szCs w:val="14"/>
                <w:b w:val="1"/>
                <w:bCs w:val="1"/>
                <w:color w:val="auto"/>
              </w:rPr>
              <w:t>Account</w:t>
            </w:r>
          </w:p>
        </w:tc>
        <w:tc>
          <w:tcPr>
            <w:tcW w:w="214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Account</w:t>
            </w:r>
          </w:p>
        </w:tc>
        <w:tc>
          <w:tcPr>
            <w:tcW w:w="0" w:type="dxa"/>
            <w:vAlign w:val="bottom"/>
          </w:tcPr>
          <w:p>
            <w:pPr>
              <w:spacing w:after="0"/>
              <w:rPr>
                <w:sz w:val="1"/>
                <w:szCs w:val="1"/>
                <w:color w:val="auto"/>
              </w:rPr>
            </w:pPr>
          </w:p>
        </w:tc>
      </w:tr>
      <w:tr>
        <w:trPr>
          <w:trHeight w:val="203"/>
        </w:trPr>
        <w:tc>
          <w:tcPr>
            <w:tcW w:w="2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400,000,000</w:t>
            </w:r>
          </w:p>
        </w:tc>
        <w:tc>
          <w:tcPr>
            <w:tcW w:w="108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89,080</w:t>
            </w:r>
          </w:p>
        </w:tc>
        <w:tc>
          <w:tcPr>
            <w:tcW w:w="108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66,031,076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certification of incorporation limits our directors’ liability to the fullest extent permitted under Delaware corporate law and the 1940 Act.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Specifically, our directors will not be personally liable to us or our stockholders for any breach of fiduciary duty as a director, except for any liability:</w:t>
      </w:r>
    </w:p>
    <w:p>
      <w:pPr>
        <w:spacing w:after="0" w:line="112"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540" w:right="100" w:hanging="424"/>
        <w:spacing w:after="0" w:line="282"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willful misconduct, gross negligence, bad faith, reckless disregard or a knowing violation of law,</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which relates to unlawful payment of dividends or unlawful stock purchases or redemptions, or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92"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6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Under the Investment Advisory Agreement, we have, to the extent permitted by applicable law, indemnified the Adviser and certain of its affiliates, as described under “Management Agreements—Indemnification” in Part I, Item 1 of our 2018 Annual Report.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certificate of incorporation and bylaws provide that:</w:t>
      </w:r>
    </w:p>
    <w:p>
      <w:pPr>
        <w:spacing w:after="0" w:line="131" w:lineRule="exact"/>
        <w:rPr>
          <w:sz w:val="20"/>
          <w:szCs w:val="20"/>
          <w:color w:val="auto"/>
        </w:rPr>
      </w:pPr>
    </w:p>
    <w:p>
      <w:pPr>
        <w:ind w:left="1080" w:right="26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divided into three classes, as nearly equal in size as possible, with staggered three-year terms (and the number of directors shall not be fewer than four or greater than nine);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bylaws also provide that:</w:t>
      </w:r>
    </w:p>
    <w:p>
      <w:pPr>
        <w:spacing w:after="0" w:line="131" w:lineRule="exact"/>
        <w:rPr>
          <w:sz w:val="20"/>
          <w:szCs w:val="20"/>
          <w:color w:val="auto"/>
        </w:rPr>
      </w:pPr>
    </w:p>
    <w:p>
      <w:pPr>
        <w:ind w:left="10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by the stockholders at an annual meeting or special meeting of stockholders may only be taken if it is properly brought before such meeting;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10% holder transactions subject to these special approval requirements are:</w:t>
      </w:r>
    </w:p>
    <w:p>
      <w:pPr>
        <w:spacing w:after="0" w:line="131"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or any subsidiary of ours with or into any principal stockholder;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1940 Act defines “a majority of the outstanding voting securities” as the lesser of:</w:t>
      </w:r>
    </w:p>
    <w:p>
      <w:pPr>
        <w:spacing w:after="0" w:line="131" w:lineRule="exact"/>
        <w:rPr>
          <w:sz w:val="20"/>
          <w:szCs w:val="20"/>
          <w:color w:val="auto"/>
        </w:rPr>
      </w:pPr>
    </w:p>
    <w:p>
      <w:pPr>
        <w:ind w:left="1080" w:right="4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or more of the company’s voting stock present at a meeting if more than 50% of the outstanding voting securities of the company are present or represented by proxy;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outstanding voting securities of the company.</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5" w:right="49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PREFERRED STOCK</w:t>
      </w:r>
    </w:p>
    <w:p>
      <w:pPr>
        <w:spacing w:after="0" w:line="229"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73"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89" w:lineRule="exact"/>
        <w:rPr>
          <w:sz w:val="20"/>
          <w:szCs w:val="20"/>
          <w:color w:val="auto"/>
        </w:rPr>
      </w:pPr>
    </w:p>
    <w:p>
      <w:pPr>
        <w:ind w:left="108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150%; and</w:t>
      </w:r>
    </w:p>
    <w:p>
      <w:pPr>
        <w:spacing w:after="0" w:line="67" w:lineRule="exact"/>
        <w:rPr>
          <w:rFonts w:ascii="Times New Roman" w:cs="Times New Roman" w:eastAsia="Times New Roman" w:hAnsi="Times New Roman"/>
          <w:sz w:val="18"/>
          <w:szCs w:val="18"/>
          <w:color w:val="auto"/>
        </w:rPr>
      </w:pPr>
    </w:p>
    <w:p>
      <w:pPr>
        <w:jc w:val="both"/>
        <w:ind w:left="1080" w:right="140" w:hanging="424"/>
        <w:spacing w:after="0" w:line="312" w:lineRule="auto"/>
        <w:tabs>
          <w:tab w:leader="none" w:pos="10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67"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 including adjustments to the conversion price of such series;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50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powers, preferences and participating, optional or special rights of shares of such series, and the qualifications, limitations or restrictions thereof.</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9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860"/>
          </w:cols>
          <w:pgMar w:left="320" w:top="455" w:right="71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would describe the following terms of subscription rights in respect of which this prospectus is being delivered:</w:t>
      </w:r>
    </w:p>
    <w:p>
      <w:pPr>
        <w:spacing w:after="0" w:line="67" w:lineRule="exact"/>
        <w:rPr>
          <w:sz w:val="20"/>
          <w:szCs w:val="20"/>
          <w:color w:val="auto"/>
        </w:rPr>
      </w:pPr>
    </w:p>
    <w:p>
      <w:pPr>
        <w:ind w:left="1080" w:right="14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subscription rights (or method of calculation thereof);</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offering (which, in the case of transferable rights, will require a minimum of three shares to be held of record before a person is entitled to purchase an additional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subscription rights issued to each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 and the market on which they may be traded if they are transferable;</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applicable to the issuance or exercise of such subscription rights;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shall commence, and the date on which such right shall expire (subject to any extension);</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 and the terms of such over-subscription privilege;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right we may have in connection with such subscription rights offering;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exercise, settlement and other procedures and limitations relating to the transfer and exercise of such subscription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55" w:right="47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Dilutive Effects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WARRANTS</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1"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5" w:right="49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the debt securities are governed by a document called an “indenture.” An indenture is a contract between us and Wells Fargo Bank, National Association,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Default—Remedies If an Event of Default Occurs.” Second, the trustee performs certain administrative duties for us.</w:t>
      </w:r>
    </w:p>
    <w:p>
      <w:pPr>
        <w:spacing w:after="0" w:line="183" w:lineRule="exact"/>
        <w:rPr>
          <w:sz w:val="20"/>
          <w:szCs w:val="20"/>
          <w:color w:val="auto"/>
        </w:rPr>
      </w:pPr>
    </w:p>
    <w:p>
      <w:pPr>
        <w:ind w:left="120" w:right="260" w:firstLine="440"/>
        <w:spacing w:after="0" w:line="281" w:lineRule="auto"/>
        <w:rPr>
          <w:sz w:val="20"/>
          <w:szCs w:val="20"/>
          <w:color w:val="auto"/>
        </w:rPr>
      </w:pPr>
      <w:r>
        <w:rPr>
          <w:rFonts w:ascii="Times New Roman" w:cs="Times New Roman" w:eastAsia="Times New Roman" w:hAnsi="Times New Roman"/>
          <w:sz w:val="17"/>
          <w:szCs w:val="17"/>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w:t>
      </w:r>
    </w:p>
    <w:p>
      <w:pPr>
        <w:spacing w:after="0" w:line="16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which will accompany this prospectus, will describe the particular series of debt securities being offered, including, among other things:</w:t>
      </w:r>
    </w:p>
    <w:p>
      <w:pPr>
        <w:spacing w:after="0" w:line="67"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interest may be paid by issuing additional securities of the same series in lieu of cash (and the terms upon which any such interest may be paid by issuing additional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Borough of Manhattan in the City of New York, of payment, transfer, conversion and/or exchange of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 (if other than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55" w:right="47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is issuable in certificated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federal income tax implications, including, if applicable, U.S. federal income tax considerations relating to original issue discount;</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any security interest;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2019 Q1 Quarterly Report.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62"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provisions that give you protection in the event we issue a large amount of debt or we are acquired by another entity.</w:t>
      </w:r>
    </w:p>
    <w:p>
      <w:pPr>
        <w:spacing w:after="0" w:line="162"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on Global Securities</w:t>
      </w:r>
    </w:p>
    <w:p>
      <w:pPr>
        <w:spacing w:after="0" w:line="121" w:lineRule="exact"/>
        <w:rPr>
          <w:sz w:val="20"/>
          <w:szCs w:val="20"/>
          <w:color w:val="auto"/>
        </w:rPr>
      </w:pPr>
    </w:p>
    <w:p>
      <w:pPr>
        <w:jc w:val="both"/>
        <w:ind w:left="120" w:right="360" w:firstLine="440"/>
        <w:spacing w:after="0" w:line="289" w:lineRule="auto"/>
        <w:rPr>
          <w:sz w:val="20"/>
          <w:szCs w:val="20"/>
          <w:color w:val="auto"/>
        </w:rPr>
      </w:pPr>
      <w:r>
        <w:rPr>
          <w:rFonts w:ascii="Times New Roman" w:cs="Times New Roman" w:eastAsia="Times New Roman" w:hAnsi="Times New Roman"/>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on Certificated Securities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When Offices Are Closed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83"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they will receive payments on their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You will have rights if an Event of Default occurs in respect of the debt securities of your series and is not cured, as described later in this subsection.</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 (unless the prospectus supplement relating to such debt securities states otherwise):</w:t>
      </w:r>
    </w:p>
    <w:p>
      <w:pPr>
        <w:spacing w:after="0" w:line="67" w:lineRule="exact"/>
        <w:rPr>
          <w:sz w:val="20"/>
          <w:szCs w:val="20"/>
          <w:color w:val="auto"/>
        </w:rPr>
      </w:pPr>
    </w:p>
    <w:p>
      <w:pPr>
        <w:ind w:left="1080" w:right="34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 including upon any redemption date or required repurchase date.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when due, and such default is not cured within 30 days.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 and do not cure this default within five days.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 remain undischarged or unstayed for a period of 90 days.</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58" w:lineRule="auto"/>
        <w:rPr>
          <w:sz w:val="20"/>
          <w:szCs w:val="20"/>
          <w:color w:val="auto"/>
        </w:rPr>
      </w:pPr>
      <w:r>
        <w:rPr>
          <w:rFonts w:ascii="Times New Roman" w:cs="Times New Roman" w:eastAsia="Times New Roman" w:hAnsi="Times New Roman"/>
          <w:sz w:val="18"/>
          <w:szCs w:val="18"/>
          <w:color w:val="auto"/>
        </w:rPr>
        <w:t>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w:t>
      </w:r>
    </w:p>
    <w:p>
      <w:pPr>
        <w:spacing w:after="0" w:line="89" w:lineRule="exact"/>
        <w:rPr>
          <w:sz w:val="20"/>
          <w:szCs w:val="20"/>
          <w:color w:val="auto"/>
        </w:rPr>
      </w:pPr>
    </w:p>
    <w:p>
      <w:pPr>
        <w:ind w:left="108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applicable prospectus supplement occurs.</w:t>
      </w:r>
    </w:p>
    <w:p>
      <w:pPr>
        <w:spacing w:after="0" w:line="225"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Remedies If an Event of Default Occurs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67"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your trustee written notice that an Event of Default has occurred and remains uncured.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debt securities must not have given the trustee a direction inconsistent with the above notice during that 60 day period.</w:t>
      </w:r>
    </w:p>
    <w:p>
      <w:pPr>
        <w:spacing w:after="0" w:line="162" w:lineRule="exact"/>
        <w:rPr>
          <w:sz w:val="20"/>
          <w:szCs w:val="20"/>
          <w:color w:val="auto"/>
        </w:rPr>
      </w:pPr>
    </w:p>
    <w:p>
      <w:pPr>
        <w:jc w:val="center"/>
        <w:ind w:right="340"/>
        <w:spacing w:after="0" w:line="454" w:lineRule="auto"/>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 75</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principal, any premium or interest;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that cannot be modified or amended without the consent of each holder.</w:t>
      </w:r>
    </w:p>
    <w:p>
      <w:pPr>
        <w:spacing w:after="0" w:line="221"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5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1" w:lineRule="exact"/>
        <w:rPr>
          <w:sz w:val="20"/>
          <w:szCs w:val="20"/>
          <w:color w:val="auto"/>
        </w:rPr>
      </w:pPr>
    </w:p>
    <w:p>
      <w:pPr>
        <w:ind w:left="1080" w:right="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sell all or substantially all our assets, the resulting entity or transferee must be organized and existing in the United States and must agree to be legally responsible for our obligations under the debt securities.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no Default or Event of Default shall have happened and be continuing.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Covenants</w:t>
      </w:r>
    </w:p>
    <w:p>
      <w:pPr>
        <w:spacing w:after="0" w:line="135" w:lineRule="exact"/>
        <w:rPr>
          <w:sz w:val="20"/>
          <w:szCs w:val="20"/>
          <w:color w:val="auto"/>
        </w:rPr>
      </w:pPr>
    </w:p>
    <w:p>
      <w:pPr>
        <w:ind w:left="1080" w:hanging="424"/>
        <w:spacing w:after="0" w:line="266"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w:t>
      </w:r>
    </w:p>
    <w:p>
      <w:pPr>
        <w:spacing w:after="0" w:line="81"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Your Approval</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67" w:lineRule="exact"/>
        <w:rPr>
          <w:sz w:val="20"/>
          <w:szCs w:val="20"/>
          <w:color w:val="auto"/>
        </w:rPr>
      </w:pPr>
    </w:p>
    <w:p>
      <w:pPr>
        <w:ind w:left="5540" w:right="4620" w:hanging="4884"/>
        <w:spacing w:after="0" w:line="454" w:lineRule="auto"/>
        <w:tabs>
          <w:tab w:leader="none" w:pos="109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 76</w:t>
      </w:r>
    </w:p>
    <w:p>
      <w:pPr>
        <w:sectPr>
          <w:pgSz w:w="11900" w:h="16838" w:orient="portrait"/>
          <w:cols w:equalWidth="0" w:num="1">
            <w:col w:w="11080"/>
          </w:cols>
          <w:pgMar w:left="320" w:top="455" w:right="49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(except as otherwise described in the prospectus or prospectus supplement) or currency of payment on a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in the indenture in a manner that is adverse to outstanding holders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31" w:lineRule="exact"/>
        <w:rPr>
          <w:sz w:val="20"/>
          <w:szCs w:val="20"/>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Further Details Concerning Voting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80" w:right="10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prospectus supplement.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Defeasance—Full Defeasance.”</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89" w:lineRule="exact"/>
        <w:rPr>
          <w:sz w:val="20"/>
          <w:szCs w:val="20"/>
          <w:color w:val="auto"/>
        </w:rPr>
      </w:pPr>
    </w:p>
    <w:p>
      <w:pPr>
        <w:ind w:left="1080" w:right="160" w:hanging="424"/>
        <w:spacing w:after="0" w:line="266"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covenant defeasance have been complied with.</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Full Defeasance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67" w:lineRule="exact"/>
        <w:rPr>
          <w:sz w:val="20"/>
          <w:szCs w:val="20"/>
          <w:color w:val="auto"/>
        </w:rPr>
      </w:pPr>
    </w:p>
    <w:p>
      <w:pPr>
        <w:ind w:left="1080" w:right="160" w:hanging="424"/>
        <w:spacing w:after="0" w:line="26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8"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defeasance have been complied with.</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76"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80" w:right="360" w:hanging="424"/>
        <w:spacing w:after="0" w:line="261"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Secured Indebtedness and Ranking</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Wells Fargo Bank, National Association, will serve as the trustee under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121"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Debt Securities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8"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DTCC is the holding company for DTC, National Securities Clearing Corporation and Fixed Income Clearing Corporation, all of which are registered clearing agencies. DTCC is owned by the users of its regulated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80"/>
          </w:cols>
          <w:pgMar w:left="320" w:top="455" w:right="49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92"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87"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take no responsibility for the accuracy thereof.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such sales could occur, could adversely affect the prevailing market price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general, under Rule 144 under the Securities Act, or Rule 144, a person (or persons whose shares are aggregated) who is not deemed to have been an affiliate of ours at any time during the three-months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the section entitled “Regulation as a Business Development Company” in Part I, Item 1 of our 2018 Annual Report is incorporated herein by reference.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See “Available Information” below for more information regarding where you can obtain a copy of our codes of ethics and the Proxy Voting Policies and Procedures of our Advisor.</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660"/>
          </w:cols>
          <w:pgMar w:left="320" w:top="455" w:right="91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CUSTODIAN, TRANSFER AND DIVIDEND PAYING AGENT AND REGISTRAR</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securities and loan documents are held by State Street Bank and Trust Company pursuant to a custodian agreement, and State Street Bank and Trust Company also serves as our transfer agent, distribution paying agent and registrar. The principal business address of State Street Bank and Trust Company is 1 Lincoln Street, Boston, Massachusetts 02111.</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3"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pay brokerage commissions incurred in connection with purchases pursuant to the Company 10b5-1 Plan.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aggregate amount of brokerage commissions paid by us during the three most recent fiscal years is $118,545.27.</w:t>
      </w:r>
    </w:p>
    <w:p>
      <w:pPr>
        <w:spacing w:after="0" w:line="2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9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9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8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legality of the securities offered hereby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if any, by the counsel named in the prospectus supplement.</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TPG Specialty Lending, Inc. (and subsidiaries) as of December 31, 2018 and 2017, and for each of the years in the three-year period ended December 31, 2018 and the Senior Securities table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and appearing elsewhere herein, respectively, and upon the authority of said firm as experts in accounting and auditing.</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file with or submit to the SEC periodic and current reports, proxy statements and other information meeting the informational requirements of the Exchange Act.</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35th Floor, New York, NY 10106, Attention: TSLX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Proxy Voting Policies and Procedures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You may obtain information about how the Adviser voted proxies, free of charge, by making a written request for proxy voting information to: TSL Advisers, 888 7th Avenue, 35th Floor, New York, NY 10106, Attention: TSLX Investor Relations, or by emailing us at IRTSL@tpg.com. The SEC also maintains a website at http://www.sec.gov that contains such information.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w:t>
      </w:r>
    </w:p>
    <w:p>
      <w:pPr>
        <w:spacing w:after="0" w:line="93" w:lineRule="exact"/>
        <w:rPr>
          <w:sz w:val="20"/>
          <w:szCs w:val="20"/>
          <w:color w:val="auto"/>
        </w:rPr>
      </w:pPr>
    </w:p>
    <w:p>
      <w:pPr>
        <w:jc w:val="both"/>
        <w:ind w:left="1080" w:right="200" w:hanging="424"/>
        <w:spacing w:after="0" w:line="26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2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2018, filed with the SEC on </w:t>
      </w:r>
      <w:hyperlink r:id="rId226">
        <w:r>
          <w:rPr>
            <w:rFonts w:ascii="Times New Roman" w:cs="Times New Roman" w:eastAsia="Times New Roman" w:hAnsi="Times New Roman"/>
            <w:sz w:val="18"/>
            <w:szCs w:val="18"/>
            <w:u w:val="single" w:color="auto"/>
            <w:color w:val="0000EE"/>
          </w:rPr>
          <w:t>February 20, 2019</w:t>
        </w:r>
      </w:hyperlink>
      <w:r>
        <w:rPr>
          <w:rFonts w:ascii="Times New Roman" w:cs="Times New Roman" w:eastAsia="Times New Roman" w:hAnsi="Times New Roman"/>
          <w:sz w:val="18"/>
          <w:szCs w:val="18"/>
          <w:color w:val="auto"/>
        </w:rPr>
        <w:t xml:space="preserve">, including the information specifically incorporated by reference into the Form 10-K from our Definitive Proxy Statement on Schedule 14A relating to our 2019 Annual Meeting of Stockholders, filed with the SEC on </w:t>
      </w:r>
      <w:hyperlink r:id="rId227">
        <w:r>
          <w:rPr>
            <w:rFonts w:ascii="Times New Roman" w:cs="Times New Roman" w:eastAsia="Times New Roman" w:hAnsi="Times New Roman"/>
            <w:sz w:val="18"/>
            <w:szCs w:val="18"/>
            <w:u w:val="single" w:color="auto"/>
            <w:color w:val="0000EE"/>
          </w:rPr>
          <w:t>April 5, 2019</w:t>
        </w:r>
      </w:hyperlink>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22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three months ended March 31, 2019, filed with the SEC on May 2, 2019;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229">
        <w:r>
          <w:rPr>
            <w:rFonts w:ascii="Times New Roman" w:cs="Times New Roman" w:eastAsia="Times New Roman" w:hAnsi="Times New Roman"/>
            <w:sz w:val="18"/>
            <w:szCs w:val="18"/>
            <w:u w:val="single" w:color="auto"/>
            <w:color w:val="0000EE"/>
          </w:rPr>
          <w:t>February 1, 2019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30">
        <w:r>
          <w:rPr>
            <w:rFonts w:ascii="Times New Roman" w:cs="Times New Roman" w:eastAsia="Times New Roman" w:hAnsi="Times New Roman"/>
            <w:sz w:val="18"/>
            <w:szCs w:val="18"/>
            <w:u w:val="single" w:color="auto"/>
            <w:color w:val="0000EE"/>
          </w:rPr>
          <w:t>February 14, 2019</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87" w:lineRule="exact"/>
        <w:rPr>
          <w:rFonts w:ascii="Times New Roman" w:cs="Times New Roman" w:eastAsia="Times New Roman" w:hAnsi="Times New Roman"/>
          <w:sz w:val="18"/>
          <w:szCs w:val="18"/>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w:t>
      </w:r>
    </w:p>
    <w:p>
      <w:pPr>
        <w:spacing w:after="0" w:line="176"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7"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888 7th Avenue, 35th Floor</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New York, NY 10106</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TSLX Investor Relations</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Email: IRTSL@tpg.com.</w:t>
      </w:r>
    </w:p>
    <w:p>
      <w:pPr>
        <w:spacing w:after="0" w:line="207"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rFonts w:ascii="Times New Roman" w:cs="Times New Roman" w:eastAsia="Times New Roman" w:hAnsi="Times New Roman"/>
          <w:sz w:val="18"/>
          <w:szCs w:val="18"/>
          <w:color w:val="auto"/>
        </w:rPr>
      </w:pPr>
    </w:p>
    <w:p>
      <w:pPr>
        <w:spacing w:after="0" w:line="280"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2">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285115</wp:posOffset>
            </wp:positionV>
            <wp:extent cx="69951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4,000,000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1081405</wp:posOffset>
            </wp:positionV>
            <wp:extent cx="1585595" cy="4800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4">
                      <a:extLst>
                        <a:ext uri="{28A0092B-C50C-407E-A947-70E740481C1C}"/>
                      </a:extLst>
                    </a:blip>
                    <a:srcRect/>
                    <a:stretch>
                      <a:fillRect/>
                    </a:stretch>
                  </pic:blipFill>
                  <pic:spPr bwMode="auto">
                    <a:xfrm>
                      <a:off x="0" y="0"/>
                      <a:ext cx="158559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1147445</wp:posOffset>
            </wp:positionV>
            <wp:extent cx="14744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243840</wp:posOffset>
            </wp:positionV>
            <wp:extent cx="1474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ectPr>
          <w:pgSz w:w="11900" w:h="16838" w:orient="portrait"/>
          <w:cols w:equalWidth="0" w:num="1">
            <w:col w:w="11140"/>
          </w:cols>
          <w:pgMar w:left="320" w:top="455" w:right="439" w:bottom="438" w:gutter="0" w:footer="0" w:header="0"/>
        </w:sectPr>
      </w:pP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auto"/>
        </w:rPr>
        <w:t>Morgan Stanley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BofA Securities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Wells Fargo Securities</w:t>
      </w:r>
    </w:p>
    <w:p>
      <w:pPr>
        <w:spacing w:after="0" w:line="145" w:lineRule="exact"/>
        <w:rPr>
          <w:sz w:val="20"/>
          <w:szCs w:val="20"/>
          <w:color w:val="auto"/>
        </w:rPr>
      </w:pPr>
    </w:p>
    <w:p>
      <w:pPr>
        <w:sectPr>
          <w:pgSz w:w="11900" w:h="16838" w:orient="portrait"/>
          <w:cols w:equalWidth="0" w:num="3">
            <w:col w:w="4080" w:space="720"/>
            <w:col w:w="2980" w:space="720"/>
            <w:col w:w="2640"/>
          </w:cols>
          <w:pgMar w:left="320" w:top="455" w:right="439" w:bottom="438"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Keefe, Bruyette &amp; Woods,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Raymond James</w:t>
      </w:r>
    </w:p>
    <w:p>
      <w:pPr>
        <w:spacing w:after="0" w:line="20" w:lineRule="exact"/>
        <w:rPr>
          <w:sz w:val="20"/>
          <w:szCs w:val="20"/>
          <w:color w:val="auto"/>
        </w:rPr>
      </w:pPr>
      <w:r>
        <w:rPr>
          <w:sz w:val="20"/>
          <w:szCs w:val="20"/>
          <w:color w:val="auto"/>
        </w:rPr>
        <w:br w:type="column"/>
      </w:r>
    </w:p>
    <w:p>
      <w:pPr>
        <w:spacing w:after="0"/>
        <w:tabs>
          <w:tab w:leader="none" w:pos="1880" w:val="left"/>
        </w:tabs>
        <w:rPr>
          <w:sz w:val="20"/>
          <w:szCs w:val="20"/>
          <w:color w:val="auto"/>
        </w:rPr>
      </w:pPr>
      <w:r>
        <w:rPr>
          <w:rFonts w:ascii="Times New Roman" w:cs="Times New Roman" w:eastAsia="Times New Roman" w:hAnsi="Times New Roman"/>
          <w:sz w:val="17"/>
          <w:szCs w:val="17"/>
          <w:b w:val="1"/>
          <w:bCs w:val="1"/>
          <w:color w:val="auto"/>
        </w:rPr>
        <w:t>RBC Capital Markets</w:t>
      </w:r>
      <w:r>
        <w:rPr>
          <w:sz w:val="20"/>
          <w:szCs w:val="20"/>
          <w:color w:val="auto"/>
        </w:rPr>
        <w:tab/>
      </w:r>
      <w:r>
        <w:rPr>
          <w:rFonts w:ascii="Times New Roman" w:cs="Times New Roman" w:eastAsia="Times New Roman" w:hAnsi="Times New Roman"/>
          <w:sz w:val="16"/>
          <w:szCs w:val="16"/>
          <w:b w:val="1"/>
          <w:bCs w:val="1"/>
          <w:color w:val="auto"/>
        </w:rPr>
        <w:t>JMP Securities</w:t>
      </w:r>
    </w:p>
    <w:p>
      <w:pPr>
        <w:spacing w:after="0" w:line="31" w:lineRule="exact"/>
        <w:rPr>
          <w:sz w:val="20"/>
          <w:szCs w:val="20"/>
          <w:color w:val="auto"/>
        </w:rPr>
      </w:pPr>
    </w:p>
    <w:p>
      <w:pPr>
        <w:sectPr>
          <w:pgSz w:w="11900" w:h="16838" w:orient="portrait"/>
          <w:cols w:equalWidth="0" w:num="4">
            <w:col w:w="2920" w:space="720"/>
            <w:col w:w="1880" w:space="660"/>
            <w:col w:w="1240" w:space="720"/>
            <w:col w:w="3000"/>
          </w:cols>
          <w:pgMar w:left="320" w:top="455" w:right="439" w:bottom="438" w:gutter="0" w:footer="0" w:header="0"/>
          <w:type w:val="continuous"/>
        </w:sectPr>
      </w:pPr>
    </w:p>
    <w:p>
      <w:pPr>
        <w:ind w:left="4480"/>
        <w:spacing w:after="0"/>
        <w:rPr>
          <w:sz w:val="20"/>
          <w:szCs w:val="20"/>
          <w:color w:val="auto"/>
        </w:rPr>
      </w:pPr>
      <w:r>
        <w:rPr>
          <w:rFonts w:ascii="Times New Roman" w:cs="Times New Roman" w:eastAsia="Times New Roman" w:hAnsi="Times New Roman"/>
          <w:sz w:val="14"/>
          <w:szCs w:val="14"/>
          <w:b w:val="1"/>
          <w:bCs w:val="1"/>
          <w:i w:val="1"/>
          <w:iCs w:val="1"/>
          <w:color w:val="auto"/>
        </w:rPr>
        <w:t>A Stifel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1125220</wp:posOffset>
            </wp:positionV>
            <wp:extent cx="14744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5" w:right="439" w:bottom="43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February</w:t>
        <w:tab/>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491490</wp:posOffset>
            </wp:positionV>
            <wp:extent cx="699516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1140"/>
      </w:cols>
      <w:pgMar w:left="320" w:top="455" w:right="439" w:bottom="43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1)"/>
      <w:numFmt w:val="decimal"/>
      <w:start w:val="3"/>
    </w:lvl>
  </w:abstractNum>
  <w:abstractNum w:abstractNumId="6">
    <w:nsid w:val="725A06FB"/>
    <w:multiLevelType w:val="hybridMultilevel"/>
    <w:lvl w:ilvl="0">
      <w:lvlJc w:val="left"/>
      <w:lvlText w:val="(%1)"/>
      <w:numFmt w:val="decimal"/>
      <w:start w:val="6"/>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1)"/>
      <w:numFmt w:val="decimal"/>
      <w:start w:val="1"/>
    </w:lvl>
  </w:abstractNum>
  <w:abstractNum w:abstractNumId="9">
    <w:nsid w:val="7A6D8D3C"/>
    <w:multiLevelType w:val="hybridMultilevel"/>
    <w:lvl w:ilvl="0">
      <w:lvlJc w:val="left"/>
      <w:lvlText w:val="(%1)"/>
      <w:numFmt w:val="decimal"/>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1)"/>
      <w:numFmt w:val="decimal"/>
      <w:start w:val="3"/>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lvl w:ilvl="1">
      <w:lvlJc w:val="left"/>
      <w:lvlText w:val="•"/>
      <w:numFmt w:val="bullet"/>
      <w:start w:val="1"/>
    </w:lvl>
  </w:abstractNum>
  <w:abstractNum w:abstractNumId="16">
    <w:nsid w:val="684A481A"/>
    <w:multiLevelType w:val="hybridMultilevel"/>
    <w:lvl w:ilvl="0">
      <w:lvlJc w:val="left"/>
      <w:lvlText w:val="•"/>
      <w:numFmt w:val="bullet"/>
      <w:start w:val="1"/>
    </w:lvl>
    <w:lvl w:ilvl="1">
      <w:lvlJc w:val="left"/>
      <w:lvlText w:val="•"/>
      <w:numFmt w:val="bullet"/>
      <w:start w:val="1"/>
    </w:lvl>
  </w:abstractNum>
  <w:abstractNum w:abstractNumId="17">
    <w:nsid w:val="579478FE"/>
    <w:multiLevelType w:val="hybridMultilevel"/>
    <w:lvl w:ilvl="0">
      <w:lvlJc w:val="left"/>
      <w:lvlText w:val="•"/>
      <w:numFmt w:val="bullet"/>
      <w:start w:val="1"/>
    </w:lvl>
    <w:lvl w:ilvl="1">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1)"/>
      <w:numFmt w:val="decimal"/>
      <w:start w:val="817"/>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decimal"/>
      <w:start w:val="6"/>
    </w:lvl>
  </w:abstractNum>
  <w:abstractNum w:abstractNumId="25">
    <w:nsid w:val="520EEDD1"/>
    <w:multiLevelType w:val="hybridMultilevel"/>
    <w:lvl w:ilvl="0">
      <w:lvlJc w:val="left"/>
      <w:lvlText w:val="(%1)"/>
      <w:numFmt w:val="decimal"/>
      <w:start w:val="8"/>
    </w:lvl>
  </w:abstractNum>
  <w:abstractNum w:abstractNumId="26">
    <w:nsid w:val="374A3FE6"/>
    <w:multiLevelType w:val="hybridMultilevel"/>
    <w:lvl w:ilvl="0">
      <w:lvlJc w:val="left"/>
      <w:lvlText w:val="(%1)"/>
      <w:numFmt w:val="decimal"/>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lowerLetter"/>
      <w:start w:val="1"/>
    </w:lvl>
  </w:abstractNum>
  <w:abstractNum w:abstractNumId="38">
    <w:nsid w:val="741226BB"/>
    <w:multiLevelType w:val="hybridMultilevel"/>
    <w:lvl w:ilvl="0">
      <w:lvlJc w:val="left"/>
      <w:lvlText w:val="%1"/>
      <w:numFmt w:val="decimal"/>
      <w:start w:val="1"/>
    </w:lvl>
    <w:lvl w:ilvl="1">
      <w:lvlJc w:val="left"/>
      <w:lvlText w:val="(%2)"/>
      <w:numFmt w:val="lowerLetter"/>
      <w:start w:val="2"/>
    </w:lvl>
  </w:abstractNum>
  <w:abstractNum w:abstractNumId="39">
    <w:nsid w:val="D34B6A8"/>
    <w:multiLevelType w:val="hybridMultilevel"/>
    <w:lvl w:ilvl="0">
      <w:lvlJc w:val="left"/>
      <w:lvlText w:val="(%1)"/>
      <w:numFmt w:val="decimal"/>
      <w:start w:val="7"/>
    </w:lvl>
    <w:lvl w:ilvl="1">
      <w:lvlJc w:val="left"/>
      <w:lvlText w:val="%2"/>
      <w:numFmt w:val="lowerLetter"/>
      <w:start w:val="1"/>
    </w:lvl>
  </w:abstractNum>
  <w:abstractNum w:abstractNumId="40">
    <w:nsid w:val="10233C99"/>
    <w:multiLevelType w:val="hybridMultilevel"/>
    <w:lvl w:ilvl="0">
      <w:lvlJc w:val="left"/>
      <w:lvlText w:val="%1"/>
      <w:numFmt w:val="decimal"/>
      <w:start w:val="1"/>
    </w:lvl>
    <w:lvl w:ilvl="1">
      <w:lvlJc w:val="left"/>
      <w:lvlText w:val="(%2)"/>
      <w:numFmt w:val="lowerLetter"/>
      <w:start w:val="1"/>
    </w:lvl>
  </w:abstractNum>
  <w:abstractNum w:abstractNumId="41">
    <w:nsid w:val="3F6AB60F"/>
    <w:multiLevelType w:val="hybridMultilevel"/>
    <w:lvl w:ilvl="0">
      <w:lvlJc w:val="left"/>
      <w:lvlText w:val="(%1)"/>
      <w:numFmt w:val="decimal"/>
      <w:start w:val="8"/>
    </w:lvl>
    <w:lvl w:ilvl="1">
      <w:lvlJc w:val="left"/>
      <w:lvlText w:val="%2"/>
      <w:numFmt w:val="lowerLetter"/>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lvl w:ilvl="1">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1)"/>
      <w:numFmt w:val="lowerRoman"/>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
      <w:numFmt w:val="bullet"/>
      <w:start w:val="1"/>
    </w:lvl>
  </w:abstractNum>
  <w:abstractNum w:abstractNumId="79">
    <w:nsid w:val="4962813B"/>
    <w:multiLevelType w:val="hybridMultilevel"/>
    <w:lvl w:ilvl="0">
      <w:lvlJc w:val="left"/>
      <w:lvlText w:val="•"/>
      <w:numFmt w:val="bullet"/>
      <w:start w:val="1"/>
    </w:lvl>
  </w:abstractNum>
  <w:abstractNum w:abstractNumId="80">
    <w:nsid w:val="60B6DF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jpe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31" Type="http://schemas.openxmlformats.org/officeDocument/2006/relationships/image" Target="media/image214.png"/><Relationship Id="rId232" Type="http://schemas.openxmlformats.org/officeDocument/2006/relationships/image" Target="media/image215.png"/><Relationship Id="rId233" Type="http://schemas.openxmlformats.org/officeDocument/2006/relationships/image" Target="media/image216.png"/><Relationship Id="rId234" Type="http://schemas.openxmlformats.org/officeDocument/2006/relationships/image" Target="media/image217.jpeg"/><Relationship Id="rId235" Type="http://schemas.openxmlformats.org/officeDocument/2006/relationships/image" Target="media/image218.png"/><Relationship Id="rId236" Type="http://schemas.openxmlformats.org/officeDocument/2006/relationships/image" Target="media/image219.png"/><Relationship Id="rId237" Type="http://schemas.openxmlformats.org/officeDocument/2006/relationships/image" Target="media/image220.png"/><Relationship Id="rId238" Type="http://schemas.openxmlformats.org/officeDocument/2006/relationships/image" Target="media/image221.png"/><Relationship Id="rId239" Type="http://schemas.openxmlformats.org/officeDocument/2006/relationships/image" Target="media/image222.png"/><Relationship Id="rId50" Type="http://schemas.openxmlformats.org/officeDocument/2006/relationships/hyperlink" Target="http://www.sec.gov/Archives/edgar/data/1508655/000156459020005268/tslx-10k_20191231.htm" TargetMode="External"/><Relationship Id="rId51" Type="http://schemas.openxmlformats.org/officeDocument/2006/relationships/hyperlink" Target="http://www.sec.gov/Archives/edgar/data/1508655/000119312520110610/d917340ddef14a.htm" TargetMode="External"/><Relationship Id="rId52" Type="http://schemas.openxmlformats.org/officeDocument/2006/relationships/hyperlink" Target="http://www.sec.gov/Archives/edgar/data/1508655/000119312521021148/d110884d8k.htm" TargetMode="External"/><Relationship Id="rId53" Type="http://schemas.openxmlformats.org/officeDocument/2006/relationships/hyperlink" Target="http://www.sec.gov/Archives/edgar/data/1508655/000119312521027315/d114372d8k.htm" TargetMode="External"/><Relationship Id="rId54" Type="http://schemas.openxmlformats.org/officeDocument/2006/relationships/hyperlink" Target="http://www.sec.gov/Archives/edgar/data/1508655/000119312521030980/d257579d8k.htm" TargetMode="External"/><Relationship Id="rId226" Type="http://schemas.openxmlformats.org/officeDocument/2006/relationships/hyperlink" Target="http://www.sec.gov/Archives/edgar/data/1508655/000156459019003442/tslx-10k_20181231.htm" TargetMode="External"/><Relationship Id="rId227" Type="http://schemas.openxmlformats.org/officeDocument/2006/relationships/hyperlink" Target="http://www.sec.gov/Archives/edgar/data/1508655/000119312519099195/d928549ddef14a.htm" TargetMode="External"/><Relationship Id="rId228" Type="http://schemas.openxmlformats.org/officeDocument/2006/relationships/hyperlink" Target="http://www.sec.gov/Archives/edgar/data/1508655/000156459019015321/tslx-10q_20190331.htm" TargetMode="External"/><Relationship Id="rId229" Type="http://schemas.openxmlformats.org/officeDocument/2006/relationships/hyperlink" Target="http://www.sec.gov/Archives/edgar/data/1508655/000119312519025867/d642257d8k.htm" TargetMode="External"/><Relationship Id="rId230" Type="http://schemas.openxmlformats.org/officeDocument/2006/relationships/hyperlink" Target="http://www.sec.gov/Archives/edgar/data/1508655/000119312519041197/d71069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2021-02-18T15:43:13Z</dcterms:created>
  <dcterms:modified xsi:type="dcterms:W3CDTF">2021-02-18T15:43:13Z</dcterms:modified>
</cp:coreProperties>
</file>