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5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3"/>
          </w:tcPr>
          <w:p>
            <w:pPr>
              <w:jc w:val="center"/>
              <w:ind w:left="160"/>
              <w:spacing w:after="0"/>
              <w:rPr>
                <w:sz w:val="20"/>
                <w:szCs w:val="20"/>
                <w:color w:val="auto"/>
              </w:rPr>
            </w:pPr>
            <w:r>
              <w:rPr>
                <w:rFonts w:ascii="Times New Roman" w:cs="Times New Roman" w:eastAsia="Times New Roman" w:hAnsi="Times New Roman"/>
                <w:sz w:val="18"/>
                <w:szCs w:val="18"/>
                <w:b w:val="1"/>
                <w:bCs w:val="1"/>
                <w:color w:val="auto"/>
                <w:w w:val="99"/>
              </w:rPr>
              <w:t>Filed Pursuant to 424(b)(2)</w:t>
            </w:r>
          </w:p>
        </w:tc>
        <w:tc>
          <w:tcPr>
            <w:tcW w:w="0" w:type="dxa"/>
            <w:vAlign w:val="bottom"/>
          </w:tcPr>
          <w:p>
            <w:pPr>
              <w:spacing w:after="0"/>
              <w:rPr>
                <w:sz w:val="1"/>
                <w:szCs w:val="1"/>
                <w:color w:val="auto"/>
              </w:rPr>
            </w:pPr>
          </w:p>
        </w:tc>
      </w:tr>
      <w:tr>
        <w:trPr>
          <w:trHeight w:val="238"/>
        </w:trPr>
        <w:tc>
          <w:tcPr>
            <w:tcW w:w="30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13"/>
                <w:szCs w:val="13"/>
                <w:b w:val="1"/>
                <w:bCs w:val="1"/>
                <w:color w:val="FF4338"/>
                <w:w w:val="71"/>
              </w:rPr>
              <w:t>beenfiled</w:t>
            </w:r>
          </w:p>
        </w:tc>
        <w:tc>
          <w:tcPr>
            <w:tcW w:w="220" w:type="dxa"/>
            <w:vAlign w:val="bottom"/>
            <w:vMerge w:val="restart"/>
            <w:textDirection w:val="btLr"/>
          </w:tcPr>
          <w:p>
            <w:pPr>
              <w:ind w:left="48"/>
              <w:spacing w:after="0"/>
              <w:rPr>
                <w:sz w:val="20"/>
                <w:szCs w:val="20"/>
                <w:color w:val="auto"/>
              </w:rPr>
            </w:pPr>
            <w:r>
              <w:rPr>
                <w:rFonts w:ascii="Times New Roman" w:cs="Times New Roman" w:eastAsia="Times New Roman" w:hAnsi="Times New Roman"/>
                <w:sz w:val="15"/>
                <w:szCs w:val="15"/>
                <w:b w:val="1"/>
                <w:bCs w:val="1"/>
                <w:color w:val="FF4338"/>
                <w:w w:val="70"/>
              </w:rPr>
              <w:t>notan</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Registration No. 333-276252</w:t>
            </w:r>
          </w:p>
        </w:tc>
        <w:tc>
          <w:tcPr>
            <w:tcW w:w="0" w:type="dxa"/>
            <w:vAlign w:val="bottom"/>
          </w:tcPr>
          <w:p>
            <w:pPr>
              <w:spacing w:after="0"/>
              <w:rPr>
                <w:sz w:val="1"/>
                <w:szCs w:val="1"/>
                <w:color w:val="auto"/>
              </w:rPr>
            </w:pPr>
          </w:p>
        </w:tc>
      </w:tr>
      <w:tr>
        <w:trPr>
          <w:trHeight w:val="421"/>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gridSpan w:val="6"/>
          </w:tcPr>
          <w:p>
            <w:pPr>
              <w:jc w:val="center"/>
              <w:ind w:right="1429"/>
              <w:spacing w:after="0"/>
              <w:rPr>
                <w:sz w:val="20"/>
                <w:szCs w:val="20"/>
                <w:color w:val="auto"/>
              </w:rPr>
            </w:pPr>
            <w:r>
              <w:rPr>
                <w:rFonts w:ascii="Times New Roman" w:cs="Times New Roman" w:eastAsia="Times New Roman" w:hAnsi="Times New Roman"/>
                <w:sz w:val="14"/>
                <w:szCs w:val="14"/>
                <w:b w:val="1"/>
                <w:bCs w:val="1"/>
                <w:color w:val="FF4338"/>
              </w:rPr>
              <w:t>Subject to Completion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20" w:type="dxa"/>
            <w:vAlign w:val="bottom"/>
            <w:gridSpan w:val="7"/>
          </w:tcPr>
          <w:p>
            <w:pPr>
              <w:jc w:val="center"/>
              <w:ind w:left="481"/>
              <w:spacing w:after="0"/>
              <w:rPr>
                <w:sz w:val="20"/>
                <w:szCs w:val="20"/>
                <w:color w:val="auto"/>
              </w:rPr>
            </w:pPr>
            <w:r>
              <w:rPr>
                <w:rFonts w:ascii="Times New Roman" w:cs="Times New Roman" w:eastAsia="Times New Roman" w:hAnsi="Times New Roman"/>
                <w:sz w:val="14"/>
                <w:szCs w:val="14"/>
                <w:b w:val="1"/>
                <w:bCs w:val="1"/>
                <w:color w:val="FF4338"/>
              </w:rPr>
              <w:t>Preliminary Prospectus Supplement dated February 18, 2025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has</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5"/>
              </w:rPr>
              <w:t>are</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71"/>
              </w:rPr>
              <w:t> </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vMerge w:val="restart"/>
            <w:textDirection w:val="btLr"/>
          </w:tcPr>
          <w:p>
            <w:pPr>
              <w:ind w:left="49"/>
              <w:spacing w:after="0"/>
              <w:rPr>
                <w:sz w:val="20"/>
                <w:szCs w:val="20"/>
                <w:color w:val="auto"/>
              </w:rPr>
            </w:pPr>
            <w:r>
              <w:rPr>
                <w:rFonts w:ascii="Times New Roman" w:cs="Times New Roman" w:eastAsia="Times New Roman" w:hAnsi="Times New Roman"/>
                <w:sz w:val="17"/>
                <w:szCs w:val="17"/>
                <w:b w:val="1"/>
                <w:bCs w:val="1"/>
                <w:color w:val="FF4338"/>
                <w:w w:val="73"/>
              </w:rPr>
              <w:t>isnotpermitted.</w:t>
            </w: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00" w:type="dxa"/>
            <w:vAlign w:val="bottom"/>
            <w:textDirection w:val="btLr"/>
          </w:tcPr>
          <w:p>
            <w:pPr>
              <w:ind w:left="174"/>
              <w:spacing w:after="0"/>
              <w:rPr>
                <w:sz w:val="20"/>
                <w:szCs w:val="20"/>
                <w:color w:val="auto"/>
              </w:rPr>
            </w:pPr>
            <w:r>
              <w:rPr>
                <w:rFonts w:ascii="Times New Roman" w:cs="Times New Roman" w:eastAsia="Times New Roman" w:hAnsi="Times New Roman"/>
                <w:sz w:val="11"/>
                <w:szCs w:val="11"/>
                <w:b w:val="1"/>
                <w:bCs w:val="1"/>
                <w:color w:val="FF4338"/>
                <w:w w:val="70"/>
              </w:rPr>
              <w:t>relatingtothesesecurities</w:t>
            </w:r>
          </w:p>
        </w:tc>
        <w:tc>
          <w:tcPr>
            <w:tcW w:w="220" w:type="dxa"/>
            <w:vAlign w:val="bottom"/>
            <w:textDirection w:val="btLr"/>
          </w:tcPr>
          <w:p>
            <w:pPr>
              <w:ind w:left="94"/>
              <w:spacing w:after="0"/>
              <w:rPr>
                <w:sz w:val="20"/>
                <w:szCs w:val="20"/>
                <w:color w:val="auto"/>
              </w:rPr>
            </w:pPr>
            <w:r>
              <w:rPr>
                <w:rFonts w:ascii="Times New Roman" w:cs="Times New Roman" w:eastAsia="Times New Roman" w:hAnsi="Times New Roman"/>
                <w:sz w:val="11"/>
                <w:szCs w:val="11"/>
                <w:b w:val="1"/>
                <w:bCs w:val="1"/>
                <w:color w:val="FF4338"/>
                <w:w w:val="70"/>
              </w:rPr>
              <w:t>accompanyingprospectus</w:t>
            </w:r>
          </w:p>
        </w:tc>
        <w:tc>
          <w:tcPr>
            <w:tcW w:w="460" w:type="dxa"/>
            <w:vAlign w:val="bottom"/>
            <w:vMerge w:val="continue"/>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Event (as defined herein). The Notes will be issued in minimum denominations of $2,000 and integral multiples of $1,000 in excess thereof.</w:t>
            </w: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440" w:type="dxa"/>
            <w:vAlign w:val="bottom"/>
            <w:gridSpan w:val="6"/>
          </w:tcPr>
          <w:p>
            <w:pPr>
              <w:jc w:val="center"/>
              <w:ind w:right="1449"/>
              <w:spacing w:after="0"/>
              <w:rPr>
                <w:sz w:val="20"/>
                <w:szCs w:val="20"/>
                <w:color w:val="auto"/>
              </w:rPr>
            </w:pPr>
            <w:r>
              <w:rPr>
                <w:rFonts w:ascii="Times New Roman" w:cs="Times New Roman" w:eastAsia="Times New Roman" w:hAnsi="Times New Roman"/>
                <w:sz w:val="20"/>
                <w:szCs w:val="20"/>
                <w:b w:val="1"/>
                <w:bCs w:val="1"/>
                <w:color w:val="auto"/>
                <w:w w:val="92"/>
              </w:rPr>
              <w:t>   % Notes due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 xml:space="preserve">We are offering $    </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   in aggregate principal amount of   % notes due 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512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 which we refer to as the Notes. The Notes will mature on            .</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4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We will pay interest on the Notes on            and            of each year, beginning on </w:t>
            </w:r>
          </w:p>
        </w:tc>
        <w:tc>
          <w:tcPr>
            <w:tcW w:w="5120" w:type="dxa"/>
            <w:vAlign w:val="bottom"/>
            <w:gridSpan w:val="9"/>
          </w:tcPr>
          <w:p>
            <w:pPr>
              <w:ind w:left="80"/>
              <w:spacing w:after="0" w:line="149" w:lineRule="exact"/>
              <w:rPr>
                <w:sz w:val="20"/>
                <w:szCs w:val="20"/>
                <w:color w:val="auto"/>
              </w:rPr>
            </w:pPr>
            <w:r>
              <w:rPr>
                <w:rFonts w:ascii="Times New Roman" w:cs="Times New Roman" w:eastAsia="Times New Roman" w:hAnsi="Times New Roman"/>
                <w:sz w:val="14"/>
                <w:szCs w:val="14"/>
                <w:color w:val="auto"/>
              </w:rPr>
              <w:t>         , 2025. We may redeem the Notes in whole or in part at any time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or from time to time at the redemption price discussed under the caption “Description of Notes—Optional Redemption” in this prospectus supplement. In</w:t>
            </w:r>
          </w:p>
        </w:tc>
        <w:tc>
          <w:tcPr>
            <w:tcW w:w="0" w:type="dxa"/>
            <w:vAlign w:val="bottom"/>
          </w:tcPr>
          <w:p>
            <w:pPr>
              <w:spacing w:after="0"/>
              <w:rPr>
                <w:sz w:val="1"/>
                <w:szCs w:val="1"/>
                <w:color w:val="auto"/>
              </w:rPr>
            </w:pPr>
          </w:p>
        </w:tc>
      </w:tr>
      <w:tr>
        <w:trPr>
          <w:trHeight w:val="188"/>
        </w:trPr>
        <w:tc>
          <w:tcPr>
            <w:tcW w:w="300" w:type="dxa"/>
            <w:vAlign w:val="bottom"/>
            <w:vMerge w:val="restart"/>
            <w:textDirection w:val="btLr"/>
          </w:tcPr>
          <w:p>
            <w:pPr>
              <w:ind w:left="289"/>
              <w:spacing w:after="0"/>
              <w:rPr>
                <w:sz w:val="20"/>
                <w:szCs w:val="20"/>
                <w:color w:val="auto"/>
              </w:rPr>
            </w:pPr>
            <w:r>
              <w:rPr>
                <w:rFonts w:ascii="Times New Roman" w:cs="Times New Roman" w:eastAsia="Times New Roman" w:hAnsi="Times New Roman"/>
                <w:sz w:val="1"/>
                <w:szCs w:val="1"/>
                <w:b w:val="1"/>
                <w:bCs w:val="1"/>
                <w:color w:val="FF4338"/>
              </w:rPr>
              <w:t>Theinformationinthispreliminaryprospectussupplementisnotcompleteandmaybechanged.Aregistrationstatement</w:t>
            </w:r>
          </w:p>
        </w:tc>
        <w:tc>
          <w:tcPr>
            <w:tcW w:w="220" w:type="dxa"/>
            <w:vAlign w:val="bottom"/>
            <w:vMerge w:val="restart"/>
            <w:textDirection w:val="btLr"/>
          </w:tcPr>
          <w:p>
            <w:pPr>
              <w:ind w:left="209"/>
              <w:spacing w:after="0"/>
              <w:rPr>
                <w:sz w:val="20"/>
                <w:szCs w:val="20"/>
                <w:color w:val="auto"/>
              </w:rPr>
            </w:pPr>
            <w:r>
              <w:rPr>
                <w:rFonts w:ascii="Times New Roman" w:cs="Times New Roman" w:eastAsia="Times New Roman" w:hAnsi="Times New Roman"/>
                <w:sz w:val="1"/>
                <w:szCs w:val="1"/>
                <w:b w:val="1"/>
                <w:bCs w:val="1"/>
                <w:color w:val="FF4338"/>
              </w:rPr>
              <w:t>withanddeclaredeffectivebytheSecuritiesandExchangeCommission.Thispreliminaryprospectussupplementandthe</w:t>
            </w:r>
          </w:p>
        </w:tc>
        <w:tc>
          <w:tcPr>
            <w:tcW w:w="460" w:type="dxa"/>
            <w:vAlign w:val="bottom"/>
            <w:vMerge w:val="restart"/>
            <w:textDirection w:val="btLr"/>
          </w:tcPr>
          <w:p>
            <w:pPr>
              <w:ind w:left="233"/>
              <w:spacing w:after="0"/>
              <w:rPr>
                <w:sz w:val="20"/>
                <w:szCs w:val="20"/>
                <w:color w:val="auto"/>
              </w:rPr>
            </w:pPr>
            <w:r>
              <w:rPr>
                <w:rFonts w:ascii="Times New Roman" w:cs="Times New Roman" w:eastAsia="Times New Roman" w:hAnsi="Times New Roman"/>
                <w:sz w:val="1"/>
                <w:szCs w:val="1"/>
                <w:b w:val="1"/>
                <w:bCs w:val="1"/>
                <w:color w:val="FF4338"/>
              </w:rPr>
              <w:t>offertosellthesesecuritiesandarenotsolicitinganoffertobuythesesecuritiesinanyjurisdictionwheretheofferorsale</w:t>
            </w:r>
          </w:p>
        </w:tc>
        <w:tc>
          <w:tcPr>
            <w:tcW w:w="101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addition, holders of the Notes can require us to repurchase the Notes at 100% of their principal amount upon the occurrence of a Change of Control Repurchase</w:t>
            </w:r>
          </w:p>
        </w:tc>
        <w:tc>
          <w:tcPr>
            <w:tcW w:w="0" w:type="dxa"/>
            <w:vAlign w:val="bottom"/>
          </w:tcPr>
          <w:p>
            <w:pPr>
              <w:spacing w:after="0"/>
              <w:rPr>
                <w:sz w:val="1"/>
                <w:szCs w:val="1"/>
                <w:color w:val="auto"/>
              </w:rPr>
            </w:pPr>
          </w:p>
        </w:tc>
      </w:tr>
      <w:tr>
        <w:trPr>
          <w:trHeight w:val="311"/>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The Notes will be our direct, general unsecured obligations and rank pari passu, or equal, with all existing and future unsecured unsubordinated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indebtedness issued by us, but will rank senior to our future indebtedness that is expressly subordinated in right of payment to the Notes. We are a specialty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finance company that has elected to be regulated as a business development company under the Investment Company Act of 1940. We seek to generate current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income primarily in U.S.-domiciled middle market companies through direct originations of senior secured loans and, to a lesser extent, originations of</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mezzanine and unsecured loans and investments in corporate bonds, equity securities and other instruments.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As of December 31, 2024, our investment portfolio consisted of investments in 116 portfolio companies (including one structured credit investment,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which includes each series of collateralized loan obligation as a separate portfolio company investment) with an aggregate fair value of $3,518.4 million. We</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intend to continue to pursue an investment strategy focused primarily on direct origination of loans to middle-market companies domiciled in the United States.</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Adviser, acts as our investment adviser and administrator. We and the Adviser are part of Sixth Street Partners, LLC, a global investment firm with over</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$100 billion in assets under management as of December 31, 2024.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rating agency. If these investments were rated, we believe that most would likely receive a rating of below investment grade (that is, below BBB- or Baa3, which</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is often referred to as “junk”). Our exposure to below investment grade instruments involves certain risks, including speculation with respect to the borrower’s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capacity to pay interest and repay principal. The debt investments in our portfolio generally have a significant portion of principal due at the maturity of the</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investment, which would result in a substantial loss to us if such borrowers are unable to refinance or repay their debt at maturity.</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Offered Rate, the Canadian Dollar Offered Rate, the Secured Overnight Financing Rate, the Sterling Overnight Interbank Average Rate or the Prime Rate. As a</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result, significant increases in such interest rate benchmarks (or any replacement benchmarks) in the future would make it more difficult for these borrowers to</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service their obligations under the debt investments that we hold.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2"/>
          </w:tcPr>
          <w:p>
            <w:pPr>
              <w:spacing w:after="0"/>
              <w:rPr>
                <w:sz w:val="13"/>
                <w:szCs w:val="13"/>
                <w:color w:val="auto"/>
              </w:rPr>
            </w:pPr>
          </w:p>
        </w:tc>
        <w:tc>
          <w:tcPr>
            <w:tcW w:w="1940" w:type="dxa"/>
            <w:vAlign w:val="bottom"/>
            <w:tcBorders>
              <w:bottom w:val="single" w:sz="8" w:color="auto"/>
            </w:tcBorders>
            <w:gridSpan w:val="4"/>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including the risk of leverage, that are described in the “</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section</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20" w:type="dxa"/>
            <w:vAlign w:val="bottom"/>
            <w:gridSpan w:val="13"/>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beginning on page S-10 of this prospectus supplement and page 24 of the accompanying prospectus and the matters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discussed in the documents incorporated or deemed to be incorporated by reference in this prospectus supplement and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the accompanying prospectus.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investing and keep such documents for future reference. This prospectus supplement and the accompanying prospectus, and the documents incorporated by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reference herein or therein, contain important information about us that a prospective investor ought to know before investing in our securities. Information</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required to be included in a Statement of Additional Information may be found in this prospectus supplement and the accompanying prospectus or incorporated</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by reference herein or therein. We also file periodic and current reports, proxy statements and other information about us with the Securities and Exchange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Commission (the “SEC”). This information is available free of charge by contacting us at 2100 McKinney Avenue,, Suite 1500, Dallas, TX 75201, Attention:</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TSLX Investor Relations, by emailing us at IRTSLX@sixthstreet.com or visiting our website at http://www.sixthstreetspecialtylending.com. Information on our</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website is not incorporated into or a part of this prospectus supplement or the accompanying prospectus. The SEC also maintains a website at</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http://www.sec.gov that contains this information.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Per Note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Public offering price </w:t>
            </w:r>
            <w:r>
              <w:rPr>
                <w:rFonts w:ascii="Times New Roman" w:cs="Times New Roman" w:eastAsia="Times New Roman" w:hAnsi="Times New Roman"/>
                <w:sz w:val="10"/>
                <w:szCs w:val="10"/>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Proceeds to us, before expenses </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6500" w:type="dxa"/>
            <w:vAlign w:val="bottom"/>
            <w:gridSpan w:val="11"/>
          </w:tcPr>
          <w:p>
            <w:pPr>
              <w:spacing w:after="0"/>
              <w:rPr>
                <w:sz w:val="12"/>
                <w:szCs w:val="12"/>
                <w:color w:val="auto"/>
              </w:rPr>
            </w:pPr>
          </w:p>
        </w:tc>
        <w:tc>
          <w:tcPr>
            <w:tcW w:w="1020" w:type="dxa"/>
            <w:vAlign w:val="bottom"/>
            <w:gridSpan w:val="3"/>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auto"/>
              </w:rPr>
              <w:t>(1)   The public offering price set forth above does not include accrued interest, if any. Interest on the Notes must be paid by the purchaser if the Notes are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 xml:space="preserve">delivered after       </w:t>
            </w:r>
          </w:p>
        </w:tc>
        <w:tc>
          <w:tcPr>
            <w:tcW w:w="2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   , 2025.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xml:space="preserve">(2)   Before deducting expenses payable by us related to this offering, estimated at $ </w:t>
            </w:r>
          </w:p>
        </w:tc>
        <w:tc>
          <w:tcPr>
            <w:tcW w:w="20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5"/>
                <w:szCs w:val="15"/>
                <w:b w:val="1"/>
                <w:bCs w:val="1"/>
                <w:color w:val="auto"/>
              </w:rPr>
              <w:t>THE NOTES ARE NOT DEPOSITS OR OTHER OBLIGATIONS OF A BANK AND ARE NOT INSURED BY THE FEDERAL</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2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DEPOSIT INSURANCE CORPORATION OR ANY OTHER GOVERNMENT AGENCY.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160" w:type="dxa"/>
            <w:vAlign w:val="bottom"/>
            <w:gridSpan w:val="17"/>
          </w:tcPr>
          <w:p>
            <w:pPr>
              <w:ind w:left="380"/>
              <w:spacing w:after="0"/>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b w:val="1"/>
                <w:bCs w:val="1"/>
                <w:color w:val="auto"/>
              </w:rPr>
              <w:t>supplement or the accompanying prospectus is truthful or complete. Any representation to the contrary is a criminal offense.</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20" w:type="dxa"/>
            <w:vAlign w:val="bottom"/>
            <w:gridSpan w:val="11"/>
          </w:tcPr>
          <w:p>
            <w:pPr>
              <w:ind w:left="380"/>
              <w:spacing w:after="0"/>
              <w:rPr>
                <w:sz w:val="20"/>
                <w:szCs w:val="20"/>
                <w:color w:val="auto"/>
              </w:rPr>
            </w:pPr>
            <w:r>
              <w:rPr>
                <w:rFonts w:ascii="Times New Roman" w:cs="Times New Roman" w:eastAsia="Times New Roman" w:hAnsi="Times New Roman"/>
                <w:sz w:val="14"/>
                <w:szCs w:val="14"/>
                <w:color w:val="auto"/>
              </w:rPr>
              <w:t xml:space="preserve">Delivery of the Notes in book-entry form only through The Depository Trust Company will be made on or about    </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2025.</w:t>
            </w: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40" w:type="dxa"/>
            <w:vAlign w:val="bottom"/>
            <w:tcBorders>
              <w:bottom w:val="single" w:sz="8" w:color="auto"/>
            </w:tcBorders>
            <w:gridSpan w:val="4"/>
          </w:tcPr>
          <w:p>
            <w:pPr>
              <w:spacing w:after="0"/>
              <w:rPr>
                <w:sz w:val="14"/>
                <w:szCs w:val="14"/>
                <w:color w:val="auto"/>
              </w:rPr>
            </w:pPr>
          </w:p>
        </w:tc>
        <w:tc>
          <w:tcPr>
            <w:tcW w:w="15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40" w:type="dxa"/>
            <w:vAlign w:val="bottom"/>
            <w:gridSpan w:val="6"/>
          </w:tcPr>
          <w:p>
            <w:pPr>
              <w:jc w:val="center"/>
              <w:ind w:right="1429"/>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J.P. Morgan</w:t>
            </w:r>
          </w:p>
        </w:tc>
        <w:tc>
          <w:tcPr>
            <w:tcW w:w="160" w:type="dxa"/>
            <w:vAlign w:val="bottom"/>
          </w:tcPr>
          <w:p>
            <w:pPr>
              <w:spacing w:after="0"/>
              <w:rPr>
                <w:sz w:val="24"/>
                <w:szCs w:val="24"/>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22"/>
                <w:szCs w:val="22"/>
                <w:b w:val="1"/>
                <w:bCs w:val="1"/>
                <w:color w:val="auto"/>
              </w:rPr>
              <w:t>SMBC Nikko</w:t>
            </w:r>
          </w:p>
        </w:tc>
        <w:tc>
          <w:tcPr>
            <w:tcW w:w="304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20" w:type="dxa"/>
            <w:vAlign w:val="bottom"/>
            <w:gridSpan w:val="7"/>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 2025.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-7142480</wp:posOffset>
            </wp:positionV>
            <wp:extent cx="1457325"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43751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3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6"/>
          </w:tcPr>
          <w:p>
            <w:pPr>
              <w:spacing w:after="0"/>
              <w:rPr>
                <w:sz w:val="17"/>
                <w:szCs w:val="17"/>
                <w:color w:val="auto"/>
              </w:rPr>
            </w:pPr>
          </w:p>
        </w:tc>
        <w:tc>
          <w:tcPr>
            <w:tcW w:w="5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TERMS OF THE NOTES AND THE OFFERING</w:t>
            </w:r>
          </w:p>
        </w:tc>
        <w:tc>
          <w:tcPr>
            <w:tcW w:w="61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CAPITALIZATION</w:t>
            </w:r>
          </w:p>
        </w:tc>
        <w:tc>
          <w:tcPr>
            <w:tcW w:w="9060" w:type="dxa"/>
            <w:vAlign w:val="bottom"/>
            <w:gridSpan w:val="2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CONSEQUENCES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9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9080" w:type="dxa"/>
            <w:vAlign w:val="bottom"/>
            <w:gridSpan w:val="2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S-43</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3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2"/>
          </w:tcPr>
          <w:p>
            <w:pPr>
              <w:spacing w:after="0"/>
              <w:rPr>
                <w:sz w:val="17"/>
                <w:szCs w:val="17"/>
                <w:color w:val="auto"/>
              </w:rPr>
            </w:pPr>
          </w:p>
        </w:tc>
        <w:tc>
          <w:tcPr>
            <w:tcW w:w="834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21"/>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 w:type="dxa"/>
            <w:vAlign w:val="bottom"/>
            <w:tcBorders>
              <w:top w:val="single" w:sz="8" w:color="0000EE"/>
            </w:tcBorders>
            <w:gridSpan w:val="7"/>
          </w:tcPr>
          <w:p>
            <w:pPr>
              <w:spacing w:after="0"/>
              <w:rPr>
                <w:sz w:val="17"/>
                <w:szCs w:val="17"/>
                <w:color w:val="auto"/>
              </w:rPr>
            </w:pPr>
          </w:p>
        </w:tc>
        <w:tc>
          <w:tcPr>
            <w:tcW w:w="850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2"/>
          </w:tcPr>
          <w:p>
            <w:pPr>
              <w:spacing w:after="0"/>
              <w:rPr>
                <w:sz w:val="17"/>
                <w:szCs w:val="17"/>
                <w:color w:val="auto"/>
              </w:rPr>
            </w:pPr>
          </w:p>
        </w:tc>
        <w:tc>
          <w:tcPr>
            <w:tcW w:w="57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66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7"/>
          </w:tcPr>
          <w:p>
            <w:pPr>
              <w:spacing w:after="0"/>
              <w:rPr>
                <w:sz w:val="17"/>
                <w:szCs w:val="17"/>
                <w:color w:val="auto"/>
              </w:rPr>
            </w:pPr>
          </w:p>
        </w:tc>
        <w:tc>
          <w:tcPr>
            <w:tcW w:w="43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5"/>
          </w:tcPr>
          <w:p>
            <w:pPr>
              <w:spacing w:after="0"/>
              <w:rPr>
                <w:sz w:val="17"/>
                <w:szCs w:val="17"/>
                <w:color w:val="auto"/>
              </w:rPr>
            </w:pPr>
          </w:p>
        </w:tc>
        <w:tc>
          <w:tcPr>
            <w:tcW w:w="850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60" w:type="dxa"/>
            <w:vAlign w:val="bottom"/>
            <w:gridSpan w:val="15"/>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5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2024 (the “2024 Annual Report”), any subsequent Quarterly Reports on Form 10-Q or Current Reports on Form 8-K we file after the date of this prospectus supplement, and those discussed in other documents we file with the SEC.</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2024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2024, we have originated more than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87"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our portfolio based on fair value consisted of 93.9% first-lien debt investments, 0.6% second-lien debt investments, 1.1% mezzanine debt investments, 4.4% equity and less than 0.1% structured credit investments. As of December 31, 2024, 97.2%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we had investments in 116 portfolio companies (including one structured credit investment, which includes each series of collateralized loan obligation as a separate portfolio company investment) with an aggregate fair value of $3,518.4 million. For the year ended December 31, 2024, the principal amount of new investments funded was $838.9 million in 34 new portfolio companies and 21 existing portfolio companies. For this period, we had $793.7 million aggregate principal amount in exits and repayments.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2024, the largest single investment based on fair value represented 2.3% of our total investment portfolio.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2024, the average investment size in each of our portfolio companies was approximately $30.3 million based on fair value.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includes investments in structured products including each series of collateralized loan obligation as a portfolio company investment.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When excluding investments in structured credit investments, the average investment in our remaining portfolio companies was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$30.6 million as of December 31, 2024. As of December 31, 2024, the largest industry represented 16.4% of our total portfolio based on fair value.</w:t>
      </w:r>
    </w:p>
    <w:p>
      <w:pPr>
        <w:spacing w:after="0" w:line="207" w:lineRule="exact"/>
        <w:rPr>
          <w:sz w:val="20"/>
          <w:szCs w:val="20"/>
          <w:color w:val="auto"/>
        </w:rPr>
      </w:pPr>
    </w:p>
    <w:p>
      <w:pPr>
        <w:ind w:left="300" w:right="36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December 31, 2024, weighted by capital invested, our exited investments have generated an average realized gross internal rate of return to us of 17.1% (based on total capital invested of $7.9 billion and total proceeds from these exited investments of $10.0 billion). Ninety-two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II, Item 7 of our 2024 Annual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2024 Annual Report, which is incorporated herein by reference,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3" w:lineRule="exact"/>
        <w:rPr>
          <w:sz w:val="20"/>
          <w:szCs w:val="20"/>
          <w:color w:val="auto"/>
        </w:rPr>
      </w:pPr>
    </w:p>
    <w:p>
      <w:pPr>
        <w:ind w:left="300" w:right="40" w:firstLine="426"/>
        <w:spacing w:after="0" w:line="269" w:lineRule="auto"/>
        <w:rPr>
          <w:sz w:val="20"/>
          <w:szCs w:val="20"/>
          <w:color w:val="auto"/>
        </w:rPr>
      </w:pPr>
      <w:r>
        <w:rPr>
          <w:rFonts w:ascii="Times New Roman" w:cs="Times New Roman" w:eastAsia="Times New Roman" w:hAnsi="Times New Roman"/>
          <w:sz w:val="17"/>
          <w:szCs w:val="17"/>
          <w:color w:val="auto"/>
        </w:rPr>
        <w:t>Sixth Street is a global investment business with over $100 billion of assets under management as of December 31, 2024.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our business, including fifty-seven (57) investment professionals.</w:t>
      </w:r>
    </w:p>
    <w:p>
      <w:pPr>
        <w:spacing w:after="0" w:line="182"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72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852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852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SPECIFIC TERMS OF THE NOTES AND THE OFFERING</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5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Sixth Street Specialty Lending, Inc., a Delaware corporation</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Title of the Securities</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Notes due</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Aggregate Principal Amount Being Offered</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of the aggregate principal amount of Notes</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2025</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 Date</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2025</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 commencing            , 2025</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Ranking of Notes</w:t>
            </w:r>
          </w:p>
        </w:tc>
        <w:tc>
          <w:tcPr>
            <w:tcW w:w="55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The Notes will be our direct, general unsecured obligations and will rank:</w:t>
            </w:r>
          </w:p>
        </w:tc>
      </w:tr>
    </w:tbl>
    <w:p>
      <w:pPr>
        <w:spacing w:after="0" w:line="117" w:lineRule="exact"/>
        <w:rPr>
          <w:sz w:val="20"/>
          <w:szCs w:val="20"/>
          <w:color w:val="auto"/>
        </w:rPr>
      </w:pPr>
    </w:p>
    <w:p>
      <w:pPr>
        <w:ind w:left="4520" w:right="100" w:hanging="185"/>
        <w:spacing w:after="0" w:line="282"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4520" w:hanging="185"/>
        <w:spacing w:after="0" w:line="254"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December 31, 2024, approximately $300.0 million aggregate principal amount of outstanding indebtedness under our unsecured notes due August 2026, which we refer to as the 2026 Notes, approximately $300.0 million aggregate principal amount of outstanding indebtedness under our unsecured notes due August 2028, which we refer to as the 2028 Notes, and approximately $350.0 million aggregate principal amount of outstanding indebtedness under our unsecured notes due March 2029, which we refer to as the 2029 Notes;</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20" w:right="260" w:hanging="185"/>
        <w:spacing w:after="0" w:line="256"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$1,004.1 million aggregate principal amount of outstanding indebtedness as of December 31, 2024 under our Senior Secured Revolving Credit Agreement, dated August 23, 2012, as amended, which we refer to as the Revolving Credit Facility; and</w:t>
      </w:r>
    </w:p>
    <w:p>
      <w:pPr>
        <w:spacing w:after="0" w:line="92" w:lineRule="exact"/>
        <w:rPr>
          <w:rFonts w:ascii="Times New Roman" w:cs="Times New Roman" w:eastAsia="Times New Roman" w:hAnsi="Times New Roman"/>
          <w:sz w:val="18"/>
          <w:szCs w:val="18"/>
          <w:color w:val="auto"/>
        </w:rPr>
      </w:pPr>
    </w:p>
    <w:p>
      <w:pPr>
        <w:ind w:left="4520" w:right="240" w:hanging="185"/>
        <w:spacing w:after="0" w:line="266"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$1,954.1 million aggregate principal amount outstanding, of which approximately</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$1,004.1 million was secured indebtedness at the TSLX level and none of which was</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indebtedness of our subsidiaries. After giving effect to the issuance of the Notes, and</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assuming the net proceeds therefrom are used to repay outstanding borrowings under the</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Revolving Credit Facility, our total consolidated indebtedness would have been</w:t>
            </w:r>
          </w:p>
        </w:tc>
      </w:tr>
      <w:tr>
        <w:trPr>
          <w:trHeight w:val="216"/>
        </w:trPr>
        <w:tc>
          <w:tcPr>
            <w:tcW w:w="3780" w:type="dxa"/>
            <w:vAlign w:val="bottom"/>
          </w:tcPr>
          <w:p>
            <w:pPr>
              <w:spacing w:after="0"/>
              <w:rPr>
                <w:sz w:val="18"/>
                <w:szCs w:val="18"/>
                <w:color w:val="auto"/>
              </w:rPr>
            </w:pP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million aggregate principal amount outstanding as of</w:t>
            </w:r>
          </w:p>
        </w:tc>
      </w:tr>
      <w:tr>
        <w:trPr>
          <w:trHeight w:val="234"/>
        </w:trPr>
        <w:tc>
          <w:tcPr>
            <w:tcW w:w="3780" w:type="dxa"/>
            <w:vAlign w:val="bottom"/>
          </w:tcPr>
          <w:p>
            <w:pPr>
              <w:spacing w:after="0"/>
              <w:rPr>
                <w:sz w:val="20"/>
                <w:szCs w:val="20"/>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December 31, 2024. See “Capitalization”.</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3780" w:type="dxa"/>
            <w:vAlign w:val="bottom"/>
          </w:tcPr>
          <w:p>
            <w:pPr>
              <w:spacing w:after="0"/>
              <w:rPr>
                <w:sz w:val="20"/>
                <w:szCs w:val="20"/>
                <w:color w:val="auto"/>
              </w:rPr>
            </w:pP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excess thereof.</w:t>
            </w:r>
          </w:p>
        </w:tc>
        <w:tc>
          <w:tcPr>
            <w:tcW w:w="18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We may redeem some or all of the Notes, in whole or in part, at any time, or from time to</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time, at a redemption price, prior to Par Call Date, equal to the greater of (1) (a) the sum of</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r>
      <w:tr>
        <w:trPr>
          <w:trHeight w:val="216"/>
        </w:trPr>
        <w:tc>
          <w:tcPr>
            <w:tcW w:w="3780" w:type="dxa"/>
            <w:vAlign w:val="bottom"/>
          </w:tcPr>
          <w:p>
            <w:pPr>
              <w:spacing w:after="0"/>
              <w:rPr>
                <w:sz w:val="18"/>
                <w:szCs w:val="18"/>
                <w:color w:val="auto"/>
              </w:rPr>
            </w:pP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3"/>
              </w:rPr>
              <w:t>Treasury Rate plus 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basis points less (b) interest accrued to the date of redemption,</w:t>
            </w:r>
          </w:p>
        </w:tc>
      </w:tr>
      <w:tr>
        <w:trPr>
          <w:trHeight w:val="214"/>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and (2) 100% of the principal amount of the Notes to be redeemed, plus, in either case,</w:t>
            </w:r>
          </w:p>
        </w:tc>
      </w:tr>
      <w:tr>
        <w:trPr>
          <w:trHeight w:val="218"/>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accrued and unpaid interest thereon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redeem any Notes on or after the Par Call Date, the redemption price for the Notes will be</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equal to 100% of the principal amount of the Notes to be redeemed plus accrued and</w:t>
            </w:r>
          </w:p>
        </w:tc>
      </w:tr>
      <w:tr>
        <w:trPr>
          <w:trHeight w:val="216"/>
        </w:trPr>
        <w:tc>
          <w:tcPr>
            <w:tcW w:w="3780" w:type="dxa"/>
            <w:vAlign w:val="bottom"/>
          </w:tcPr>
          <w:p>
            <w:pPr>
              <w:spacing w:after="0"/>
              <w:rPr>
                <w:sz w:val="18"/>
                <w:szCs w:val="18"/>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unpaid interest thereon to the redemption date. Any exercise of our option to redeem the</w:t>
            </w:r>
          </w:p>
        </w:tc>
      </w:tr>
      <w:tr>
        <w:trPr>
          <w:trHeight w:val="234"/>
        </w:trPr>
        <w:tc>
          <w:tcPr>
            <w:tcW w:w="3780" w:type="dxa"/>
            <w:vAlign w:val="bottom"/>
          </w:tcPr>
          <w:p>
            <w:pPr>
              <w:spacing w:after="0"/>
              <w:rPr>
                <w:sz w:val="20"/>
                <w:szCs w:val="20"/>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Notes will be done in compliance with the 1940 Act.</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Notes will not be subject to any sinking fund. A sinking fund is a reserve fund</w:t>
            </w:r>
          </w:p>
        </w:tc>
      </w:tr>
      <w:tr>
        <w:trPr>
          <w:trHeight w:val="234"/>
        </w:trPr>
        <w:tc>
          <w:tcPr>
            <w:tcW w:w="3780" w:type="dxa"/>
            <w:vAlign w:val="bottom"/>
          </w:tcPr>
          <w:p>
            <w:pPr>
              <w:spacing w:after="0"/>
              <w:rPr>
                <w:sz w:val="20"/>
                <w:szCs w:val="20"/>
                <w:color w:val="auto"/>
              </w:rPr>
            </w:pP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accumulated over a period of time for the retirement of debt.</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to Purchase upon a Change of Control</w:t>
            </w: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w:t>
            </w: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Event</w:t>
            </w:r>
          </w:p>
        </w:tc>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exercised our right to redeem the Notes in full,</w:t>
            </w:r>
          </w:p>
        </w:tc>
      </w:tr>
      <w:tr>
        <w:trPr>
          <w:trHeight w:val="186"/>
        </w:trPr>
        <w:tc>
          <w:tcPr>
            <w:tcW w:w="37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r>
      <w:tr>
        <w:trPr>
          <w:trHeight w:val="361"/>
        </w:trPr>
        <w:tc>
          <w:tcPr>
            <w:tcW w:w="3780" w:type="dxa"/>
            <w:vAlign w:val="bottom"/>
          </w:tcPr>
          <w:p>
            <w:pPr>
              <w:spacing w:after="0"/>
              <w:rPr>
                <w:sz w:val="24"/>
                <w:szCs w:val="24"/>
                <w:color w:val="auto"/>
              </w:rPr>
            </w:pPr>
          </w:p>
        </w:tc>
        <w:tc>
          <w:tcPr>
            <w:tcW w:w="19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S-7</w:t>
            </w:r>
          </w:p>
        </w:tc>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holders will have the right, at their option, to require us to repurchase for cash some or all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of the Notes at a repurchase price equal to 100% of the principal amount of the Notes being</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repurchased, plus accrued and unpaid interest to, but not including, the repurchase date.</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are subject to legal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and Discharge; Defeasance,” we can legally release ourselves from all</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payment and other obligations on the Notes.</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are subject to covenant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and Discharge; Defeasance,” we will be released from some of the restrictive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covenants in the indenture.</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name of The Depository Trust Company, or DTC, or its nominee. This means that,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except in limited circumstances, you will not receive certificates for the Notes. Beneficial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Investors may elect to hold interests in the Notes through either DTC, if they are a</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participant, or indirectly through organizations that are participants in DTC.</w:t>
            </w:r>
          </w:p>
        </w:tc>
      </w:tr>
      <w:tr>
        <w:trPr>
          <w:trHeight w:val="45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If an event of default (as described under “Description of Notes”) on the Notes occurs,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immediately due and payable, subject to conditions set forth in the indenture. These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amounts automatically become due and payable in the case of certain types of bankruptcy</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or insolvency events involving us.</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 addition to the covenants described in the accompanying prospectus, the following</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covenants shall apply to the Notes:</w:t>
            </w:r>
          </w:p>
        </w:tc>
      </w:tr>
      <w:tr>
        <w:trPr>
          <w:trHeight w:val="319"/>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  We agree that for the period of time during which the Notes are outstanding, we will not</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violate, whether or not we are subject</w:t>
            </w:r>
          </w:p>
        </w:tc>
      </w:tr>
      <w:tr>
        <w:trPr>
          <w:trHeight w:val="172"/>
        </w:trPr>
        <w:tc>
          <w:tcPr>
            <w:tcW w:w="3500" w:type="dxa"/>
            <w:vAlign w:val="bottom"/>
            <w:tcBorders>
              <w:left w:val="single" w:sz="8" w:color="auto"/>
              <w:bottom w:val="single" w:sz="8" w:color="auto"/>
            </w:tcBorders>
          </w:tcPr>
          <w:p>
            <w:pPr>
              <w:spacing w:after="0"/>
              <w:rPr>
                <w:sz w:val="14"/>
                <w:szCs w:val="14"/>
                <w:color w:val="auto"/>
              </w:rPr>
            </w:pPr>
          </w:p>
        </w:tc>
        <w:tc>
          <w:tcPr>
            <w:tcW w:w="7520" w:type="dxa"/>
            <w:vAlign w:val="bottom"/>
            <w:tcBorders>
              <w:bottom w:val="single" w:sz="8" w:color="auto"/>
              <w:right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4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341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60" w:right="260"/>
        <w:spacing w:after="0" w:line="266" w:lineRule="auto"/>
        <w:rPr>
          <w:sz w:val="20"/>
          <w:szCs w:val="20"/>
          <w:color w:val="auto"/>
        </w:rPr>
      </w:pPr>
      <w:r>
        <w:rPr>
          <w:rFonts w:ascii="Times New Roman" w:cs="Times New Roman" w:eastAsia="Times New Roman" w:hAnsi="Times New Roman"/>
          <w:sz w:val="18"/>
          <w:szCs w:val="18"/>
          <w:color w:val="auto"/>
        </w:rPr>
        <w:t>thereto, Section 18(a)(1)(A) as modified by Section 61(a) of the 1940 Act or any successor provisions, but giving effect, in either case, to any exemptive relief granted to us by the SEC.</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If, at any time, we are not subject to the reporting requirements of Sections 13 or 15(d)</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the Exchange Act to file any periodic reports with the SEC, we agree to furnish to</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holders of the Notes and the trustee, for the period of time during which the Notes are</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outstanding, our audited annual consolidated financial statements, within 90 days of our</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fiscal year end, and unaudited interim consolidated financial statements, within 45 days</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our fiscal quarter end (other than our fourth fiscal quarter). All such financial</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statements will be prepared, in all material respects, in accordance with applicable</w:t>
            </w:r>
          </w:p>
        </w:tc>
      </w:tr>
      <w:tr>
        <w:trPr>
          <w:trHeight w:val="234"/>
        </w:trPr>
        <w:tc>
          <w:tcPr>
            <w:tcW w:w="380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United States generally accepted accounting principles, or GAAP.</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 be listed on any securities exchange or quoted on any automated dealer quotation</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system. Although certain of the underwriters have informed us that they currently intend to</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make a market in the Notes, as permitted by applicable laws and regulations, they are not</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obligated to do so and may discontinue any such market making activities at any time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without notice. See “Underwriting.” Accordingly, we cannot assure you that a liquid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market for the Notes will develop or be maintained.</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or liability for the performance by DTC or its</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participants or indirect participants of their respective obligations under the rules and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procedures governing their operations.</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State of New York.</w:t>
            </w:r>
          </w:p>
        </w:tc>
      </w:tr>
      <w:tr>
        <w:trPr>
          <w:trHeight w:val="172"/>
        </w:trPr>
        <w:tc>
          <w:tcPr>
            <w:tcW w:w="3800" w:type="dxa"/>
            <w:vAlign w:val="bottom"/>
            <w:tcBorders>
              <w:bottom w:val="single" w:sz="8" w:color="auto"/>
            </w:tcBorders>
          </w:tcPr>
          <w:p>
            <w:pPr>
              <w:spacing w:after="0"/>
              <w:rPr>
                <w:sz w:val="14"/>
                <w:szCs w:val="14"/>
                <w:color w:val="auto"/>
              </w:rPr>
            </w:pPr>
          </w:p>
        </w:tc>
        <w:tc>
          <w:tcPr>
            <w:tcW w:w="7220" w:type="dxa"/>
            <w:vAlign w:val="bottom"/>
            <w:tcBorders>
              <w:bottom w:val="single" w:sz="8" w:color="auto"/>
            </w:tcBorders>
          </w:tcPr>
          <w:p>
            <w:pPr>
              <w:spacing w:after="0"/>
              <w:rPr>
                <w:sz w:val="14"/>
                <w:szCs w:val="14"/>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set out below and the risk factors incorporated by reference in Part I, Item 1A, “Risk Factors,” in our 2024 Annual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2024 Annual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2024, we had approximately $1,004.1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 $1,954.1 million aggregate principal amount outstanding, of which approximately $1,004.1 million was secured indebtedness at the TSLX level and none of which was indebtedness of our subsidiaries, and approximately $950 million aggregate principal amount was unsecured indebtedness.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indebtedness;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85" w:lineRule="exact"/>
        <w:rPr>
          <w:sz w:val="20"/>
          <w:szCs w:val="20"/>
          <w:color w:val="auto"/>
        </w:rPr>
      </w:pPr>
    </w:p>
    <w:p>
      <w:pPr>
        <w:ind w:left="1080" w:right="340" w:hanging="424"/>
        <w:spacing w:after="0" w:line="25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under the 2026 Notes, 2028 Notes or 2029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could proceed against the collateral securing the debt. Because our Revolving Credit Facility, 2026 Notes, 2028 Notes and 2029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Repurchase Event.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2026 Notes, 2028 Notes and 2029 Notes each contain a provision that would require us to offer to purchase the respective 2026 Notes, 2028 Notes and 2029 Notes upon the occurrence of a fundamental change.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that an active trading market will be maintained for the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        million aggregate principal amount of Notes in this offering will be approximately $        million, after deducting the underwriting discounts and commissions and estimated offering expenses payable by 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December 31, 2024, aggregate commitments under the facility were $1.700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April 24, 2029 with respect to $1.505 billion of commitments, February 4, 2026 for $25.0 million of commitments and April 23, 2027 with respect to $170.0 million of commitments. As of December 31, 2024,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7 of our 2024 Annual Report.</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December 31, 2024. You should read this table together with “Use of Proceeds” described in this prospectus supplement and our most recent balance sheet included in our 2024 Annual Report incorporated by reference in this prospectus supplement.</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25"/>
                <w:szCs w:val="25"/>
                <w:b w:val="1"/>
                <w:bCs w:val="1"/>
                <w:color w:val="auto"/>
                <w:vertAlign w:val="superscript"/>
              </w:rPr>
              <w:t>(1)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1,004,058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Notes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1,954,058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94,325,686</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93,661,436 shares outstanding</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1,519,337</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97,708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1,607,529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3,582,225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December 31, 2024. Outstanding indebtedness under the Revolving Credit Facility was $943.9 million as of February 13, 2025. The net proceeds from the sale of the Notes in this offering are expected to be used to pay down outstanding indebtedness under the Revolving Credit Facility. See “Use of Proceeds” in this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40"/>
          </w:cols>
          <w:pgMar w:left="320" w:top="455"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particular terms of the   % Notes due        supplements and, to the extent inconsistent therewith, replaces the description of the general terms and provisions of the debt securities set forth in the accompanying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Notes under a base indenture dated as of January 16, 2024, between us and U.S. Bank Trust Company, National Association, as trustee (the “trustee”), as supplemented by a separate supplemental indenture, dated as of the settlement date of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be issued in an aggregate principal amount of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ectPr>
          <w:pgSz w:w="11900" w:h="16838" w:orient="portrait"/>
          <w:cols w:equalWidth="0" w:num="5">
            <w:col w:w="720" w:space="360"/>
            <w:col w:w="3780" w:space="140"/>
            <w:col w:w="40" w:space="140"/>
            <w:col w:w="40" w:space="140"/>
            <w:col w:w="574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will mature on 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unless earlier redeemed or repurchased, as discussed below;</w:t>
      </w:r>
    </w:p>
    <w:p>
      <w:pPr>
        <w:spacing w:after="0" w:line="142" w:lineRule="exact"/>
        <w:rPr>
          <w:sz w:val="20"/>
          <w:szCs w:val="20"/>
          <w:color w:val="auto"/>
        </w:rPr>
      </w:pPr>
    </w:p>
    <w:p>
      <w:pPr>
        <w:sectPr>
          <w:pgSz w:w="11900" w:h="16838" w:orient="portrait"/>
          <w:cols w:equalWidth="0" w:num="9">
            <w:col w:w="720" w:space="360"/>
            <w:col w:w="1100" w:space="140"/>
            <w:col w:w="40" w:space="140"/>
            <w:col w:w="40" w:space="140"/>
            <w:col w:w="40" w:space="140"/>
            <w:col w:w="80" w:space="140"/>
            <w:col w:w="220" w:space="140"/>
            <w:col w:w="40" w:space="140"/>
            <w:col w:w="7480"/>
          </w:cols>
          <w:pgMar w:left="320" w:top="455" w:right="479" w:bottom="1440" w:gutter="0" w:footer="0" w:header="0"/>
          <w:type w:val="continuous"/>
        </w:sect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cash interest from            , 2025 at an annual rate of    % payable semi-annually on            and            of each year,</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beginning on            , 2025;</w:t>
      </w:r>
    </w:p>
    <w:p>
      <w:pPr>
        <w:spacing w:after="0" w:line="112"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“—Optional Redemption;”</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“—Book-Entry, Settlement and Clearance.”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be part of the same issue as the Notes for U.S. federal income tax purposes.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ectPr>
          <w:pgSz w:w="11900" w:h="16838" w:orient="portrait"/>
          <w:cols w:equalWidth="0" w:num="1">
            <w:col w:w="11120"/>
          </w:cols>
          <w:pgMar w:left="320" w:top="455" w:right="45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bear cash interest at a rate of   % per year until maturity. Interest on the Notes will accrue from  recent date on which interest has been paid or duly provided for. Interest is payable semiannually in arrears on    beginning on        ,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 2025 or from the most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of each year,</w:t>
      </w:r>
    </w:p>
    <w:p>
      <w:pPr>
        <w:spacing w:after="0" w:line="434" w:lineRule="exact"/>
        <w:rPr>
          <w:sz w:val="20"/>
          <w:szCs w:val="20"/>
          <w:color w:val="auto"/>
        </w:rPr>
      </w:pPr>
    </w:p>
    <w:p>
      <w:pPr>
        <w:sectPr>
          <w:pgSz w:w="11900" w:h="16838" w:orient="portrait"/>
          <w:cols w:equalWidth="0" w:num="2">
            <w:col w:w="8280" w:space="120"/>
            <w:col w:w="2720"/>
          </w:cols>
          <w:pgMar w:left="320" w:top="455"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 xml:space="preserve">Interest will be paid to the person in whose name a Note is registered at 5:00 p.m. New York City time (the “close of business”) on          </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or        (whether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our direct, general unsecured obligations that rank:</w:t>
      </w:r>
    </w:p>
    <w:p>
      <w:pPr>
        <w:spacing w:after="0" w:line="131" w:lineRule="exact"/>
        <w:rPr>
          <w:sz w:val="20"/>
          <w:szCs w:val="20"/>
          <w:color w:val="auto"/>
        </w:rPr>
      </w:pPr>
    </w:p>
    <w:p>
      <w:pPr>
        <w:ind w:left="1080" w:right="5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December 31, 2024, approximately $300.0 million aggregate principal amount of outstanding indebtedness under our 2026 Notes, approximately $300.0 million aggregate principal amount of outstanding indebtedness under our 2028 Notes, and approximately $350.0 million aggregate principal amount of outstanding indebtedness under our 2029 Notes;</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$1,004.1 million aggregate principal amount of outstanding indebtedness as of December 31, 2024 under the Revolving Credit Facility;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 $1,954.1 million aggregate principal amount outstanding, of which approximately $1,004.1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      million aggregate principal amount outstanding as of December 31, 2024. See “Capitalization.”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Prior to        ,        (        month(s)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080" w:right="120" w:hanging="532"/>
        <w:spacing w:after="0" w:line="276"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the Treasury Rate plus            basis points less (b) interest accrued to the date of redemption, and</w:t>
      </w:r>
    </w:p>
    <w:p>
      <w:pPr>
        <w:spacing w:after="0" w:line="112"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plus, in either case, accrued and unpaid interest thereon to the redemption date.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 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facility. In addition, the indentures governing the 2026 Notes, 2028 Notes and 2029 Notes each contains a provision that would require us to offer to purchase the respective 2024 Notes, 2026 Notes, 2028 Notes or 2029 Notes upon the occurrence of a fundamental change. A failure to purchase any tendered 2024 Notes, 2026 Notes, 2028 Notes or 2029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2024 Annual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1080" w:right="140" w:hanging="532"/>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Ratings, Inc., also known as Fitch Ratings, or any successor thereto.</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secured debt instrument of TSLX or its Controlled Subsidiaries shall not be deemed to be any such sale, transfer, lease, conveyance or disposition) in any one transaction or series of related transactions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right="3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1" w:lineRule="exact"/>
        <w:rPr>
          <w:rFonts w:ascii="Times New Roman" w:cs="Times New Roman" w:eastAsia="Times New Roman" w:hAnsi="Times New Roman"/>
          <w:sz w:val="18"/>
          <w:szCs w:val="18"/>
          <w:color w:val="auto"/>
        </w:rPr>
      </w:pPr>
    </w:p>
    <w:p>
      <w:pPr>
        <w:ind w:left="1080" w:right="340" w:hanging="532"/>
        <w:spacing w:after="0" w:line="276"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08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is not consolidated with TSLX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99" w:lineRule="exact"/>
        <w:rPr>
          <w:rFonts w:ascii="Times New Roman" w:cs="Times New Roman" w:eastAsia="Times New Roman" w:hAnsi="Times New Roman"/>
          <w:sz w:val="17"/>
          <w:szCs w:val="17"/>
          <w:color w:val="auto"/>
        </w:rPr>
      </w:pPr>
    </w:p>
    <w:p>
      <w:pPr>
        <w:ind w:left="1080" w:right="10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81"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procedures for same-day funds settlement applicable to DTC. Euroclear and Clearstream participants may not deliver instructions directly to the DTC depositaries that are acting for Euroclear or Clearstream.</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purchase, ownership and disposition of the Notes. This summary deals only with Notes that are held as capital assets (within the meaning of Section 1221 of the Code) by a person who purchases the Notes upon original issuance at their “issue price” (the first price at which a substantial amount of the Notes is sold for money to investors, excluding sales to bond houses, brokers or similar persons or organizations acting in the capacity of underwriter, placement agent or wholesaler).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“non-U.S. holder” means a beneficial owner of the Notes (other than an entity or arrangement treated as a partnership for U.S. federal income tax purposes) that is not a U.S. holder.</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Notes, the tax treatment of a partner generally will depend upon the status of the partner and the activities of the partnership. If you are a partnership or a partner in a partnership considering an investment in the Notes, you should consult your own tax advisors.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U.S. federal income tax consequences applicable to you if you are a person subject to special tax treatment under the U.S. federal income tax laws, including, without limitation:</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(or an investor in such an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U.S. Treasury Regulations, administrative rulings and judicial decisions thereunder as of the date hereof. Those authorities may be changed, possibly on a retroactive basis, so as to result in U.S. federal income tax consequences different from those summarized below. We have not and will not seek any rulings from the IRS regarding the matters discussed below. There can be no assurance that the IRS will not take positions concerning the tax consequences of the purchase, ownership or disposition of the Notes that are different from those discussed below.</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It is not intended to be, and should not be construed to be, legal or tax advice to any particular purchaser of Notes.</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the Notes, you should consult your own tax advisors concerning the particular U.S. federal income tax consequences to you of the purchase, ownership and disposition of the Notes,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that will apply to U.S. holders of the Notes.</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Stated Interest</w:t>
      </w:r>
      <w:r>
        <w:rPr>
          <w:rFonts w:ascii="Times New Roman" w:cs="Times New Roman" w:eastAsia="Times New Roman" w:hAnsi="Times New Roman"/>
          <w:sz w:val="18"/>
          <w:szCs w:val="18"/>
          <w:color w:val="auto"/>
        </w:rPr>
        <w:t>. Stated interest on the Notes generally will be taxable to you as ordinary income at the time it is received or accrued, depending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regular method of accounting for U.S. federal income tax purposes.</w:t>
      </w:r>
    </w:p>
    <w:p>
      <w:pPr>
        <w:spacing w:after="0" w:line="15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r>
        <w:rPr>
          <w:rFonts w:ascii="Times New Roman" w:cs="Times New Roman" w:eastAsia="Times New Roman" w:hAnsi="Times New Roman"/>
          <w:sz w:val="18"/>
          <w:szCs w:val="18"/>
          <w:color w:val="auto"/>
        </w:rPr>
        <w:t>. Upon the sale, exchange, retirement, redemption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disposition of a Note, you generally will recognize gain or loss equal to the difference, if any, between the amount realized upon the sale, exchange, retirement, redemption or other taxable disposition (less any amount attributable to accrued and unpaid stated interest, which will be taxable as interest income to the extent not previously included in income) and your adjusted tax basis in the Note. Your adjusted tax basis in a Note will generally be your cost for that Note. Any gain or loss you recognize will generally be capital gain or loss and will generally be long-term capital gain or loss if you have held the Note for more than one year. Long-term capital gains of non-corporate U.S. holders (including individuals) are eligible for reduced rates of taxation. The deductibility of capital losses is subject to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Non-U.S. Holders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Withholding Tax. </w:t>
      </w:r>
      <w:r>
        <w:rPr>
          <w:rFonts w:ascii="Times New Roman" w:cs="Times New Roman" w:eastAsia="Times New Roman" w:hAnsi="Times New Roman"/>
          <w:sz w:val="18"/>
          <w:szCs w:val="18"/>
          <w:color w:val="auto"/>
        </w:rPr>
        <w:t>Subject to the discussions of backup withholding and FATCA below, U.S. federal withholding tax will not apply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payment of interest on the Notes under the “portfolio interest rule,” provided that:</w:t>
      </w:r>
    </w:p>
    <w:p>
      <w:pPr>
        <w:spacing w:after="0" w:line="6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voting stock within the meaning of the Code and applicable U.S. Treasury regulations;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actually or constructively related to us through stock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described in Section 881(c)(3)(A) of the Code;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U.S. federal withholding tax, unless you provide the applicable withholding agent with a properly executed:</w:t>
      </w:r>
    </w:p>
    <w:p>
      <w:pPr>
        <w:spacing w:after="0" w:line="67" w:lineRule="exact"/>
        <w:rPr>
          <w:sz w:val="20"/>
          <w:szCs w:val="20"/>
          <w:color w:val="auto"/>
        </w:rPr>
      </w:pPr>
    </w:p>
    <w:p>
      <w:pPr>
        <w:ind w:left="1080" w:right="3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Form W-8BEN-E (or other applicable form) claiming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not subject to withholding tax because it is effectively connected with your conduct of a trade or business in the United States (as discussed below under “—U.S. Federal Income Tax”).</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30% U.S. federal withholding tax generally will not apply to any payment of principal or gain that you realize on the sale, exchange, retirement or other taxable disposition of a Note.</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w:t>
      </w:r>
      <w:r>
        <w:rPr>
          <w:rFonts w:ascii="Times New Roman" w:cs="Times New Roman" w:eastAsia="Times New Roman" w:hAnsi="Times New Roman"/>
          <w:sz w:val="18"/>
          <w:szCs w:val="18"/>
          <w:color w:val="auto"/>
        </w:rPr>
        <w:t>If you are engaged in a trade or business in the United States and interest on the Notes is effectively connected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 of that trade or business (and, if required by an applicable income tax treaty, is attributable to a U.S. permanent establishment), then you generally will be subject to U.S. federal income tax on that interest on a net income basis in the same manner as if you were a United States person as defined under the Code (although you will be exempt from the 30% U.S. federal withholding tax described above, provided the certification requirements discussed above in “—U.S. Federal Withholding Tax” are satisfied). In addition, if you are a foreign corporation, you may be subject to a branch profits tax equal to 30% (or lower applicable income tax treaty rate) of your effectively connected earnings and profits, subject to adjustments.</w:t>
      </w:r>
    </w:p>
    <w:p>
      <w:pPr>
        <w:spacing w:after="0" w:line="18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on the sale, exchange, retirement or other taxable disposition of a Note generally will not be subject to U.S. federal income tax unless:</w:t>
      </w:r>
    </w:p>
    <w:p>
      <w:pPr>
        <w:spacing w:after="0" w:line="67" w:lineRule="exact"/>
        <w:rPr>
          <w:sz w:val="20"/>
          <w:szCs w:val="20"/>
          <w:color w:val="auto"/>
        </w:rPr>
      </w:pPr>
    </w:p>
    <w:p>
      <w:pPr>
        <w:jc w:val="both"/>
        <w:ind w:left="1080" w:right="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if required by an applicable income tax treaty, is attributable to a U.S. permanent establishment), in which case such gain generally will be subject to U.S. federal income tax (and possibly branch profits tax) in the same manner as effectively connected interest as described above;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that disposition and certain other conditions are met, in which case, unless an applicable income tax treaty provides otherwise, you generally will be subject to a 30% U.S. federal income tax on any gain recognized, which may be offset by certain U.S. source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w:t>
      </w:r>
      <w:r>
        <w:rPr>
          <w:rFonts w:ascii="Times New Roman" w:cs="Times New Roman" w:eastAsia="Times New Roman" w:hAnsi="Times New Roman"/>
          <w:sz w:val="18"/>
          <w:szCs w:val="18"/>
          <w:color w:val="auto"/>
        </w:rPr>
        <w:t>. In general, information reporting requirements will apply to payments of stated interest on the Notes and the proceeds from a sale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taxable disposition (including a retirement or redemption) of a Note paid to you (unless you establish that you are an exempt recipient). Backup withholding may apply to any payments described in the preceding sentence if you fail to provide a taxpayer identification number and a certification that you are not subject to backup withholding or if you fail to report in full dividend and interest income.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58"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Non-U.S. Holders</w:t>
      </w:r>
      <w:r>
        <w:rPr>
          <w:rFonts w:ascii="Times New Roman" w:cs="Times New Roman" w:eastAsia="Times New Roman" w:hAnsi="Times New Roman"/>
          <w:sz w:val="18"/>
          <w:szCs w:val="18"/>
          <w:color w:val="auto"/>
        </w:rPr>
        <w:t>. Generally, the amount of interest paid to you and the amount of tax, if any, withheld with respect to those payments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to the IRS. Copies of the information returns reporting such interest payments and any withholding may also be made available to the tax authorities in the country in which you reside under the provisions of an applicable income tax treaty.</w:t>
      </w:r>
    </w:p>
    <w:p>
      <w:pPr>
        <w:spacing w:after="0" w:line="175"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“—Certain Tax Consequences to Non-U.S. Holders —U.S. Federal Withholding Tax.”</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taxable disposition (including a retirement or redemption) of Notes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w:t>
      </w:r>
    </w:p>
    <w:p>
      <w:pPr>
        <w:spacing w:after="0" w:line="2" w:lineRule="exact"/>
        <w:rPr>
          <w:sz w:val="20"/>
          <w:szCs w:val="20"/>
          <w:color w:val="auto"/>
        </w:rPr>
      </w:pPr>
    </w:p>
    <w:p>
      <w:pPr>
        <w:ind w:left="120" w:right="80" w:hanging="4"/>
        <w:spacing w:after="0" w:line="251"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“—Certain Tax Consequences to Non-U.S. Holders—U.S.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7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820" w:type="dxa"/>
            <w:vAlign w:val="bottom"/>
          </w:tcPr>
          <w:p>
            <w:pPr>
              <w:spacing w:after="0"/>
              <w:rPr>
                <w:sz w:val="15"/>
                <w:szCs w:val="15"/>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tcBorders>
              <w:top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87" w:lineRule="exact"/>
        <w:rPr>
          <w:sz w:val="20"/>
          <w:szCs w:val="20"/>
          <w:color w:val="auto"/>
        </w:rPr>
      </w:pPr>
    </w:p>
    <w:p>
      <w:pPr>
        <w:ind w:left="5460" w:right="1500" w:hanging="4897"/>
        <w:spacing w:after="0" w:line="454"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million and are payable by us. 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Certain funds or accounts managed by affiliates of the Adviser may purchase Notes in the transaction through the underwriters at the public offering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2025, which will be the        business day following the date hereof. Under Rule 15c6-1 under the Exchange Act,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T+        ,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BofA Securities, Inc. is One Bryant Park, New York, NY 10036. The principal business address of J.P. Morgan Securities LLC is 383 Madison Avenue, New York, NY 10179. The principal business address of SMBC Nikko Securities America, Inc. is 277 Park Avenue, New York, NY 10172. The principal business address of Wells Fargo Securities, LLC, is 550 South Tryon Street, Charlotte, North Carolina 28202.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or, in Ontario, as such term is defined in 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and (iii) a “permitted client”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0840"/>
          </w:cols>
          <w:pgMar w:left="320" w:top="455"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13, 2025 (the “2024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6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February 13, 2025;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2023, filed with the SEC on February 15, 2024 from our </w:t>
      </w:r>
      <w:hyperlink r:id="rId64">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2024 Annual Meeting of Stockholders, filed with the SEC on April 11, 2024.</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173990</wp:posOffset>
            </wp:positionV>
            <wp:extent cx="1757045"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left="120"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24 of this prospectus and in the documents incorporated by reference herein.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1100"/>
          </w:cols>
          <w:pgMar w:left="320" w:top="455"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7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6"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1240" w:right="360" w:hanging="523"/>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1240" w:right="120" w:hanging="523"/>
        <w:spacing w:after="0" w:line="266"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left="300"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300"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940"/>
        <w:spacing w:after="0" w:line="282" w:lineRule="auto"/>
        <w:rPr>
          <w:sz w:val="20"/>
          <w:szCs w:val="20"/>
          <w:color w:val="auto"/>
        </w:rPr>
      </w:pPr>
      <w:r>
        <w:rPr>
          <w:rFonts w:ascii="Times New Roman" w:cs="Times New Roman" w:eastAsia="Times New Roman" w:hAnsi="Times New Roman"/>
          <w:sz w:val="18"/>
          <w:szCs w:val="18"/>
          <w:color w:val="auto"/>
        </w:rPr>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1240" w:right="340" w:hanging="523"/>
        <w:spacing w:after="0" w:line="284"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1240" w:right="180" w:hanging="523"/>
        <w:spacing w:after="0" w:line="258"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240" w:right="320" w:hanging="523"/>
        <w:spacing w:after="0" w:line="284"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240" w:right="160" w:hanging="523"/>
        <w:spacing w:after="0" w:line="258"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1240" w:right="100" w:hanging="523"/>
        <w:spacing w:after="0" w:line="25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1240" w:hanging="523"/>
        <w:spacing w:after="0" w:line="26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1240" w:right="400" w:hanging="523"/>
        <w:spacing w:after="0" w:line="26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240" w:right="180" w:hanging="523"/>
        <w:spacing w:after="0" w:line="26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07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left="300"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left="300"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00"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40" w:right="120" w:hanging="523"/>
        <w:spacing w:after="0" w:line="257"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1240" w:right="180" w:hanging="523"/>
        <w:spacing w:after="0" w:line="290"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240" w:right="80" w:hanging="523"/>
        <w:spacing w:after="0" w:line="312"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40" w:right="80" w:hanging="523"/>
        <w:spacing w:after="0" w:line="267" w:lineRule="auto"/>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left="300"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0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240" w:hanging="52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03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40" w:right="56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40" w:right="140" w:hanging="523"/>
        <w:spacing w:after="0" w:line="312"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240" w:right="52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1240" w:right="500" w:hanging="523"/>
        <w:spacing w:after="0" w:line="282"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38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1240" w:right="180" w:hanging="523"/>
        <w:spacing w:after="0" w:line="266"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40" w:right="200" w:hanging="523"/>
        <w:spacing w:after="0" w:line="266"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240" w:right="8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240" w:right="36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hanging="52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line="282"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240" w:right="320" w:hanging="523"/>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1240" w:right="160" w:hanging="523"/>
        <w:spacing w:after="0" w:line="266"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1240" w:right="420" w:hanging="523"/>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300" w:right="380" w:hanging="2"/>
        <w:spacing w:after="0" w:line="255"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72"/>
        </w:trPr>
        <w:tc>
          <w:tcPr>
            <w:tcW w:w="286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04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To maintain our tax treatment as a RIC, we must make certain distributions. See “Material U.S.</w:t>
      </w:r>
    </w:p>
    <w:p>
      <w:pPr>
        <w:spacing w:after="0" w:line="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940"/>
          </w:cols>
          <w:pgMar w:left="320" w:top="455" w:right="63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spacing w:after="0" w:line="3" w:lineRule="exact"/>
        <w:rPr>
          <w:sz w:val="20"/>
          <w:szCs w:val="20"/>
          <w:color w:val="auto"/>
        </w:rPr>
      </w:pPr>
    </w:p>
    <w:p>
      <w:pPr>
        <w:ind w:left="40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940"/>
          </w:cols>
          <w:pgMar w:left="320" w:top="455" w:right="639" w:bottom="1440" w:gutter="0" w:footer="0" w:header="0"/>
          <w:type w:val="continuous"/>
        </w:sectPr>
      </w:pP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1240" w:hanging="52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left="300"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left="300"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300"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332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41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20" w:right="280" w:hanging="422"/>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720" w:right="460" w:hanging="422"/>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720" w:right="180" w:hanging="422"/>
        <w:spacing w:after="0" w:line="258"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720" w:right="440" w:hanging="422"/>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720" w:right="40" w:hanging="422"/>
        <w:spacing w:after="0" w:line="25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76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2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720"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720" w:hanging="422"/>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720"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7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720"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720" w:right="260" w:firstLine="4"/>
        <w:spacing w:after="0" w:line="266" w:lineRule="auto"/>
        <w:tabs>
          <w:tab w:leader="none" w:pos="9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40"/>
        <w:spacing w:after="0" w:line="254" w:lineRule="auto"/>
        <w:rPr>
          <w:sz w:val="20"/>
          <w:szCs w:val="20"/>
          <w:color w:val="auto"/>
        </w:rPr>
      </w:pPr>
      <w:r>
        <w:rPr>
          <w:rFonts w:ascii="Times New Roman" w:cs="Times New Roman" w:eastAsia="Times New Roman" w:hAnsi="Times New Roman"/>
          <w:sz w:val="18"/>
          <w:szCs w:val="18"/>
          <w:color w:val="auto"/>
        </w:rPr>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720"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720"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720"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720" w:right="60" w:hanging="422"/>
        <w:spacing w:after="0" w:line="268" w:lineRule="auto"/>
        <w:tabs>
          <w:tab w:leader="none" w:pos="7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99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998970" cy="4599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hanging="422"/>
        <w:spacing w:after="0" w:line="261"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center"/>
              <w:ind w:left="348"/>
              <w:spacing w:after="0" w:line="155" w:lineRule="exact"/>
              <w:rPr>
                <w:sz w:val="20"/>
                <w:szCs w:val="20"/>
                <w:color w:val="auto"/>
              </w:rPr>
            </w:pPr>
            <w:r>
              <w:rPr>
                <w:rFonts w:ascii="Times New Roman" w:cs="Times New Roman" w:eastAsia="Times New Roman" w:hAnsi="Times New Roman"/>
                <w:sz w:val="14"/>
                <w:szCs w:val="14"/>
                <w:color w:val="auto"/>
                <w:w w:val="97"/>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w w:val="97"/>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left="268"/>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540" w:right="44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40" w:right="6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540" w:right="34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54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540" w:hanging="424"/>
        <w:spacing w:after="0" w:line="221"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4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312" w:lineRule="auto"/>
        <w:tabs>
          <w:tab w:leader="none" w:pos="10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0"/>
                <w:szCs w:val="10"/>
                <w:b w:val="1"/>
                <w:bCs w:val="1"/>
                <w:color w:val="auto"/>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2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540" w:right="54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2023 and years ended December 31, 2022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55" w:right="9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60"/>
          </w:cols>
          <w:pgMar w:left="320" w:top="455" w:right="1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($31,475 par, due</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 Iselin,</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2016-6A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0" w:type="dxa"/>
            <w:vAlign w:val="bottom"/>
          </w:tcPr>
          <w:p>
            <w:pPr>
              <w:spacing w:after="0"/>
              <w:rPr>
                <w:sz w:val="14"/>
                <w:szCs w:val="14"/>
                <w:color w:val="auto"/>
              </w:rPr>
            </w:pPr>
          </w:p>
        </w:tc>
        <w:tc>
          <w:tcPr>
            <w:tcW w:w="8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Signal Peak CLO LLC, Series</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280 Park Avenue, 40 West</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Southwick Park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10154</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Stewart Park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10154</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230 Park Ave, United States</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20" w:type="dxa"/>
            <w:vAlign w:val="bottom"/>
            <w:vMerge w:val="restart"/>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52,718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195,009</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204,175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3,113,277</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540" w:right="18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540" w:right="260" w:hanging="424"/>
        <w:spacing w:after="0" w:line="258"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60" w:hanging="424"/>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540" w:right="46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540" w:right="100" w:hanging="424"/>
        <w:spacing w:after="0" w:line="267"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8"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980"/>
          </w:cols>
          <w:pgMar w:left="320" w:top="455" w:right="5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80" w:right="12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439"/>
        <w:spacing w:after="0" w:line="261"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439"/>
        <w:spacing w:after="0" w:line="266"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1080" w:right="20" w:hanging="532"/>
        <w:spacing w:after="0" w:line="25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80" w:right="26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8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8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312" w:lineRule="auto"/>
        <w:tabs>
          <w:tab w:leader="none" w:pos="10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right="14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80" w:right="34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54"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1080" w:right="8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532"/>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80" w:right="160" w:hanging="532"/>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6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532"/>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1080" w:right="200" w:hanging="532"/>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19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0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192">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193">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194">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82" w:lineRule="auto"/>
        <w:tabs>
          <w:tab w:leader="none" w:pos="1080" w:val="left"/>
        </w:tabs>
        <w:numPr>
          <w:ilvl w:val="0"/>
          <w:numId w:val="10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96">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02">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03">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6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20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23"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0" w:lineRule="exact"/>
        <w:rPr>
          <w:rFonts w:ascii="Times New Roman" w:cs="Times New Roman" w:eastAsia="Times New Roman" w:hAnsi="Times New Roman"/>
          <w:sz w:val="18"/>
          <w:szCs w:val="18"/>
          <w:color w:val="0000EE"/>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344170</wp:posOffset>
            </wp:positionV>
            <wp:extent cx="1457325" cy="436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   %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1412875</wp:posOffset>
            </wp:positionV>
            <wp:extent cx="1474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SMBC Nikko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2"/>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3"/>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lowerRoman"/>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lowerRoman"/>
      <w:start w:val="10"/>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6"/>
    </w:lvl>
  </w:abstractNum>
  <w:abstractNum w:abstractNumId="50">
    <w:nsid w:val="11447B73"/>
    <w:multiLevelType w:val="hybridMultilevel"/>
    <w:lvl w:ilvl="0">
      <w:lvlJc w:val="left"/>
      <w:lvlText w:val="(%1)"/>
      <w:numFmt w:val="lowerRoman"/>
      <w:start w:val="2"/>
    </w:lvl>
  </w:abstractNum>
  <w:abstractNum w:abstractNumId="51">
    <w:nsid w:val="42963E5A"/>
    <w:multiLevelType w:val="hybridMultilevel"/>
    <w:lvl w:ilvl="0">
      <w:lvlJc w:val="left"/>
      <w:lvlText w:val="(%1)"/>
      <w:numFmt w:val="decimal"/>
      <w:start w:val="7"/>
    </w:lvl>
  </w:abstractNum>
  <w:abstractNum w:abstractNumId="52">
    <w:nsid w:val="A0382C5"/>
    <w:multiLevelType w:val="hybridMultilevel"/>
    <w:lvl w:ilvl="0">
      <w:lvlJc w:val="left"/>
      <w:lvlText w:val="(%1)"/>
      <w:numFmt w:val="decimal"/>
      <w:start w:val="8"/>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5"/>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decimal"/>
      <w:start w:val="7"/>
    </w:lvl>
  </w:abstractNum>
  <w:abstractNum w:abstractNumId="63">
    <w:nsid w:val="71EA1109"/>
    <w:multiLevelType w:val="hybridMultilevel"/>
    <w:lvl w:ilvl="0">
      <w:lvlJc w:val="left"/>
      <w:lvlText w:val="(%1)"/>
      <w:numFmt w:val="decimal"/>
      <w:start w:val="15"/>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lvl w:ilvl="1">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lowerRoman"/>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
      <w:numFmt w:val="bullet"/>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jpe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5"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jpe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61" Type="http://schemas.openxmlformats.org/officeDocument/2006/relationships/hyperlink" Target="http://www.sec.gov/ix?doc=/Archives/edgar/data/1508655/000095017025019845/tslx-20241231.htm" TargetMode="External"/><Relationship Id="rId62" Type="http://schemas.openxmlformats.org/officeDocument/2006/relationships/hyperlink" Target="http://www.sec.gov/ix?doc=/Archives/edgar/data/1508655/000095017025019865/tslx-20250213.htm" TargetMode="External"/><Relationship Id="rId63" Type="http://schemas.openxmlformats.org/officeDocument/2006/relationships/hyperlink" Target="http://www.sec.gov/ix?doc=/Archives/edgar/data/1508655/000095017024015845/tslx-20231231.htm" TargetMode="External"/><Relationship Id="rId64" Type="http://schemas.openxmlformats.org/officeDocument/2006/relationships/hyperlink" Target="http://www.sec.gov/Archives/edgar/data/1508655/000119312524093310/d866866ddef14a.htm" TargetMode="External"/><Relationship Id="rId190" Type="http://schemas.openxmlformats.org/officeDocument/2006/relationships/hyperlink" Target="http://www.sec.gov/ix?doc=/Archives/edgar/data/1508655/000095017023003042/tslx-20221231.htm" TargetMode="External"/><Relationship Id="rId191" Type="http://schemas.openxmlformats.org/officeDocument/2006/relationships/hyperlink" Target="http://www.sec.gov/Archives/edgar/data/1508655/000119312523100535/d393322ddef14a.htm" TargetMode="External"/><Relationship Id="rId192" Type="http://schemas.openxmlformats.org/officeDocument/2006/relationships/hyperlink" Target="http://www.sec.gov/ix?doc=/Archives/edgar/data/1508655/000095017023018777/tslx-20230331.htm" TargetMode="External"/><Relationship Id="rId193" Type="http://schemas.openxmlformats.org/officeDocument/2006/relationships/hyperlink" Target="http://www.sec.gov/ix?doc=/Archives/edgar/data/1508655/000095017023038066/tslx-20230630.htm" TargetMode="External"/><Relationship Id="rId194" Type="http://schemas.openxmlformats.org/officeDocument/2006/relationships/hyperlink" Target="http://www.sec.gov/ix?doc=/Archives/edgar/data/1508655/000095017023058321/tslx-20230930.htm" TargetMode="External"/><Relationship Id="rId196" Type="http://schemas.openxmlformats.org/officeDocument/2006/relationships/hyperlink" Target="http://www.sec.gov/ix?doc=/Archives/edgar/data/1508655/000119312523144982/d509627d8k.htm" TargetMode="External"/><Relationship Id="rId197" Type="http://schemas.openxmlformats.org/officeDocument/2006/relationships/hyperlink" Target="http://www.sec.gov/ix?doc=/Archives/edgar/data/1508655/000119312523155431/d495066d8k.htm" TargetMode="External"/><Relationship Id="rId198" Type="http://schemas.openxmlformats.org/officeDocument/2006/relationships/hyperlink" Target="http://www.sec.gov/ix?doc=/Archives/edgar/data/1508655/000119312523165276/d509708d8k.htm" TargetMode="External"/><Relationship Id="rId199" Type="http://schemas.openxmlformats.org/officeDocument/2006/relationships/hyperlink" Target="http://www.sec.gov/ix?doc=/Archives/edgar/data/1508655/000119312523165451/d509555d8k.htm" TargetMode="External"/><Relationship Id="rId200" Type="http://schemas.openxmlformats.org/officeDocument/2006/relationships/hyperlink" Target="http://www.sec.gov/ix?doc=/Archives/edgar/data/1508655/000119312523187256/d513136d8k.htm" TargetMode="External"/><Relationship Id="rId201" Type="http://schemas.openxmlformats.org/officeDocument/2006/relationships/hyperlink" Target="http://www.sec.gov/ix?doc=/Archives/edgar/data/1508655/000119312523188221/d534568d8ka.htm" TargetMode="External"/><Relationship Id="rId202" Type="http://schemas.openxmlformats.org/officeDocument/2006/relationships/hyperlink" Target="http://www.sec.gov/ix?doc=/Archives/edgar/data/1508655/000119312523209093/d513738d8k.htm" TargetMode="External"/><Relationship Id="rId203" Type="http://schemas.openxmlformats.org/officeDocument/2006/relationships/hyperlink" Target="http://www.sec.gov/ix?doc=/Archives/edgar/data/1508655/000119312523212327/d480136d8k.htm" TargetMode="External"/><Relationship Id="rId204"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2025-02-18T07:49:01Z</dcterms:created>
  <dcterms:modified xsi:type="dcterms:W3CDTF">2025-02-18T07:49:01Z</dcterms:modified>
</cp:coreProperties>
</file>