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374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51"/>
        </w:trPr>
        <w:tc>
          <w:tcPr>
            <w:tcW w:w="3740" w:type="dxa"/>
            <w:vAlign w:val="bottom"/>
          </w:tcPr>
          <w:p>
            <w:pPr>
              <w:jc w:val="center"/>
              <w:ind w:right="9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8"/>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20"/>
                <w:szCs w:val="20"/>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3"/>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0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1, 2024, the registrant issued a press release announcing its financial results for the first quarter ended March 31, 2024.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 2024, the registrant issued a press release, included herewith as Exhibit 99.1, announcing the declaration of a second quarter 2024 base dividend per share of $0.46 to shareholders of record as of June 14, 2024, payable on June 28, 2024, and a first quarter 2024 supplemental dividend per share of $0.06 to shareholders of record as of May 31, 2024, payable on June 20,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 2024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40"/>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9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 2024</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234"/>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1"/>
        </w:trPr>
        <w:tc>
          <w:tcPr>
            <w:tcW w:w="3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7160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FIRST QUARTER 2024 EARNINGS RESULTS</w:t>
      </w:r>
    </w:p>
    <w:p>
      <w:pPr>
        <w:spacing w:after="0" w:line="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Sixth Street Specialty Lending, Inc. Reports First Quarter Results; Declares a Second Quarter Base Dividend Per Share of $0.46, and a First Quarter Supplemental Dividend Per Share of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18"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NEW YORK — May 1, 2024 — Sixth Street Specialty Lending, Inc. (NYSE: TSLX, or the “Company”) today reported net investment income of $0.59 per share and net income of $0.53 per share for the frst quarter ended March 31, 2024. These results correspond to an annualized return on equity (ROE) on net investment income and net income of 13.8% and 12.5%, respectvely.</w:t>
      </w:r>
    </w:p>
    <w:p>
      <w:pPr>
        <w:spacing w:after="0" w:line="219" w:lineRule="exact"/>
        <w:rPr>
          <w:sz w:val="20"/>
          <w:szCs w:val="20"/>
          <w:color w:val="auto"/>
        </w:rPr>
      </w:pPr>
    </w:p>
    <w:p>
      <w:pPr>
        <w:jc w:val="both"/>
        <w:ind w:left="80"/>
        <w:spacing w:after="0" w:line="237" w:lineRule="auto"/>
        <w:rPr>
          <w:sz w:val="20"/>
          <w:szCs w:val="20"/>
          <w:color w:val="auto"/>
        </w:rPr>
      </w:pPr>
      <w:r>
        <w:rPr>
          <w:rFonts w:ascii="Calibri" w:cs="Calibri" w:eastAsia="Calibri" w:hAnsi="Calibri"/>
          <w:sz w:val="18"/>
          <w:szCs w:val="18"/>
          <w:color w:val="auto"/>
        </w:rPr>
        <w:t>Both net investment income per share and net income per share include $0.01 per share of unwind of previously accrued capital gains incentve fee expenses that were accrued, but not paid or payable, related to cumulatve unrealized capital gains in excess of cumulatve net realized capital gains less any cumulatve unrealized losses and capital gains incentve fees paid incepton-to-date. Excluding the impact of the partal reversal or unwind of previously accrued capital gains incentve fee expenses, the Company’s adjusted net investment income and adjusted net income for the quarter ended March 31, 2024, were $51.5 million, or $0.58 per share, and $46.7 million, or $0.52 per share, respectvely. These results correspond to an annualized return on equity (ROE) on adjusted net investment income and adjusted net income of 13.6% and 12.3%, respectvely. The Company’s strong net investment income in the frst quarter refects contnued strength of the core earnings power of its portolio driven by higher interest rates.</w:t>
      </w:r>
    </w:p>
    <w:p>
      <w:pPr>
        <w:spacing w:after="0" w:line="233"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Reported net asset value (NAV) per share was $17.17 at March 31, 2024 as compared to NAV per share of $17.04 or an adjusted NAV per share of $16.96 at December 31, 2023 (which accounts for the impact of the $0.08 per share fourth quarter 2023 supplemental dividend). The drivers of this quarter’s NAV per share growth were primarily the contnued overearning of the Company’s base quarterly dividend and the accretve equity raised during the quarter.</w:t>
      </w:r>
    </w:p>
    <w:p>
      <w:pPr>
        <w:spacing w:after="0" w:line="220"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The Company announced that its Board of Directors has declared a second quarter 2024 base dividend of $0.46 per share to shareholders of record as of June 14, 2024, payable on June 28, 2024, and a frst quarter supplemental dividend of $0.06 per share to shareholders of record as of May 31, 2024, payable on June 20, 2024. Adjusted for the impact of the supplemental dividend related to this quarter’s earnings, the Company’s Q1 adjusted NAV per share was $17.11.</w:t>
      </w:r>
    </w:p>
    <w:p>
      <w:pPr>
        <w:spacing w:after="0" w:line="220"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As reported last quarter, the Company issued $350.0 million aggregate principal amount of unsecured notes in January that mature on March 1, 2029 (the "2029 Notes").</w:t>
      </w:r>
    </w:p>
    <w:p>
      <w:pPr>
        <w:spacing w:after="0" w:line="218"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On March 5, 2024, the Company issued a total of 4,000,000 shares of common stock at $20.52 per share. Subsequent to the ofering, the Company issued an additonal 600,000 shares on April 1, 2024 pursuant to the overallotment opton granted to underwriters. Net of underwritng fees and ofering costs, total cash proceeds to the Company were approximately $93.5 million.</w:t>
      </w:r>
    </w:p>
    <w:p>
      <w:pPr>
        <w:spacing w:after="0" w:line="219" w:lineRule="exact"/>
        <w:rPr>
          <w:sz w:val="20"/>
          <w:szCs w:val="20"/>
          <w:color w:val="auto"/>
        </w:rPr>
      </w:pPr>
    </w:p>
    <w:p>
      <w:pPr>
        <w:ind w:left="80" w:right="40"/>
        <w:spacing w:after="0" w:line="254" w:lineRule="auto"/>
        <w:rPr>
          <w:sz w:val="20"/>
          <w:szCs w:val="20"/>
          <w:color w:val="auto"/>
        </w:rPr>
      </w:pPr>
      <w:r>
        <w:rPr>
          <w:rFonts w:ascii="Calibri" w:cs="Calibri" w:eastAsia="Calibri" w:hAnsi="Calibri"/>
          <w:sz w:val="17"/>
          <w:szCs w:val="17"/>
          <w:color w:val="auto"/>
        </w:rPr>
        <w:t>On April 24, 2024, the Company completed an amendment to its Revolving Credit Facility, which, among other changes, (a) increased the aggregate commitments under the facility from $1.685 billion as of March 31, 2024 to $1.700 billion and (b) extended the stated maturity date to April 24, 2029 for $1.505 billion of commitments.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60"/>
        <w:spacing w:after="0"/>
        <w:rPr>
          <w:sz w:val="20"/>
          <w:szCs w:val="20"/>
          <w:color w:val="auto"/>
        </w:rPr>
      </w:pPr>
      <w:r>
        <w:rPr>
          <w:rFonts w:ascii="Calibri" w:cs="Calibri" w:eastAsia="Calibri" w:hAnsi="Calibri"/>
          <w:sz w:val="14"/>
          <w:szCs w:val="14"/>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19202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18859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220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r>
              <w:rPr>
                <w:rFonts w:ascii="Calibri" w:cs="Calibri" w:eastAsia="Calibri" w:hAnsi="Calibri"/>
                <w:sz w:val="14"/>
                <w:szCs w:val="14"/>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$0.59</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$0.58</w:t>
            </w:r>
          </w:p>
        </w:tc>
      </w:tr>
      <w:tr>
        <w:trPr>
          <w:trHeight w:val="533"/>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880" w:type="dxa"/>
            <w:vAlign w:val="bottom"/>
            <w:shd w:val="clear" w:color="auto" w:fill="0F2F50"/>
          </w:tcPr>
          <w:p>
            <w:pPr>
              <w:jc w:val="center"/>
              <w:spacing w:after="0"/>
              <w:rPr>
                <w:sz w:val="20"/>
                <w:szCs w:val="20"/>
                <w:color w:val="auto"/>
              </w:rPr>
            </w:pPr>
            <w:r>
              <w:rPr>
                <w:rFonts w:ascii="Calibri" w:cs="Calibri" w:eastAsia="Calibri" w:hAnsi="Calibri"/>
                <w:sz w:val="14"/>
                <w:szCs w:val="14"/>
                <w:b w:val="1"/>
                <w:bCs w:val="1"/>
                <w:color w:val="FFFFFF"/>
              </w:rPr>
              <w:t>Net Income Per Share</w:t>
            </w:r>
          </w:p>
        </w:tc>
        <w:tc>
          <w:tcPr>
            <w:tcW w:w="56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2200" w:type="dxa"/>
            <w:vAlign w:val="bottom"/>
            <w:gridSpan w:val="2"/>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220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$0.53</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$0.52</w:t>
            </w:r>
          </w:p>
        </w:tc>
      </w:tr>
      <w:tr>
        <w:trPr>
          <w:trHeight w:val="547"/>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880" w:type="dxa"/>
            <w:vAlign w:val="bottom"/>
            <w:shd w:val="clear" w:color="auto" w:fill="0F2F50"/>
          </w:tcPr>
          <w:p>
            <w:pPr>
              <w:jc w:val="center"/>
              <w:spacing w:after="0"/>
              <w:rPr>
                <w:sz w:val="20"/>
                <w:szCs w:val="20"/>
                <w:color w:val="auto"/>
              </w:rPr>
            </w:pPr>
            <w:r>
              <w:rPr>
                <w:rFonts w:ascii="Calibri" w:cs="Calibri" w:eastAsia="Calibri" w:hAnsi="Calibri"/>
                <w:sz w:val="14"/>
                <w:szCs w:val="14"/>
                <w:b w:val="1"/>
                <w:bCs w:val="1"/>
                <w:color w:val="FFFFFF"/>
              </w:rPr>
              <w:t>Return on Equity</w:t>
            </w:r>
          </w:p>
        </w:tc>
        <w:tc>
          <w:tcPr>
            <w:tcW w:w="56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880" w:type="dxa"/>
            <w:vAlign w:val="bottom"/>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(NII):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13.8%</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12.5%</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 NII):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13.6%</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 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12.3%</w:t>
            </w:r>
          </w:p>
        </w:tc>
      </w:tr>
      <w:tr>
        <w:trPr>
          <w:trHeight w:val="54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880" w:type="dxa"/>
            <w:vAlign w:val="bottom"/>
            <w:shd w:val="clear" w:color="auto" w:fill="0F2F50"/>
          </w:tcPr>
          <w:p>
            <w:pPr>
              <w:jc w:val="center"/>
              <w:spacing w:after="0"/>
              <w:rPr>
                <w:sz w:val="20"/>
                <w:szCs w:val="20"/>
                <w:color w:val="auto"/>
              </w:rPr>
            </w:pPr>
            <w:r>
              <w:rPr>
                <w:rFonts w:ascii="Calibri" w:cs="Calibri" w:eastAsia="Calibri" w:hAnsi="Calibri"/>
                <w:sz w:val="14"/>
                <w:szCs w:val="14"/>
                <w:b w:val="1"/>
                <w:bCs w:val="1"/>
                <w:color w:val="FFFFFF"/>
                <w:w w:val="99"/>
              </w:rPr>
              <w:t>NAV</w:t>
            </w:r>
          </w:p>
        </w:tc>
        <w:tc>
          <w:tcPr>
            <w:tcW w:w="56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880" w:type="dxa"/>
            <w:vAlign w:val="bottom"/>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($MM):</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$1,582.0</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(per share):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$17.17</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(per share, adj):</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$17.11</w:t>
            </w:r>
          </w:p>
        </w:tc>
      </w:tr>
      <w:tr>
        <w:trPr>
          <w:trHeight w:val="54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880" w:type="dxa"/>
            <w:vAlign w:val="bottom"/>
            <w:shd w:val="clear" w:color="auto" w:fill="0F2F50"/>
          </w:tcPr>
          <w:p>
            <w:pPr>
              <w:ind w:left="20"/>
              <w:spacing w:after="0"/>
              <w:rPr>
                <w:sz w:val="20"/>
                <w:szCs w:val="20"/>
                <w:color w:val="auto"/>
              </w:rPr>
            </w:pPr>
            <w:r>
              <w:rPr>
                <w:rFonts w:ascii="Calibri" w:cs="Calibri" w:eastAsia="Calibri" w:hAnsi="Calibri"/>
                <w:sz w:val="14"/>
                <w:szCs w:val="14"/>
                <w:b w:val="1"/>
                <w:bCs w:val="1"/>
                <w:color w:val="FFFFFF"/>
              </w:rPr>
              <w:t>Dividends Declared (per share)</w:t>
            </w:r>
          </w:p>
        </w:tc>
        <w:tc>
          <w:tcPr>
            <w:tcW w:w="56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880" w:type="dxa"/>
            <w:vAlign w:val="bottom"/>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Q1</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(Base):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$0.46</w:t>
            </w:r>
          </w:p>
        </w:tc>
      </w:tr>
      <w:tr>
        <w:trPr>
          <w:trHeight w:val="88"/>
        </w:trPr>
        <w:tc>
          <w:tcPr>
            <w:tcW w:w="2460" w:type="dxa"/>
            <w:vAlign w:val="bottom"/>
            <w:tcBorders>
              <w:bottom w:val="single" w:sz="8" w:color="auto"/>
            </w:tcBorders>
            <w:gridSpan w:val="3"/>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46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LTM Q1'24 (Base):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$1.84</w:t>
            </w:r>
          </w:p>
        </w:tc>
      </w:tr>
      <w:tr>
        <w:trPr>
          <w:trHeight w:val="88"/>
        </w:trPr>
        <w:tc>
          <w:tcPr>
            <w:tcW w:w="2460" w:type="dxa"/>
            <w:vAlign w:val="bottom"/>
            <w:tcBorders>
              <w:bottom w:val="single" w:sz="8" w:color="auto"/>
            </w:tcBorders>
            <w:gridSpan w:val="3"/>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46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LTM Q1'24 (Supplemental):</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$0.25</w:t>
            </w:r>
          </w:p>
        </w:tc>
      </w:tr>
      <w:tr>
        <w:trPr>
          <w:trHeight w:val="88"/>
        </w:trPr>
        <w:tc>
          <w:tcPr>
            <w:tcW w:w="2460" w:type="dxa"/>
            <w:vAlign w:val="bottom"/>
            <w:tcBorders>
              <w:bottom w:val="single" w:sz="8" w:color="auto"/>
            </w:tcBorders>
            <w:gridSpan w:val="3"/>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46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LTM Q1'24 (Total):</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$2.09</w:t>
            </w:r>
          </w:p>
        </w:tc>
      </w:tr>
    </w:tbl>
    <w:p>
      <w:pPr>
        <w:spacing w:after="0" w:line="829" w:lineRule="exact"/>
        <w:rPr>
          <w:sz w:val="20"/>
          <w:szCs w:val="20"/>
          <w:color w:val="auto"/>
        </w:rPr>
      </w:pPr>
    </w:p>
    <w:p>
      <w:pPr>
        <w:sectPr>
          <w:pgSz w:w="11900" w:h="16838" w:orient="portrait"/>
          <w:cols w:equalWidth="0" w:num="2">
            <w:col w:w="8040" w:space="120"/>
            <w:col w:w="3080"/>
          </w:cols>
          <w:pgMar w:left="320" w:top="760" w:right="339" w:bottom="1440" w:gutter="0" w:footer="0" w:header="0"/>
          <w:type w:val="continuous"/>
        </w:sectPr>
      </w:pPr>
    </w:p>
    <w:p>
      <w:pPr>
        <w:spacing w:after="0" w:line="13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spacing w:after="0" w:line="2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PORTFOLIO AND INVESTMENT ACTIVITY</w:t>
      </w:r>
    </w:p>
    <w:p>
      <w:pPr>
        <w:spacing w:after="0" w:line="200" w:lineRule="exact"/>
        <w:rPr>
          <w:sz w:val="20"/>
          <w:szCs w:val="20"/>
          <w:color w:val="auto"/>
        </w:rPr>
      </w:pPr>
    </w:p>
    <w:p>
      <w:pPr>
        <w:spacing w:after="0" w:line="264"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March 31, 2024, new investment commitments totaled $263.6 million. This compares to $316.4 million for the quarter ended December 31, 2023.</w:t>
      </w:r>
    </w:p>
    <w:p>
      <w:pPr>
        <w:spacing w:after="0" w:line="123"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March 31, 2024, the principal amount of new investments funded was $162.8 million across nine new portolio companies and fve upsizes to existng portolio companies. For this period, the Company had $108.6 million aggregate principal amount in exits and repayments. For the quarter ended December 31, 2023, the principal amount of new investments funded was $277.9 million across nine new portolio companies and fve upsizes to existng portolio companies. For that period, the Company had $145.4 million aggregate principal amount in exits and repayments.</w:t>
      </w:r>
    </w:p>
    <w:p>
      <w:pPr>
        <w:spacing w:after="0" w:line="197" w:lineRule="exact"/>
        <w:rPr>
          <w:sz w:val="20"/>
          <w:szCs w:val="20"/>
          <w:color w:val="auto"/>
        </w:rPr>
      </w:pPr>
    </w:p>
    <w:p>
      <w:pPr>
        <w:jc w:val="both"/>
        <w:ind w:left="20"/>
        <w:spacing w:after="0" w:line="207" w:lineRule="auto"/>
        <w:rPr>
          <w:sz w:val="20"/>
          <w:szCs w:val="20"/>
          <w:color w:val="auto"/>
        </w:rPr>
      </w:pPr>
      <w:r>
        <w:rPr>
          <w:rFonts w:ascii="Calibri" w:cs="Calibri" w:eastAsia="Calibri" w:hAnsi="Calibri"/>
          <w:sz w:val="18"/>
          <w:szCs w:val="18"/>
          <w:color w:val="auto"/>
        </w:rPr>
        <w:t>As of March 31, 2024 and December 31, 2023, the Company had investments in 100</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and 94</w:t>
      </w:r>
      <w:r>
        <w:rPr>
          <w:rFonts w:ascii="Calibri" w:cs="Calibri" w:eastAsia="Calibri" w:hAnsi="Calibri"/>
          <w:sz w:val="24"/>
          <w:szCs w:val="24"/>
          <w:color w:val="auto"/>
          <w:vertAlign w:val="superscript"/>
        </w:rPr>
        <w:t>2</w:t>
      </w:r>
      <w:r>
        <w:rPr>
          <w:rFonts w:ascii="Calibri" w:cs="Calibri" w:eastAsia="Calibri" w:hAnsi="Calibri"/>
          <w:sz w:val="18"/>
          <w:szCs w:val="18"/>
          <w:color w:val="auto"/>
        </w:rPr>
        <w:t xml:space="preserve"> portolio companies, respectvely, with an aggregate fair value of $3,380.0 million and $3,283.1 million, respectvely. As of March 31, 2024, the average investment size in each portolio company was $33.5</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million based on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Borders>
              <w:bottom w:val="single" w:sz="8" w:color="0F2F50"/>
            </w:tcBorders>
            <w:shd w:val="clear" w:color="auto" w:fill="0F2F50"/>
          </w:tcPr>
          <w:p>
            <w:pPr>
              <w:ind w:left="940"/>
              <w:spacing w:after="0"/>
              <w:rPr>
                <w:sz w:val="20"/>
                <w:szCs w:val="20"/>
                <w:color w:val="auto"/>
              </w:rPr>
            </w:pPr>
            <w:r>
              <w:rPr>
                <w:rFonts w:ascii="Calibri" w:cs="Calibri" w:eastAsia="Calibri" w:hAnsi="Calibri"/>
                <w:sz w:val="15"/>
                <w:szCs w:val="15"/>
                <w:b w:val="1"/>
                <w:bCs w:val="1"/>
                <w:color w:val="FFFFFF"/>
              </w:rPr>
              <w:t>2024 Originaton Actvity</w:t>
            </w:r>
          </w:p>
        </w:tc>
        <w:tc>
          <w:tcPr>
            <w:tcW w:w="860" w:type="dxa"/>
            <w:vAlign w:val="bottom"/>
            <w:tcBorders>
              <w:bottom w:val="single" w:sz="8" w:color="0F2F50"/>
            </w:tcBorders>
            <w:shd w:val="clear" w:color="auto" w:fill="0F2F50"/>
          </w:tcPr>
          <w:p>
            <w:pPr>
              <w:spacing w:after="0"/>
              <w:rPr>
                <w:sz w:val="18"/>
                <w:szCs w:val="18"/>
                <w:color w:val="auto"/>
              </w:rPr>
            </w:pPr>
          </w:p>
        </w:tc>
      </w:tr>
      <w:tr>
        <w:trPr>
          <w:trHeight w:val="183"/>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Commitments:</w:t>
            </w:r>
          </w:p>
        </w:tc>
        <w:tc>
          <w:tcPr>
            <w:tcW w:w="860" w:type="dxa"/>
            <w:vAlign w:val="bottom"/>
          </w:tcPr>
          <w:p>
            <w:pPr>
              <w:jc w:val="center"/>
              <w:spacing w:after="0"/>
              <w:rPr>
                <w:sz w:val="20"/>
                <w:szCs w:val="20"/>
                <w:color w:val="auto"/>
              </w:rPr>
            </w:pPr>
            <w:r>
              <w:rPr>
                <w:rFonts w:ascii="Calibri" w:cs="Calibri" w:eastAsia="Calibri" w:hAnsi="Calibri"/>
                <w:sz w:val="15"/>
                <w:szCs w:val="15"/>
                <w:b w:val="1"/>
                <w:bCs w:val="1"/>
                <w:color w:val="auto"/>
              </w:rPr>
              <w:t>$263.6MM</w:t>
            </w:r>
          </w:p>
        </w:tc>
      </w:tr>
      <w:tr>
        <w:trPr>
          <w:trHeight w:val="220"/>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Fundings:</w:t>
            </w:r>
          </w:p>
        </w:tc>
        <w:tc>
          <w:tcPr>
            <w:tcW w:w="860" w:type="dxa"/>
            <w:vAlign w:val="bottom"/>
          </w:tcPr>
          <w:p>
            <w:pPr>
              <w:jc w:val="center"/>
              <w:spacing w:after="0"/>
              <w:rPr>
                <w:sz w:val="20"/>
                <w:szCs w:val="20"/>
                <w:color w:val="auto"/>
              </w:rPr>
            </w:pPr>
            <w:r>
              <w:rPr>
                <w:rFonts w:ascii="Calibri" w:cs="Calibri" w:eastAsia="Calibri" w:hAnsi="Calibri"/>
                <w:sz w:val="15"/>
                <w:szCs w:val="15"/>
                <w:b w:val="1"/>
                <w:bCs w:val="1"/>
                <w:color w:val="auto"/>
              </w:rPr>
              <w:t>$162.8MM</w:t>
            </w:r>
          </w:p>
        </w:tc>
      </w:tr>
      <w:tr>
        <w:trPr>
          <w:trHeight w:val="230"/>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Net Fundings:</w:t>
            </w:r>
          </w:p>
        </w:tc>
        <w:tc>
          <w:tcPr>
            <w:tcW w:w="860" w:type="dxa"/>
            <w:vAlign w:val="bottom"/>
          </w:tcPr>
          <w:p>
            <w:pPr>
              <w:jc w:val="center"/>
              <w:spacing w:after="0"/>
              <w:rPr>
                <w:sz w:val="20"/>
                <w:szCs w:val="20"/>
                <w:color w:val="auto"/>
              </w:rPr>
            </w:pPr>
            <w:r>
              <w:rPr>
                <w:rFonts w:ascii="Calibri" w:cs="Calibri" w:eastAsia="Calibri" w:hAnsi="Calibri"/>
                <w:sz w:val="15"/>
                <w:szCs w:val="15"/>
                <w:b w:val="1"/>
                <w:bCs w:val="1"/>
                <w:color w:val="auto"/>
              </w:rPr>
              <w:t>$54.2MM</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Average Investment Size</w:t>
      </w:r>
      <w:r>
        <w:rPr>
          <w:rFonts w:ascii="Calibri" w:cs="Calibri" w:eastAsia="Calibri" w:hAnsi="Calibri"/>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2028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2815" cy="14605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15"/>
          <w:szCs w:val="15"/>
          <w:b w:val="1"/>
          <w:bCs w:val="1"/>
          <w:color w:val="auto"/>
        </w:rPr>
        <w:t>$33.5MM</w:t>
      </w:r>
    </w:p>
    <w:p>
      <w:pPr>
        <w:spacing w:after="0" w:line="46" w:lineRule="exact"/>
        <w:rPr>
          <w:sz w:val="20"/>
          <w:szCs w:val="20"/>
          <w:color w:val="auto"/>
        </w:rPr>
      </w:pPr>
    </w:p>
    <w:p>
      <w:pPr>
        <w:jc w:val="center"/>
        <w:spacing w:after="0"/>
        <w:rPr>
          <w:sz w:val="20"/>
          <w:szCs w:val="20"/>
          <w:color w:val="auto"/>
        </w:rPr>
      </w:pPr>
      <w:r>
        <w:rPr>
          <w:rFonts w:ascii="Calibri" w:cs="Calibri" w:eastAsia="Calibri" w:hAnsi="Calibri"/>
          <w:sz w:val="15"/>
          <w:szCs w:val="15"/>
          <w:i w:val="1"/>
          <w:iCs w:val="1"/>
          <w:color w:val="auto"/>
        </w:rPr>
        <w:t>(1.0%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220281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92.3%</w:t>
      </w:r>
    </w:p>
    <w:p>
      <w:pPr>
        <w:spacing w:after="0" w:line="34" w:lineRule="exact"/>
        <w:rPr>
          <w:sz w:val="20"/>
          <w:szCs w:val="20"/>
          <w:color w:val="auto"/>
        </w:rPr>
      </w:pPr>
    </w:p>
    <w:p>
      <w:pPr>
        <w:sectPr>
          <w:pgSz w:w="11900" w:h="16838" w:orient="portrait"/>
          <w:cols w:equalWidth="0" w:num="2">
            <w:col w:w="7640" w:space="140"/>
            <w:col w:w="3460"/>
          </w:cols>
          <w:pgMar w:left="320" w:top="1440" w:right="339" w:bottom="1440" w:gutter="0" w:footer="0" w:header="0"/>
        </w:sectPr>
      </w:pPr>
    </w:p>
    <w:p>
      <w:pPr>
        <w:jc w:val="both"/>
        <w:ind w:left="20"/>
        <w:spacing w:after="0" w:line="251" w:lineRule="auto"/>
        <w:rPr>
          <w:sz w:val="20"/>
          <w:szCs w:val="20"/>
          <w:color w:val="auto"/>
        </w:rPr>
      </w:pPr>
      <w:r>
        <w:rPr>
          <w:rFonts w:ascii="Calibri" w:cs="Calibri" w:eastAsia="Calibri" w:hAnsi="Calibri"/>
          <w:sz w:val="17"/>
          <w:szCs w:val="17"/>
          <w:color w:val="auto"/>
        </w:rPr>
        <w:t>As of March 31, 2024, the Company’s portolio based on fair value consisted of 92.3% frst-lien debt investments, 0.8% second-lien debt investments, 0.9% structured credit investments, 1.2% mezzanine debt investments, and 4.8% equity and other investments. As of December 31, 2023, the Company’s portolio based on fair value consisted of 91.3% frst-lien debt investments, 1.1% second-lien debt investments, 1.7% structured credit investments, 1.2% mezzanine debt investments, and 4.7% equity and other investments.</w:t>
      </w:r>
    </w:p>
    <w:p>
      <w:pPr>
        <w:spacing w:after="0" w:line="186" w:lineRule="exact"/>
        <w:rPr>
          <w:sz w:val="20"/>
          <w:szCs w:val="20"/>
          <w:color w:val="auto"/>
        </w:rPr>
      </w:pPr>
    </w:p>
    <w:p>
      <w:pPr>
        <w:jc w:val="both"/>
        <w:ind w:left="20"/>
        <w:spacing w:after="0" w:line="225" w:lineRule="auto"/>
        <w:rPr>
          <w:sz w:val="20"/>
          <w:szCs w:val="20"/>
          <w:color w:val="auto"/>
        </w:rPr>
      </w:pPr>
      <w:r>
        <w:rPr>
          <w:rFonts w:ascii="Calibri" w:cs="Calibri" w:eastAsia="Calibri" w:hAnsi="Calibri"/>
          <w:sz w:val="18"/>
          <w:szCs w:val="18"/>
          <w:color w:val="auto"/>
        </w:rPr>
        <w:t>As of March 31, 2024, 99.6% of debt investments</w:t>
      </w:r>
      <w:r>
        <w:rPr>
          <w:rFonts w:ascii="Calibri" w:cs="Calibri" w:eastAsia="Calibri" w:hAnsi="Calibri"/>
          <w:sz w:val="24"/>
          <w:szCs w:val="24"/>
          <w:color w:val="auto"/>
          <w:vertAlign w:val="superscript"/>
        </w:rPr>
        <w:t>3</w:t>
      </w:r>
      <w:r>
        <w:rPr>
          <w:rFonts w:ascii="Calibri" w:cs="Calibri" w:eastAsia="Calibri" w:hAnsi="Calibri"/>
          <w:sz w:val="18"/>
          <w:szCs w:val="18"/>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222"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As of March 31, 2024 and December 31, 2023, the weighted average total yield of debt and income-producing securites at fair value (which includes interest income and amortzaton of fees and discounts) was 13.8% and 14.1%, respectvely, and the weighted average total yield of debt and income-producing securites at amortzed cost (which includes interest income and amortzaton of fees and discounts) was 14.0% and 14.2% for the quarter ended March 31, 2024 and December 31, 2023, respectvely.</w:t>
      </w:r>
    </w:p>
    <w:p>
      <w:pPr>
        <w:spacing w:after="0" w:line="220" w:lineRule="exact"/>
        <w:rPr>
          <w:sz w:val="20"/>
          <w:szCs w:val="20"/>
          <w:color w:val="auto"/>
        </w:rPr>
      </w:pPr>
    </w:p>
    <w:p>
      <w:pPr>
        <w:ind w:left="20" w:right="340"/>
        <w:spacing w:after="0" w:line="258" w:lineRule="auto"/>
        <w:rPr>
          <w:sz w:val="20"/>
          <w:szCs w:val="20"/>
          <w:color w:val="auto"/>
        </w:rPr>
      </w:pPr>
      <w:r>
        <w:rPr>
          <w:rFonts w:ascii="Calibri" w:cs="Calibri" w:eastAsia="Calibri" w:hAnsi="Calibri"/>
          <w:sz w:val="17"/>
          <w:szCs w:val="17"/>
          <w:color w:val="auto"/>
        </w:rPr>
        <w:t>As of March 31, 2024 and December 31, 2023, 1.1% and 0.6% of the portolio at fair value was on non-accrual status, respectvely. One new investment was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Floatng Rate Debt Investments</w:t>
      </w:r>
      <w:r>
        <w:rPr>
          <w:rFonts w:ascii="Calibri" w:cs="Calibri" w:eastAsia="Calibri" w:hAnsi="Calibri"/>
          <w:sz w:val="20"/>
          <w:szCs w:val="20"/>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220281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325755"/>
                    </a:xfrm>
                    <a:prstGeom prst="rect">
                      <a:avLst/>
                    </a:prstGeom>
                    <a:noFill/>
                  </pic:spPr>
                </pic:pic>
              </a:graphicData>
            </a:graphic>
          </wp:anchor>
        </w:drawing>
      </w:r>
    </w:p>
    <w:p>
      <w:pPr>
        <w:jc w:val="center"/>
        <w:spacing w:after="0" w:line="221" w:lineRule="auto"/>
        <w:rPr>
          <w:sz w:val="20"/>
          <w:szCs w:val="20"/>
          <w:color w:val="auto"/>
        </w:rPr>
      </w:pPr>
      <w:r>
        <w:rPr>
          <w:rFonts w:ascii="Calibri" w:cs="Calibri" w:eastAsia="Calibri" w:hAnsi="Calibri"/>
          <w:sz w:val="15"/>
          <w:szCs w:val="15"/>
          <w:b w:val="1"/>
          <w:bCs w:val="1"/>
          <w:color w:val="FFFFFF"/>
        </w:rPr>
        <w:t>(% FV)</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99.6%</w:t>
      </w:r>
    </w:p>
    <w:p>
      <w:pPr>
        <w:spacing w:after="0" w:line="384" w:lineRule="exact"/>
        <w:rPr>
          <w:sz w:val="20"/>
          <w:szCs w:val="20"/>
          <w:color w:val="auto"/>
        </w:rPr>
      </w:pPr>
    </w:p>
    <w:p>
      <w:pPr>
        <w:jc w:val="center"/>
        <w:ind w:left="260"/>
        <w:spacing w:after="0" w:line="247" w:lineRule="auto"/>
        <w:rPr>
          <w:sz w:val="20"/>
          <w:szCs w:val="20"/>
          <w:color w:val="auto"/>
        </w:rPr>
      </w:pPr>
      <w:r>
        <w:rPr>
          <w:rFonts w:ascii="Calibri" w:cs="Calibri" w:eastAsia="Calibri" w:hAnsi="Calibri"/>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220281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2815" cy="248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200" w:type="dxa"/>
            <w:vAlign w:val="bottom"/>
          </w:tcPr>
          <w:p>
            <w:pPr>
              <w:ind w:left="60"/>
              <w:spacing w:after="0"/>
              <w:rPr>
                <w:sz w:val="20"/>
                <w:szCs w:val="20"/>
                <w:color w:val="auto"/>
              </w:rPr>
            </w:pPr>
            <w:r>
              <w:rPr>
                <w:rFonts w:ascii="Calibri" w:cs="Calibri" w:eastAsia="Calibri" w:hAnsi="Calibri"/>
                <w:sz w:val="15"/>
                <w:szCs w:val="15"/>
                <w:b w:val="1"/>
                <w:bCs w:val="1"/>
                <w:color w:val="auto"/>
              </w:rPr>
              <w:t>Yield at Fair Value:</w:t>
            </w:r>
          </w:p>
        </w:tc>
        <w:tc>
          <w:tcPr>
            <w:tcW w:w="126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13.8%</w:t>
            </w:r>
          </w:p>
        </w:tc>
      </w:tr>
      <w:tr>
        <w:trPr>
          <w:trHeight w:val="56"/>
        </w:trPr>
        <w:tc>
          <w:tcPr>
            <w:tcW w:w="2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6"/>
        </w:trPr>
        <w:tc>
          <w:tcPr>
            <w:tcW w:w="2200" w:type="dxa"/>
            <w:vAlign w:val="bottom"/>
          </w:tcPr>
          <w:p>
            <w:pPr>
              <w:ind w:left="60"/>
              <w:spacing w:after="0" w:line="176" w:lineRule="exact"/>
              <w:rPr>
                <w:sz w:val="20"/>
                <w:szCs w:val="20"/>
                <w:color w:val="auto"/>
              </w:rPr>
            </w:pPr>
            <w:r>
              <w:rPr>
                <w:rFonts w:ascii="Calibri" w:cs="Calibri" w:eastAsia="Calibri" w:hAnsi="Calibri"/>
                <w:sz w:val="15"/>
                <w:szCs w:val="15"/>
                <w:b w:val="1"/>
                <w:bCs w:val="1"/>
                <w:color w:val="auto"/>
              </w:rPr>
              <w:t>Yield at Amortzed Cost:</w:t>
            </w:r>
          </w:p>
        </w:tc>
        <w:tc>
          <w:tcPr>
            <w:tcW w:w="1260" w:type="dxa"/>
            <w:vAlign w:val="bottom"/>
          </w:tcPr>
          <w:p>
            <w:pPr>
              <w:jc w:val="right"/>
              <w:ind w:right="184"/>
              <w:spacing w:after="0" w:line="176" w:lineRule="exact"/>
              <w:rPr>
                <w:sz w:val="20"/>
                <w:szCs w:val="20"/>
                <w:color w:val="auto"/>
              </w:rPr>
            </w:pPr>
            <w:r>
              <w:rPr>
                <w:rFonts w:ascii="Calibri" w:cs="Calibri" w:eastAsia="Calibri" w:hAnsi="Calibri"/>
                <w:sz w:val="15"/>
                <w:szCs w:val="15"/>
                <w:b w:val="1"/>
                <w:bCs w:val="1"/>
                <w:color w:val="auto"/>
              </w:rPr>
              <w:t>14.0%</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rFonts w:ascii="Calibri" w:cs="Calibri" w:eastAsia="Calibri" w:hAnsi="Calibri"/>
          <w:sz w:val="14"/>
          <w:szCs w:val="14"/>
          <w:color w:val="auto"/>
        </w:rPr>
        <w:t>As of March 31, 2024, excludes 24 structured credit</w:t>
      </w:r>
    </w:p>
    <w:p>
      <w:pPr>
        <w:ind w:left="100" w:hanging="96"/>
        <w:spacing w:after="0" w:line="197" w:lineRule="auto"/>
        <w:tabs>
          <w:tab w:leader="none" w:pos="100" w:val="left"/>
        </w:tabs>
        <w:numPr>
          <w:ilvl w:val="0"/>
          <w:numId w:val="2"/>
        </w:numPr>
        <w:rPr>
          <w:rFonts w:ascii="Times New Roman" w:cs="Times New Roman" w:eastAsia="Times New Roman" w:hAnsi="Times New Roman"/>
          <w:sz w:val="20"/>
          <w:szCs w:val="20"/>
          <w:color w:val="auto"/>
          <w:vertAlign w:val="superscript"/>
        </w:rPr>
      </w:pPr>
      <w:r>
        <w:rPr>
          <w:rFonts w:ascii="Calibri" w:cs="Calibri" w:eastAsia="Calibri" w:hAnsi="Calibri"/>
          <w:sz w:val="12"/>
          <w:szCs w:val="12"/>
          <w:color w:val="auto"/>
        </w:rPr>
        <w:t>investments with a total fair value of $30.6 million.</w:t>
      </w:r>
    </w:p>
    <w:p>
      <w:pPr>
        <w:spacing w:after="0" w:line="142" w:lineRule="exact"/>
        <w:rPr>
          <w:sz w:val="20"/>
          <w:szCs w:val="20"/>
          <w:color w:val="auto"/>
        </w:rPr>
      </w:pPr>
    </w:p>
    <w:p>
      <w:pPr>
        <w:ind w:right="20"/>
        <w:spacing w:after="0" w:line="222" w:lineRule="auto"/>
        <w:rPr>
          <w:sz w:val="20"/>
          <w:szCs w:val="20"/>
          <w:color w:val="auto"/>
        </w:rPr>
      </w:pPr>
      <w:r>
        <w:rPr>
          <w:rFonts w:ascii="Calibri" w:cs="Calibri" w:eastAsia="Calibri" w:hAnsi="Calibri"/>
          <w:sz w:val="14"/>
          <w:szCs w:val="14"/>
          <w:color w:val="auto"/>
        </w:rPr>
        <w:t>2 As of December 31, 2023, excludes 42 structured credit . investments with a total fair value of $55.8 million.</w:t>
      </w:r>
    </w:p>
    <w:p>
      <w:pPr>
        <w:spacing w:after="0" w:line="115" w:lineRule="exact"/>
        <w:rPr>
          <w:sz w:val="20"/>
          <w:szCs w:val="20"/>
          <w:color w:val="auto"/>
        </w:rPr>
      </w:pPr>
    </w:p>
    <w:p>
      <w:pPr>
        <w:ind w:right="20"/>
        <w:spacing w:after="0" w:line="245" w:lineRule="auto"/>
        <w:rPr>
          <w:sz w:val="20"/>
          <w:szCs w:val="20"/>
          <w:color w:val="auto"/>
        </w:rPr>
      </w:pPr>
      <w:r>
        <w:rPr>
          <w:rFonts w:ascii="Calibri" w:cs="Calibri" w:eastAsia="Calibri" w:hAnsi="Calibri"/>
          <w:sz w:val="14"/>
          <w:szCs w:val="14"/>
          <w:color w:val="auto"/>
        </w:rPr>
        <w:t>3 Calculaton includes income earning debt investments . only.</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140"/>
            <w:col w:w="3460"/>
          </w:cols>
          <w:pgMar w:left="320" w:top="1440" w:right="339" w:bottom="1440" w:gutter="0" w:footer="0" w:header="0"/>
          <w:type w:val="continuous"/>
        </w:sectPr>
      </w:pPr>
    </w:p>
    <w:bookmarkStart w:id="5" w:name="page6"/>
    <w:bookmarkEnd w:id="5"/>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RESULTS OF OPERATIONS FOR THE THREE MONTHS ENDED MARCH 31, 2024</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59055</wp:posOffset>
            </wp:positionV>
            <wp:extent cx="213423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291465"/>
                    </a:xfrm>
                    <a:prstGeom prst="rect">
                      <a:avLst/>
                    </a:prstGeom>
                    <a:noFill/>
                  </pic:spPr>
                </pic:pic>
              </a:graphicData>
            </a:graphic>
          </wp:anchor>
        </w:drawing>
      </w:r>
    </w:p>
    <w:p>
      <w:pPr>
        <w:spacing w:after="0" w:line="133" w:lineRule="exact"/>
        <w:rPr>
          <w:sz w:val="20"/>
          <w:szCs w:val="20"/>
          <w:color w:val="auto"/>
        </w:rPr>
      </w:pPr>
    </w:p>
    <w:p>
      <w:pPr>
        <w:ind w:left="8780"/>
        <w:spacing w:after="0"/>
        <w:rPr>
          <w:sz w:val="20"/>
          <w:szCs w:val="20"/>
          <w:color w:val="auto"/>
        </w:rPr>
      </w:pPr>
      <w:r>
        <w:rPr>
          <w:rFonts w:ascii="Calibri" w:cs="Calibri" w:eastAsia="Calibri" w:hAnsi="Calibri"/>
          <w:sz w:val="15"/>
          <w:szCs w:val="15"/>
          <w:b w:val="1"/>
          <w:bCs w:val="1"/>
          <w:color w:val="FFFFFF"/>
        </w:rPr>
        <w:t>Total Investment Income</w:t>
      </w:r>
    </w:p>
    <w:p>
      <w:pPr>
        <w:ind w:left="20" w:right="3780"/>
        <w:spacing w:after="0" w:line="228" w:lineRule="auto"/>
        <w:rPr>
          <w:sz w:val="20"/>
          <w:szCs w:val="20"/>
          <w:color w:val="auto"/>
        </w:rPr>
      </w:pPr>
      <w:r>
        <w:rPr>
          <w:rFonts w:ascii="Calibri" w:cs="Calibri" w:eastAsia="Calibri" w:hAnsi="Calibri"/>
          <w:sz w:val="17"/>
          <w:szCs w:val="17"/>
          <w:color w:val="auto"/>
        </w:rPr>
        <w:t>For the three months ended March 31, 2024 and 2023, investment income was $117.8 million and $96.5 million, respectvely. The increase in investment income was largely the result of net funding actvity.</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$117.8MM</w:t>
            </w:r>
          </w:p>
        </w:tc>
        <w:tc>
          <w:tcPr>
            <w:tcW w:w="0" w:type="dxa"/>
            <w:vAlign w:val="bottom"/>
          </w:tcPr>
          <w:p>
            <w:pPr>
              <w:spacing w:after="0"/>
              <w:rPr>
                <w:sz w:val="1"/>
                <w:szCs w:val="1"/>
                <w:color w:val="auto"/>
              </w:rPr>
            </w:pPr>
          </w:p>
        </w:tc>
      </w:tr>
      <w:tr>
        <w:trPr>
          <w:trHeight w:val="517"/>
        </w:trPr>
        <w:tc>
          <w:tcPr>
            <w:tcW w:w="7860" w:type="dxa"/>
            <w:vAlign w:val="bottom"/>
          </w:tcPr>
          <w:p>
            <w:pPr>
              <w:spacing w:after="0"/>
              <w:rPr>
                <w:sz w:val="20"/>
                <w:szCs w:val="20"/>
                <w:color w:val="auto"/>
              </w:rPr>
            </w:pPr>
            <w:r>
              <w:rPr>
                <w:rFonts w:ascii="Calibri" w:cs="Calibri" w:eastAsia="Calibri" w:hAnsi="Calibri"/>
                <w:sz w:val="17"/>
                <w:szCs w:val="17"/>
                <w:b w:val="1"/>
                <w:bCs w:val="1"/>
                <w:color w:val="auto"/>
              </w:rPr>
              <w:t>Net Expenses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78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7860" w:type="dxa"/>
            <w:vAlign w:val="bottom"/>
            <w:vMerge w:val="restart"/>
          </w:tcPr>
          <w:p>
            <w:pPr>
              <w:spacing w:after="0"/>
              <w:rPr>
                <w:sz w:val="20"/>
                <w:szCs w:val="20"/>
                <w:color w:val="auto"/>
              </w:rPr>
            </w:pPr>
            <w:r>
              <w:rPr>
                <w:rFonts w:ascii="Calibri" w:cs="Calibri" w:eastAsia="Calibri" w:hAnsi="Calibri"/>
                <w:sz w:val="18"/>
                <w:szCs w:val="18"/>
                <w:color w:val="auto"/>
                <w:w w:val="99"/>
              </w:rPr>
              <w:t>Net expenses totaled $64.6 million and $53.2 million for the three months ended March 31, 2024 and 2023,</w:t>
            </w:r>
          </w:p>
        </w:tc>
        <w:tc>
          <w:tcPr>
            <w:tcW w:w="3360" w:type="dxa"/>
            <w:vAlign w:val="bottom"/>
            <w:shd w:val="clear" w:color="auto" w:fill="0F2F50"/>
          </w:tcPr>
          <w:p>
            <w:pPr>
              <w:ind w:left="1260"/>
              <w:spacing w:after="0"/>
              <w:rPr>
                <w:sz w:val="20"/>
                <w:szCs w:val="20"/>
                <w:color w:val="auto"/>
              </w:rPr>
            </w:pPr>
            <w:r>
              <w:rPr>
                <w:rFonts w:ascii="Calibri" w:cs="Calibri" w:eastAsia="Calibri" w:hAnsi="Calibri"/>
                <w:sz w:val="15"/>
                <w:szCs w:val="15"/>
                <w:b w:val="1"/>
                <w:bCs w:val="1"/>
                <w:color w:val="FFFFFF"/>
              </w:rPr>
              <w:t>Net Expenses</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3360" w:type="dxa"/>
            <w:vAlign w:val="bottom"/>
            <w:tcBorders>
              <w:bottom w:val="single" w:sz="8" w:color="0F2F50"/>
            </w:tcBorders>
            <w:shd w:val="clear" w:color="auto" w:fill="0F2F50"/>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860" w:type="dxa"/>
            <w:vAlign w:val="bottom"/>
          </w:tcPr>
          <w:p>
            <w:pPr>
              <w:spacing w:after="0" w:line="179" w:lineRule="exact"/>
              <w:rPr>
                <w:sz w:val="20"/>
                <w:szCs w:val="20"/>
                <w:color w:val="auto"/>
              </w:rPr>
            </w:pPr>
            <w:r>
              <w:rPr>
                <w:rFonts w:ascii="Calibri" w:cs="Calibri" w:eastAsia="Calibri" w:hAnsi="Calibri"/>
                <w:sz w:val="18"/>
                <w:szCs w:val="18"/>
                <w:color w:val="auto"/>
              </w:rPr>
              <w:t>respectvely. The increase in net expenses was primarily due to the upward movement in reference rates</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Calibri" w:cs="Calibri" w:eastAsia="Calibri" w:hAnsi="Calibri"/>
                <w:sz w:val="18"/>
                <w:szCs w:val="18"/>
                <w:color w:val="auto"/>
              </w:rPr>
              <w:t>which increased the Company’s weighted average interest rate on average debt outstanding.</w:t>
            </w:r>
          </w:p>
        </w:tc>
        <w:tc>
          <w:tcPr>
            <w:tcW w:w="336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$64.6MM</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Debt and Capital Resources</w:t>
      </w:r>
    </w:p>
    <w:p>
      <w:pPr>
        <w:sectPr>
          <w:pgSz w:w="11900" w:h="16838" w:orient="portrait"/>
          <w:cols w:equalWidth="0" w:num="1">
            <w:col w:w="11240"/>
          </w:cols>
          <w:pgMar w:left="320" w:top="1440" w:right="339" w:bottom="1440" w:gutter="0" w:footer="0" w:header="0"/>
        </w:sectPr>
      </w:pPr>
    </w:p>
    <w:p>
      <w:pPr>
        <w:spacing w:after="0" w:line="341" w:lineRule="exact"/>
        <w:rPr>
          <w:sz w:val="20"/>
          <w:szCs w:val="20"/>
          <w:color w:val="auto"/>
        </w:rPr>
      </w:pPr>
    </w:p>
    <w:p>
      <w:pPr>
        <w:ind w:left="20"/>
        <w:spacing w:after="0" w:line="235" w:lineRule="auto"/>
        <w:rPr>
          <w:sz w:val="20"/>
          <w:szCs w:val="20"/>
          <w:color w:val="auto"/>
        </w:rPr>
      </w:pPr>
      <w:r>
        <w:rPr>
          <w:rFonts w:ascii="Calibri" w:cs="Calibri" w:eastAsia="Calibri" w:hAnsi="Calibri"/>
          <w:sz w:val="18"/>
          <w:szCs w:val="18"/>
          <w:color w:val="auto"/>
        </w:rPr>
        <w:t>As of March 31, 2024, the Company had $35.9 million in cash and cash equivalents (including $29.1 million of restricted cash), total principal value of debt outstanding of $1,877.9 million, and $1,104.6 million of undrawn capacity on its revolving credit facility, subject to borrowing base and other limitatons. The Company’s weighted average interest rate on debt outstanding was 7.6% and 7.8% for the three-month periods ended March 31, 2024 and December 31, 2023, respectvely. At March 31, 2024, the Company’s debt to equity rato was 1.19x, compared to 1.23x at December 31, 2023. Average debt to equity was 1.24x for the three-month period ended March 31, 2024, compared to 1.22x for the three-month period ended December 31, 2023.</w:t>
      </w:r>
    </w:p>
    <w:p>
      <w:pPr>
        <w:spacing w:after="0" w:line="136" w:lineRule="exact"/>
        <w:rPr>
          <w:sz w:val="20"/>
          <w:szCs w:val="20"/>
          <w:color w:val="auto"/>
        </w:rPr>
      </w:pPr>
    </w:p>
    <w:p>
      <w:pPr>
        <w:ind w:left="180" w:right="180" w:hanging="159"/>
        <w:spacing w:after="0" w:line="245" w:lineRule="auto"/>
        <w:tabs>
          <w:tab w:leader="none" w:pos="1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Daily average debt outstanding during the quarter divided by the average net assets during the quarter.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213423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145415"/>
                    </a:xfrm>
                    <a:prstGeom prst="rect">
                      <a:avLst/>
                    </a:prstGeom>
                    <a:noFill/>
                  </pic:spPr>
                </pic:pic>
              </a:graphicData>
            </a:graphic>
          </wp:anchor>
        </w:drawing>
      </w:r>
    </w:p>
    <w:p>
      <w:pPr>
        <w:spacing w:after="0" w:line="26" w:lineRule="exact"/>
        <w:rPr>
          <w:sz w:val="20"/>
          <w:szCs w:val="20"/>
          <w:color w:val="auto"/>
        </w:rPr>
      </w:pPr>
    </w:p>
    <w:p>
      <w:pPr>
        <w:ind w:left="1280"/>
        <w:spacing w:after="0"/>
        <w:rPr>
          <w:sz w:val="20"/>
          <w:szCs w:val="20"/>
          <w:color w:val="auto"/>
        </w:rPr>
      </w:pPr>
      <w:r>
        <w:rPr>
          <w:rFonts w:ascii="Calibri" w:cs="Calibri" w:eastAsia="Calibri" w:hAnsi="Calibri"/>
          <w:sz w:val="15"/>
          <w:szCs w:val="15"/>
          <w:b w:val="1"/>
          <w:bCs w:val="1"/>
          <w:color w:val="auto"/>
        </w:rPr>
        <w:t>$1,877.9MM</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Borders>
              <w:bottom w:val="single" w:sz="8" w:color="0F2F50"/>
            </w:tcBorders>
            <w:shd w:val="clear" w:color="auto" w:fill="0F2F50"/>
          </w:tcPr>
          <w:p>
            <w:pPr>
              <w:spacing w:after="0"/>
              <w:rPr>
                <w:sz w:val="18"/>
                <w:szCs w:val="18"/>
                <w:color w:val="auto"/>
              </w:rPr>
            </w:pPr>
          </w:p>
        </w:tc>
        <w:tc>
          <w:tcPr>
            <w:tcW w:w="2380" w:type="dxa"/>
            <w:vAlign w:val="bottom"/>
            <w:tcBorders>
              <w:bottom w:val="single" w:sz="8" w:color="0F2F50"/>
            </w:tcBorders>
            <w:shd w:val="clear" w:color="auto" w:fill="0F2F50"/>
          </w:tcPr>
          <w:p>
            <w:pPr>
              <w:ind w:left="760"/>
              <w:spacing w:after="0"/>
              <w:rPr>
                <w:sz w:val="20"/>
                <w:szCs w:val="20"/>
                <w:color w:val="auto"/>
              </w:rPr>
            </w:pPr>
            <w:r>
              <w:rPr>
                <w:rFonts w:ascii="Calibri" w:cs="Calibri" w:eastAsia="Calibri" w:hAnsi="Calibri"/>
                <w:sz w:val="15"/>
                <w:szCs w:val="15"/>
                <w:b w:val="1"/>
                <w:bCs w:val="1"/>
                <w:color w:val="FFFFFF"/>
              </w:rPr>
              <w:t>Debt-to-Equity Rato</w:t>
            </w:r>
          </w:p>
        </w:tc>
        <w:tc>
          <w:tcPr>
            <w:tcW w:w="700" w:type="dxa"/>
            <w:vAlign w:val="bottom"/>
            <w:tcBorders>
              <w:bottom w:val="single" w:sz="8" w:color="0F2F50"/>
            </w:tcBorders>
            <w:shd w:val="clear" w:color="auto" w:fill="0F2F50"/>
          </w:tcPr>
          <w:p>
            <w:pPr>
              <w:spacing w:after="0"/>
              <w:rPr>
                <w:sz w:val="18"/>
                <w:szCs w:val="18"/>
                <w:color w:val="auto"/>
              </w:rPr>
            </w:pPr>
          </w:p>
        </w:tc>
      </w:tr>
      <w:tr>
        <w:trPr>
          <w:trHeight w:val="183"/>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Q1</w:t>
            </w:r>
          </w:p>
        </w:tc>
        <w:tc>
          <w:tcPr>
            <w:tcW w:w="2380" w:type="dxa"/>
            <w:vAlign w:val="bottom"/>
          </w:tcPr>
          <w:p>
            <w:pPr>
              <w:ind w:left="20"/>
              <w:spacing w:after="0"/>
              <w:rPr>
                <w:sz w:val="20"/>
                <w:szCs w:val="20"/>
                <w:color w:val="auto"/>
              </w:rPr>
            </w:pPr>
            <w:r>
              <w:rPr>
                <w:rFonts w:ascii="Calibri" w:cs="Calibri" w:eastAsia="Calibri" w:hAnsi="Calibri"/>
                <w:sz w:val="15"/>
                <w:szCs w:val="15"/>
                <w:b w:val="1"/>
                <w:bCs w:val="1"/>
                <w:color w:val="auto"/>
              </w:rPr>
              <w:t>2024 Quarter End:</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1.19x</w:t>
            </w:r>
          </w:p>
        </w:tc>
      </w:tr>
      <w:tr>
        <w:trPr>
          <w:trHeight w:val="240"/>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Q4</w:t>
            </w:r>
          </w:p>
        </w:tc>
        <w:tc>
          <w:tcPr>
            <w:tcW w:w="2380" w:type="dxa"/>
            <w:vAlign w:val="bottom"/>
          </w:tcPr>
          <w:p>
            <w:pPr>
              <w:ind w:left="20"/>
              <w:spacing w:after="0" w:line="240" w:lineRule="exact"/>
              <w:rPr>
                <w:sz w:val="20"/>
                <w:szCs w:val="20"/>
                <w:color w:val="auto"/>
              </w:rPr>
            </w:pPr>
            <w:r>
              <w:rPr>
                <w:rFonts w:ascii="Calibri" w:cs="Calibri" w:eastAsia="Calibri" w:hAnsi="Calibri"/>
                <w:sz w:val="15"/>
                <w:szCs w:val="15"/>
                <w:b w:val="1"/>
                <w:bCs w:val="1"/>
                <w:color w:val="auto"/>
              </w:rPr>
              <w:t>2024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620" w:space="260"/>
            <w:col w:w="3360"/>
          </w:cols>
          <w:pgMar w:left="320" w:top="1440" w:right="339" w:bottom="1440" w:gutter="0" w:footer="0" w:header="0"/>
          <w:type w:val="continuous"/>
        </w:sectPr>
      </w:pPr>
    </w:p>
    <w:bookmarkStart w:id="6" w:name="page7"/>
    <w:bookmarkEnd w:id="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LIQUIDITY AND FUNDING PROFILE</w:t>
      </w:r>
    </w:p>
    <w:p>
      <w:pPr>
        <w:spacing w:after="0" w:line="1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Liquidity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Company’s liquidity at March 31, 2024 and changes to unfunded commitments since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alibri" w:cs="Calibri" w:eastAsia="Calibri" w:hAnsi="Calibri"/>
                <w:sz w:val="14"/>
                <w:szCs w:val="14"/>
                <w:color w:val="auto"/>
              </w:rPr>
              <w:t>$ Millions</w:t>
            </w:r>
          </w:p>
        </w:tc>
        <w:tc>
          <w:tcPr>
            <w:tcW w:w="14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60"/>
        </w:trPr>
        <w:tc>
          <w:tcPr>
            <w:tcW w:w="4380" w:type="dxa"/>
            <w:vAlign w:val="bottom"/>
          </w:tcPr>
          <w:p>
            <w:pPr>
              <w:ind w:left="1920"/>
              <w:spacing w:after="0"/>
              <w:rPr>
                <w:sz w:val="20"/>
                <w:szCs w:val="20"/>
                <w:color w:val="auto"/>
              </w:rPr>
            </w:pPr>
            <w:r>
              <w:rPr>
                <w:rFonts w:ascii="Calibri" w:cs="Calibri" w:eastAsia="Calibri" w:hAnsi="Calibri"/>
                <w:sz w:val="18"/>
                <w:szCs w:val="18"/>
                <w:b w:val="1"/>
                <w:bCs w:val="1"/>
                <w:color w:val="FFFFFF"/>
              </w:rPr>
              <w:t>Revolving Credit Facility</w:t>
            </w:r>
          </w:p>
        </w:tc>
        <w:tc>
          <w:tcPr>
            <w:tcW w:w="1420" w:type="dxa"/>
            <w:vAlign w:val="bottom"/>
          </w:tcPr>
          <w:p>
            <w:pPr>
              <w:spacing w:after="0"/>
              <w:rPr>
                <w:sz w:val="22"/>
                <w:szCs w:val="22"/>
                <w:color w:val="auto"/>
              </w:rPr>
            </w:pPr>
          </w:p>
        </w:tc>
        <w:tc>
          <w:tcPr>
            <w:tcW w:w="4500" w:type="dxa"/>
            <w:vAlign w:val="bottom"/>
            <w:tcBorders>
              <w:bottom w:val="single" w:sz="8" w:color="0F2F50"/>
            </w:tcBorders>
            <w:shd w:val="clear" w:color="auto" w:fill="0F2F50"/>
          </w:tcPr>
          <w:p>
            <w:pPr>
              <w:ind w:left="1560"/>
              <w:spacing w:after="0"/>
              <w:rPr>
                <w:sz w:val="20"/>
                <w:szCs w:val="20"/>
                <w:color w:val="auto"/>
              </w:rPr>
            </w:pPr>
            <w:r>
              <w:rPr>
                <w:rFonts w:ascii="Calibri" w:cs="Calibri" w:eastAsia="Calibri" w:hAnsi="Calibri"/>
                <w:sz w:val="18"/>
                <w:szCs w:val="18"/>
                <w:b w:val="1"/>
                <w:bCs w:val="1"/>
                <w:color w:val="FFFFFF"/>
              </w:rPr>
              <w:t>Unfunded Commitment Actvity</w:t>
            </w:r>
          </w:p>
        </w:tc>
        <w:tc>
          <w:tcPr>
            <w:tcW w:w="940" w:type="dxa"/>
            <w:vAlign w:val="bottom"/>
            <w:tcBorders>
              <w:bottom w:val="single" w:sz="8" w:color="0F2F50"/>
            </w:tcBorders>
            <w:shd w:val="clear" w:color="auto" w:fill="0F2F50"/>
          </w:tcPr>
          <w:p>
            <w:pPr>
              <w:spacing w:after="0"/>
              <w:rPr>
                <w:sz w:val="22"/>
                <w:szCs w:val="22"/>
                <w:color w:val="auto"/>
              </w:rPr>
            </w:pPr>
          </w:p>
        </w:tc>
      </w:tr>
      <w:tr>
        <w:trPr>
          <w:trHeight w:val="202"/>
        </w:trPr>
        <w:tc>
          <w:tcPr>
            <w:tcW w:w="4380" w:type="dxa"/>
            <w:vAlign w:val="bottom"/>
          </w:tcPr>
          <w:p>
            <w:pPr>
              <w:ind w:left="20"/>
              <w:spacing w:after="0" w:line="202" w:lineRule="exact"/>
              <w:rPr>
                <w:sz w:val="20"/>
                <w:szCs w:val="20"/>
                <w:color w:val="auto"/>
              </w:rPr>
            </w:pPr>
            <w:r>
              <w:rPr>
                <w:rFonts w:ascii="Calibri" w:cs="Calibri" w:eastAsia="Calibri" w:hAnsi="Calibri"/>
                <w:sz w:val="16"/>
                <w:szCs w:val="16"/>
                <w:b w:val="1"/>
                <w:bCs w:val="1"/>
                <w:color w:val="auto"/>
              </w:rPr>
              <w:t>Revolver Capacity</w:t>
            </w:r>
            <w:r>
              <w:rPr>
                <w:rFonts w:ascii="Calibri" w:cs="Calibri" w:eastAsia="Calibri" w:hAnsi="Calibri"/>
                <w:sz w:val="21"/>
                <w:szCs w:val="21"/>
                <w:b w:val="1"/>
                <w:bCs w:val="1"/>
                <w:color w:val="auto"/>
                <w:vertAlign w:val="superscript"/>
              </w:rPr>
              <w:t>1</w:t>
            </w:r>
          </w:p>
        </w:tc>
        <w:tc>
          <w:tcPr>
            <w:tcW w:w="1420" w:type="dxa"/>
            <w:vAlign w:val="bottom"/>
          </w:tcPr>
          <w:p>
            <w:pPr>
              <w:jc w:val="right"/>
              <w:ind w:right="159"/>
              <w:spacing w:after="0" w:line="175" w:lineRule="exact"/>
              <w:rPr>
                <w:sz w:val="20"/>
                <w:szCs w:val="20"/>
                <w:color w:val="auto"/>
              </w:rPr>
            </w:pPr>
            <w:r>
              <w:rPr>
                <w:rFonts w:ascii="Calibri" w:cs="Calibri" w:eastAsia="Calibri" w:hAnsi="Calibri"/>
                <w:sz w:val="16"/>
                <w:szCs w:val="16"/>
                <w:b w:val="1"/>
                <w:bCs w:val="1"/>
                <w:color w:val="auto"/>
              </w:rPr>
              <w:t>$1,700</w:t>
            </w:r>
          </w:p>
        </w:tc>
        <w:tc>
          <w:tcPr>
            <w:tcW w:w="45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Unfunded Commitments (See Note 8 in 12/31/23 10-K)</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5318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1870" cy="17145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top w:val="single" w:sz="8" w:color="ECEEF0"/>
            </w:tcBorders>
          </w:tcPr>
          <w:p>
            <w:pPr>
              <w:ind w:left="20"/>
              <w:spacing w:after="0"/>
              <w:rPr>
                <w:sz w:val="20"/>
                <w:szCs w:val="20"/>
                <w:color w:val="auto"/>
              </w:rPr>
            </w:pPr>
            <w:r>
              <w:rPr>
                <w:rFonts w:ascii="Calibri" w:cs="Calibri" w:eastAsia="Calibri" w:hAnsi="Calibri"/>
                <w:sz w:val="16"/>
                <w:szCs w:val="16"/>
                <w:color w:val="auto"/>
              </w:rPr>
              <w:t>Drawn on Revolver</w:t>
            </w:r>
          </w:p>
        </w:tc>
        <w:tc>
          <w:tcPr>
            <w:tcW w:w="1160" w:type="dxa"/>
            <w:vAlign w:val="bottom"/>
            <w:tcBorders>
              <w:top w:val="single" w:sz="8" w:color="ECEEF0"/>
            </w:tcBorders>
          </w:tcPr>
          <w:p>
            <w:pPr>
              <w:jc w:val="right"/>
              <w:spacing w:after="0"/>
              <w:rPr>
                <w:sz w:val="20"/>
                <w:szCs w:val="20"/>
                <w:color w:val="auto"/>
              </w:rPr>
            </w:pPr>
            <w:r>
              <w:rPr>
                <w:rFonts w:ascii="Calibri" w:cs="Calibri" w:eastAsia="Calibri" w:hAnsi="Calibri"/>
                <w:sz w:val="16"/>
                <w:szCs w:val="16"/>
                <w:color w:val="auto"/>
              </w:rPr>
              <w:t>($580)</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Unrestricted Cash Balance</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$7</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(Pre-Unfunded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$1,127</w:t>
            </w:r>
          </w:p>
        </w:tc>
      </w:tr>
      <w:tr>
        <w:trPr>
          <w:trHeight w:val="252"/>
        </w:trPr>
        <w:tc>
          <w:tcPr>
            <w:tcW w:w="4400" w:type="dxa"/>
            <w:vAlign w:val="bottom"/>
          </w:tcPr>
          <w:p>
            <w:pPr>
              <w:ind w:left="20"/>
              <w:spacing w:after="0" w:line="252" w:lineRule="exact"/>
              <w:rPr>
                <w:sz w:val="20"/>
                <w:szCs w:val="20"/>
                <w:color w:val="auto"/>
              </w:rPr>
            </w:pPr>
            <w:r>
              <w:rPr>
                <w:rFonts w:ascii="Calibri" w:cs="Calibri" w:eastAsia="Calibri" w:hAnsi="Calibri"/>
                <w:sz w:val="16"/>
                <w:szCs w:val="16"/>
                <w:color w:val="auto"/>
              </w:rPr>
              <w:t>Available Unfunded Commitments</w:t>
            </w:r>
            <w:r>
              <w:rPr>
                <w:rFonts w:ascii="Calibri" w:cs="Calibri" w:eastAsia="Calibri" w:hAnsi="Calibri"/>
                <w:sz w:val="21"/>
                <w:szCs w:val="21"/>
                <w:color w:val="auto"/>
                <w:vertAlign w:val="superscript"/>
              </w:rPr>
              <w:t>2</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($260)</w:t>
            </w:r>
          </w:p>
        </w:tc>
      </w:tr>
      <w:tr>
        <w:trPr>
          <w:trHeight w:val="27"/>
        </w:trPr>
        <w:tc>
          <w:tcPr>
            <w:tcW w:w="4400" w:type="dxa"/>
            <w:vAlign w:val="bottom"/>
            <w:tcBorders>
              <w:bottom w:val="single" w:sz="8" w:color="ECEEF0"/>
            </w:tcBorders>
          </w:tcPr>
          <w:p>
            <w:pPr>
              <w:spacing w:after="0"/>
              <w:rPr>
                <w:sz w:val="2"/>
                <w:szCs w:val="2"/>
                <w:color w:val="auto"/>
              </w:rPr>
            </w:pPr>
          </w:p>
        </w:tc>
        <w:tc>
          <w:tcPr>
            <w:tcW w:w="1160" w:type="dxa"/>
            <w:vAlign w:val="bottom"/>
            <w:tcBorders>
              <w:bottom w:val="single" w:sz="8" w:color="ECEEF0"/>
            </w:tcBorders>
          </w:tcPr>
          <w:p>
            <w:pPr>
              <w:spacing w:after="0"/>
              <w:rPr>
                <w:sz w:val="2"/>
                <w:szCs w:val="2"/>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(Burdened for 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$867</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3531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ind w:left="20"/>
              <w:spacing w:after="0"/>
              <w:rPr>
                <w:sz w:val="20"/>
                <w:szCs w:val="20"/>
                <w:color w:val="auto"/>
              </w:rPr>
            </w:pPr>
            <w:r>
              <w:rPr>
                <w:rFonts w:ascii="Calibri" w:cs="Calibri" w:eastAsia="Calibri" w:hAnsi="Calibri"/>
                <w:sz w:val="16"/>
                <w:szCs w:val="16"/>
                <w:color w:val="auto"/>
              </w:rPr>
              <w:t>Extnguished Unfunded Commitments</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41"/>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color w:val="auto"/>
              </w:rPr>
              <w:t>New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$105</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color w:val="auto"/>
              </w:rPr>
              <w:t>Net Drawdown of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($36)</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$364</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223"/>
        </w:trPr>
        <w:tc>
          <w:tcPr>
            <w:tcW w:w="392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color w:val="auto"/>
              </w:rPr>
              <w:t>Unavailable Unfunded Commitments</w:t>
            </w:r>
            <w:r>
              <w:rPr>
                <w:rFonts w:ascii="Calibri" w:cs="Calibri" w:eastAsia="Calibri" w:hAnsi="Calibri"/>
                <w:sz w:val="21"/>
                <w:szCs w:val="21"/>
                <w:color w:val="auto"/>
                <w:vertAlign w:val="superscript"/>
              </w:rPr>
              <w:t>2</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($104)</w:t>
            </w:r>
          </w:p>
        </w:tc>
      </w:tr>
      <w:tr>
        <w:trPr>
          <w:trHeight w:val="223"/>
        </w:trPr>
        <w:tc>
          <w:tcPr>
            <w:tcW w:w="392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b w:val="1"/>
                <w:bCs w:val="1"/>
                <w:color w:val="auto"/>
              </w:rPr>
              <w:t>Available Unfunded Commitments</w:t>
            </w:r>
            <w:r>
              <w:rPr>
                <w:rFonts w:ascii="Calibri" w:cs="Calibri" w:eastAsia="Calibri" w:hAnsi="Calibri"/>
                <w:sz w:val="21"/>
                <w:szCs w:val="21"/>
                <w:b w:val="1"/>
                <w:bCs w:val="1"/>
                <w:color w:val="auto"/>
                <w:vertAlign w:val="superscript"/>
              </w:rPr>
              <w:t>2</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b w:val="1"/>
                <w:bCs w:val="1"/>
                <w:color w:val="auto"/>
              </w:rPr>
              <w:t>$260</w:t>
            </w:r>
          </w:p>
        </w:tc>
      </w:tr>
    </w:tbl>
    <w:p>
      <w:pPr>
        <w:spacing w:after="0" w:line="87"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tabs>
          <w:tab w:leader="none" w:pos="38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Adjusted for the amendment and extension of the revolving credit facility that closed on April 24, 2024.</w:t>
      </w:r>
    </w:p>
    <w:p>
      <w:pPr>
        <w:ind w:left="380" w:hanging="372"/>
        <w:spacing w:after="0" w:line="224" w:lineRule="auto"/>
        <w:tabs>
          <w:tab w:leader="none" w:pos="38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line="225" w:lineRule="auto"/>
        <w:rPr>
          <w:sz w:val="20"/>
          <w:szCs w:val="20"/>
          <w:color w:val="auto"/>
        </w:rPr>
      </w:pPr>
      <w:r>
        <w:rPr>
          <w:rFonts w:ascii="Calibri" w:cs="Calibri" w:eastAsia="Calibri" w:hAnsi="Calibri"/>
          <w:sz w:val="13"/>
          <w:szCs w:val="13"/>
          <w:color w:val="auto"/>
        </w:rPr>
        <w:t>Note: May not sum due to rounding.</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Profle</w:t>
      </w:r>
    </w:p>
    <w:p>
      <w:pPr>
        <w:spacing w:after="0" w:line="109"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At March 31, 2024, the Company’s funding mix was comprised of approximately 69% unsecured and 31% secured debt. As illustrated below, the Company’s nearest debt maturity is in November 2024 at $348 million, and the weighted average remaining life of investments funded with debt was ~2.5 years, compared to a weighted average remaining maturity on debt of ~4.0 years</w:t>
      </w:r>
      <w:r>
        <w:rPr>
          <w:rFonts w:ascii="Calibri" w:cs="Calibri" w:eastAsia="Calibri" w:hAnsi="Calibri"/>
          <w:sz w:val="24"/>
          <w:szCs w:val="24"/>
          <w:color w:val="auto"/>
          <w:vertAlign w:val="superscript"/>
        </w:rPr>
        <w:t>2</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255905</wp:posOffset>
            </wp:positionV>
            <wp:extent cx="5520690" cy="1603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069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Includes $25 million of non-extending commitments with a maturity of February 4, 2026 and a revolving period ending February 4, 2025 and $170 million of non-extending commitments with a maturity of April 23, 2027 and a revolving period ending April 24, 2026.</w:t>
      </w: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Adjusted for the amendment and extension of the revolving credit facility that closed on April 24, 2024.</w:t>
      </w: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Weighted by gross commitment amount.</w:t>
      </w:r>
    </w:p>
    <w:p>
      <w:pPr>
        <w:spacing w:after="0" w:line="98" w:lineRule="exact"/>
        <w:rPr>
          <w:sz w:val="20"/>
          <w:szCs w:val="20"/>
          <w:color w:val="auto"/>
        </w:rPr>
      </w:pPr>
    </w:p>
    <w:p>
      <w:pPr>
        <w:spacing w:after="0"/>
        <w:rPr>
          <w:sz w:val="20"/>
          <w:szCs w:val="20"/>
          <w:color w:val="auto"/>
        </w:rPr>
      </w:pPr>
      <w:r>
        <w:rPr>
          <w:rFonts w:ascii="Calibri" w:cs="Calibri" w:eastAsia="Calibri" w:hAnsi="Calibri"/>
          <w:sz w:val="13"/>
          <w:szCs w:val="13"/>
          <w:color w:val="auto"/>
        </w:rPr>
        <w:t>Note: Numbers may not sum due to rounding.</w:t>
      </w: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3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conference call to discuss the Company’s fnancial results will be held at 8:30 a.m. Eastern Time on May 2, 2024.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21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Research analysts who wish to partcipate in the conference call must frst register at htps://register.vevent.com/register/BIbc085574d0e642a99b7c331a29e08d79. Upon registraton, all telephone partcipants will receive a confrmaton email detailing how to join the conference call, including the dial-in number along with a unique passcode and registrant ID that can be used to access the call.</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Replay Informaton:</w:t>
      </w:r>
    </w:p>
    <w:p>
      <w:pPr>
        <w:spacing w:after="0" w:line="3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recorded version will be available under the same webcast link (</w:t>
      </w:r>
      <w:r>
        <w:rPr>
          <w:rFonts w:ascii="Calibri" w:cs="Calibri" w:eastAsia="Calibri" w:hAnsi="Calibri"/>
          <w:sz w:val="18"/>
          <w:szCs w:val="18"/>
          <w:color w:val="0563C1"/>
        </w:rPr>
        <w:t>htps://sixthstreetspecialtylending.gcs-web.com/events-and-presentatons</w:t>
      </w:r>
      <w:r>
        <w:rPr>
          <w:rFonts w:ascii="Calibri" w:cs="Calibri" w:eastAsia="Calibri" w:hAnsi="Calibri"/>
          <w:sz w:val="18"/>
          <w:szCs w:val="18"/>
          <w:color w:val="auto"/>
        </w:rPr>
        <w:t>) following the conclusion of the conference call.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in millions, except per share amounts)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3,452.0</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644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13.8 %</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14.7 %</w:t>
            </w:r>
          </w:p>
        </w:tc>
        <w:tc>
          <w:tcPr>
            <w:tcW w:w="1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Investment Income) </w:t>
            </w:r>
            <w:r>
              <w:rPr>
                <w:rFonts w:ascii="Times New Roman" w:cs="Times New Roman" w:eastAsia="Times New Roman" w:hAnsi="Times New Roman"/>
                <w:sz w:val="24"/>
                <w:szCs w:val="24"/>
                <w:color w:val="auto"/>
                <w:vertAlign w:val="superscript"/>
              </w:rPr>
              <w:t>(2)(3)</w:t>
            </w:r>
          </w:p>
        </w:tc>
        <w:tc>
          <w:tcPr>
            <w:tcW w:w="14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14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1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50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Fair Value</w:t>
            </w:r>
          </w:p>
        </w:tc>
        <w:tc>
          <w:tcPr>
            <w:tcW w:w="14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13.8 %</w:t>
            </w:r>
          </w:p>
        </w:tc>
        <w:tc>
          <w:tcPr>
            <w:tcW w:w="2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14.1 %</w:t>
            </w:r>
          </w:p>
        </w:tc>
        <w:tc>
          <w:tcPr>
            <w:tcW w:w="1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Amortized Cost</w:t>
            </w:r>
          </w:p>
        </w:tc>
        <w:tc>
          <w:tcPr>
            <w:tcW w:w="14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14.0 %</w:t>
            </w:r>
          </w:p>
        </w:tc>
        <w:tc>
          <w:tcPr>
            <w:tcW w:w="2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Percentage of Debt Investment Commitments at Floating Rates </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99.7 %</w:t>
            </w:r>
          </w:p>
        </w:tc>
        <w:tc>
          <w:tcPr>
            <w:tcW w:w="1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-1096645</wp:posOffset>
            </wp:positionV>
            <wp:extent cx="705485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-788035</wp:posOffset>
            </wp:positionV>
            <wp:extent cx="705485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-462280</wp:posOffset>
            </wp:positionV>
            <wp:extent cx="7054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-153670</wp:posOffset>
            </wp:positionV>
            <wp:extent cx="705485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40"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net asset value per share gives efect to the supplemental dividend declared related to earnings or special dividend in the applicable period.</w:t>
      </w:r>
    </w:p>
    <w:p>
      <w:pPr>
        <w:spacing w:after="0" w:line="5" w:lineRule="exact"/>
        <w:rPr>
          <w:rFonts w:ascii="Calibri" w:cs="Calibri" w:eastAsia="Calibri" w:hAnsi="Calibri"/>
          <w:sz w:val="14"/>
          <w:szCs w:val="14"/>
          <w:color w:val="auto"/>
        </w:rPr>
      </w:pPr>
    </w:p>
    <w:p>
      <w:pPr>
        <w:ind w:left="760" w:hanging="378"/>
        <w:spacing w:after="0" w:line="245" w:lineRule="auto"/>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spacing w:after="0" w:line="1" w:lineRule="exact"/>
        <w:rPr>
          <w:rFonts w:ascii="Calibri" w:cs="Calibri" w:eastAsia="Calibri" w:hAnsi="Calibri"/>
          <w:sz w:val="14"/>
          <w:szCs w:val="14"/>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Return on equity is calculated using prior period’s ending net asset value per share.</w:t>
      </w:r>
    </w:p>
    <w:p>
      <w:pPr>
        <w:spacing w:after="0" w:line="5" w:lineRule="exact"/>
        <w:rPr>
          <w:rFonts w:ascii="Calibri" w:cs="Calibri" w:eastAsia="Calibri" w:hAnsi="Calibri"/>
          <w:sz w:val="14"/>
          <w:szCs w:val="14"/>
          <w:color w:val="auto"/>
        </w:rPr>
      </w:pPr>
    </w:p>
    <w:p>
      <w:pPr>
        <w:ind w:left="760" w:right="20" w:hanging="378"/>
        <w:spacing w:after="0" w:line="243" w:lineRule="auto"/>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Includes one or more fxed rate investments for which the Company entered into an interest rate swap agreement to swap to foatng rate. Calculaton includes income earning debt investments only.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$3,279,013 and $3,172,853,</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3,319,997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3,223,152</w:t>
            </w:r>
          </w:p>
        </w:tc>
        <w:tc>
          <w:tcPr>
            <w:tcW w:w="100" w:type="dxa"/>
            <w:vAlign w:val="bottom"/>
            <w:shd w:val="clear" w:color="auto" w:fill="CFF0FC"/>
          </w:tcPr>
          <w:p>
            <w:pPr>
              <w:spacing w:after="0"/>
              <w:rPr>
                <w:sz w:val="21"/>
                <w:szCs w:val="21"/>
                <w:color w:val="auto"/>
              </w:rPr>
            </w:pPr>
          </w:p>
        </w:tc>
      </w:tr>
      <w:tr>
        <w:trPr>
          <w:trHeight w:val="24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Controlled, affiliated investments (amortized cost of $80,639 and $78,159, respectively)</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60,012</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59,913</w:t>
            </w:r>
          </w:p>
        </w:tc>
        <w:tc>
          <w:tcPr>
            <w:tcW w:w="100" w:type="dxa"/>
            <w:vAlign w:val="bottom"/>
          </w:tcPr>
          <w:p>
            <w:pPr>
              <w:spacing w:after="0"/>
              <w:rPr>
                <w:sz w:val="21"/>
                <w:szCs w:val="21"/>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 (amortized cost of $3,359,652 and $3,251,012, respectively)</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3,380,009</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3,283,065</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(restricted cash of $29,100 and $23,979, respectively)</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Pr>
          <w:p>
            <w:pPr>
              <w:spacing w:after="0"/>
              <w:rPr>
                <w:sz w:val="20"/>
                <w:szCs w:val="20"/>
                <w:color w:val="auto"/>
              </w:rPr>
            </w:pPr>
          </w:p>
        </w:tc>
      </w:tr>
      <w:tr>
        <w:trPr>
          <w:trHeight w:val="281"/>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3,452,022</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(net of deferred financing costs of $25,258 and $21,930, respectively)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1,804,347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1,780,307</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100" w:type="dxa"/>
            <w:vAlign w:val="bottom"/>
          </w:tcPr>
          <w:p>
            <w:pPr>
              <w:spacing w:after="0"/>
              <w:rPr>
                <w:sz w:val="20"/>
                <w:szCs w:val="20"/>
                <w:color w:val="auto"/>
              </w:rPr>
            </w:pPr>
          </w:p>
        </w:tc>
      </w:tr>
      <w:tr>
        <w:trPr>
          <w:trHeight w:val="239"/>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1,870,016</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3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 400,000,000 shares authorized, 92,785,806</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88,493,749 shares issued, respectively; and 92,121,556 and 87,829,499</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1,492,511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1,405,173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664,250 and 664,250 shares held, respectively</w:t>
            </w:r>
          </w:p>
        </w:tc>
        <w:tc>
          <w:tcPr>
            <w:tcW w:w="3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(10,459 )</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(10,459 )</w:t>
            </w: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100,776</w:t>
            </w:r>
          </w:p>
        </w:tc>
        <w:tc>
          <w:tcPr>
            <w:tcW w:w="100" w:type="dxa"/>
            <w:vAlign w:val="bottom"/>
          </w:tcPr>
          <w:p>
            <w:pPr>
              <w:spacing w:after="0"/>
              <w:rPr>
                <w:sz w:val="20"/>
                <w:szCs w:val="20"/>
                <w:color w:val="auto"/>
              </w:rPr>
            </w:pPr>
          </w:p>
        </w:tc>
      </w:tr>
      <w:tr>
        <w:trPr>
          <w:trHeight w:val="239"/>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3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1,582,006</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1,496,375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3,452,022</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6"/>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948"/>
        </w:trPr>
        <w:tc>
          <w:tcPr>
            <w:tcW w:w="7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-4191000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-4173855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-2922270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-1259205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-916305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-899160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4"/>
                <w:szCs w:val="14"/>
                <w:color w:val="auto"/>
              </w:rPr>
            </w:pPr>
          </w:p>
        </w:tc>
      </w:tr>
      <w:tr>
        <w:trPr>
          <w:trHeight w:val="16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102,407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88,434</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5"/>
                <w:szCs w:val="15"/>
                <w:color w:val="auto"/>
              </w:rPr>
            </w:pPr>
          </w:p>
        </w:tc>
      </w:tr>
      <w:tr>
        <w:trPr>
          <w:trHeight w:val="169"/>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115,549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94,802</w:t>
            </w:r>
          </w:p>
        </w:tc>
        <w:tc>
          <w:tcPr>
            <w:tcW w:w="100" w:type="dxa"/>
            <w:vAlign w:val="bottom"/>
            <w:shd w:val="clear" w:color="auto" w:fill="CFF0FC"/>
          </w:tcPr>
          <w:p>
            <w:pPr>
              <w:spacing w:after="0"/>
              <w:rPr>
                <w:sz w:val="14"/>
                <w:szCs w:val="14"/>
                <w:color w:val="auto"/>
              </w:rPr>
            </w:pPr>
          </w:p>
        </w:tc>
      </w:tr>
      <w:tr>
        <w:trPr>
          <w:trHeight w:val="17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r>
      <w:tr>
        <w:trPr>
          <w:trHeight w:val="169"/>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117,783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96,505</w:t>
            </w:r>
          </w:p>
        </w:tc>
        <w:tc>
          <w:tcPr>
            <w:tcW w:w="100" w:type="dxa"/>
            <w:vAlign w:val="bottom"/>
          </w:tcPr>
          <w:p>
            <w:pPr>
              <w:spacing w:after="0"/>
              <w:rPr>
                <w:sz w:val="14"/>
                <w:szCs w:val="14"/>
                <w:color w:val="auto"/>
              </w:rPr>
            </w:pPr>
          </w:p>
        </w:tc>
      </w:tr>
      <w:tr>
        <w:trPr>
          <w:trHeight w:val="16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28,486</w:t>
            </w:r>
          </w:p>
        </w:tc>
        <w:tc>
          <w:tcPr>
            <w:tcW w:w="100" w:type="dxa"/>
            <w:vAlign w:val="bottom"/>
          </w:tcPr>
          <w:p>
            <w:pPr>
              <w:spacing w:after="0"/>
              <w:rPr>
                <w:sz w:val="15"/>
                <w:szCs w:val="15"/>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9,481</w:t>
            </w: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26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(845 )</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r>
      <w:tr>
        <w:trPr>
          <w:trHeight w:val="169"/>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64,969</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53,411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260" w:type="dxa"/>
            <w:vAlign w:val="bottom"/>
          </w:tcPr>
          <w:p>
            <w:pPr>
              <w:spacing w:after="0"/>
              <w:rPr>
                <w:sz w:val="14"/>
                <w:szCs w:val="14"/>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(398 )</w:t>
            </w:r>
          </w:p>
        </w:tc>
        <w:tc>
          <w:tcPr>
            <w:tcW w:w="260" w:type="dxa"/>
            <w:vAlign w:val="bottom"/>
          </w:tcPr>
          <w:p>
            <w:pPr>
              <w:spacing w:after="0"/>
              <w:rPr>
                <w:sz w:val="14"/>
                <w:szCs w:val="14"/>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(256 )</w:t>
            </w:r>
          </w:p>
        </w:tc>
      </w:tr>
      <w:tr>
        <w:trPr>
          <w:trHeight w:val="169"/>
        </w:trPr>
        <w:tc>
          <w:tcPr>
            <w:tcW w:w="71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64,571</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43,350</w:t>
            </w:r>
          </w:p>
        </w:tc>
        <w:tc>
          <w:tcPr>
            <w:tcW w:w="100" w:type="dxa"/>
            <w:vAlign w:val="bottom"/>
          </w:tcPr>
          <w:p>
            <w:pPr>
              <w:spacing w:after="0"/>
              <w:rPr>
                <w:sz w:val="14"/>
                <w:szCs w:val="14"/>
                <w:color w:val="auto"/>
              </w:rPr>
            </w:pPr>
          </w:p>
        </w:tc>
      </w:tr>
      <w:tr>
        <w:trPr>
          <w:trHeight w:val="175"/>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2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42,937</w:t>
            </w:r>
          </w:p>
        </w:tc>
        <w:tc>
          <w:tcPr>
            <w:tcW w:w="100" w:type="dxa"/>
            <w:vAlign w:val="bottom"/>
          </w:tcPr>
          <w:p>
            <w:pPr>
              <w:spacing w:after="0"/>
              <w:rPr>
                <w:sz w:val="14"/>
                <w:szCs w:val="14"/>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6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(9,315 )</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11,754</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26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(2,381 )</w:t>
            </w:r>
          </w:p>
        </w:tc>
        <w:tc>
          <w:tcPr>
            <w:tcW w:w="260" w:type="dxa"/>
            <w:vAlign w:val="bottom"/>
          </w:tcPr>
          <w:p>
            <w:pPr>
              <w:spacing w:after="0"/>
              <w:rPr>
                <w:sz w:val="15"/>
                <w:szCs w:val="15"/>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(6,204 )</w:t>
            </w:r>
          </w:p>
        </w:tc>
      </w:tr>
      <w:tr>
        <w:trPr>
          <w:trHeight w:val="175"/>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(1,004 )</w:t>
            </w:r>
          </w:p>
        </w:tc>
      </w:tr>
      <w:tr>
        <w:trPr>
          <w:trHeight w:val="175"/>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5"/>
                <w:szCs w:val="15"/>
                <w:color w:val="auto"/>
              </w:rPr>
            </w:pPr>
          </w:p>
        </w:tc>
      </w:tr>
      <w:tr>
        <w:trPr>
          <w:trHeight w:val="169"/>
        </w:trPr>
        <w:tc>
          <w:tcPr>
            <w:tcW w:w="71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260" w:type="dxa"/>
            <w:vAlign w:val="bottom"/>
            <w:shd w:val="clear" w:color="auto" w:fill="CFF0FC"/>
          </w:tcPr>
          <w:p>
            <w:pPr>
              <w:spacing w:after="0"/>
              <w:rPr>
                <w:sz w:val="14"/>
                <w:szCs w:val="14"/>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(6,969 )</w:t>
            </w: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100" w:type="dxa"/>
            <w:vAlign w:val="bottom"/>
            <w:shd w:val="clear" w:color="auto" w:fill="CFF0FC"/>
          </w:tcPr>
          <w:p>
            <w:pPr>
              <w:spacing w:after="0"/>
              <w:rPr>
                <w:sz w:val="14"/>
                <w:szCs w:val="14"/>
                <w:color w:val="auto"/>
              </w:rPr>
            </w:pPr>
          </w:p>
        </w:tc>
      </w:tr>
      <w:tr>
        <w:trPr>
          <w:trHeight w:val="169"/>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2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26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(109 )</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r>
      <w:tr>
        <w:trPr>
          <w:trHeight w:val="169"/>
        </w:trPr>
        <w:tc>
          <w:tcPr>
            <w:tcW w:w="71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260" w:type="dxa"/>
            <w:vAlign w:val="bottom"/>
          </w:tcPr>
          <w:p>
            <w:pPr>
              <w:spacing w:after="0"/>
              <w:rPr>
                <w:sz w:val="14"/>
                <w:szCs w:val="14"/>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(4,844 )</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00" w:type="dxa"/>
            <w:vAlign w:val="bottom"/>
          </w:tcPr>
          <w:p>
            <w:pPr>
              <w:spacing w:after="0"/>
              <w:rPr>
                <w:sz w:val="14"/>
                <w:szCs w:val="14"/>
                <w:color w:val="auto"/>
              </w:rPr>
            </w:pPr>
          </w:p>
        </w:tc>
      </w:tr>
      <w:tr>
        <w:trPr>
          <w:trHeight w:val="209"/>
        </w:trPr>
        <w:tc>
          <w:tcPr>
            <w:tcW w:w="71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47,518</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1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260" w:type="dxa"/>
            <w:vAlign w:val="bottom"/>
            <w:tcBorders>
              <w:bottom w:val="single" w:sz="8" w:color="auto"/>
            </w:tcBorders>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0.53</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0.65</w:t>
            </w:r>
          </w:p>
        </w:tc>
        <w:tc>
          <w:tcPr>
            <w:tcW w:w="100" w:type="dxa"/>
            <w:vAlign w:val="bottom"/>
          </w:tcPr>
          <w:p>
            <w:pPr>
              <w:spacing w:after="0"/>
              <w:rPr>
                <w:sz w:val="13"/>
                <w:szCs w:val="13"/>
                <w:color w:val="auto"/>
              </w:rPr>
            </w:pPr>
          </w:p>
        </w:tc>
      </w:tr>
      <w:tr>
        <w:trPr>
          <w:trHeight w:val="169"/>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89,032,381</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81,400,843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430"/>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7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-4379595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-3239770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-2999740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-2767965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-1859280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-1396365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-1156335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-1139190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-899160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60"/>
        <w:spacing w:after="0" w:line="235" w:lineRule="auto"/>
        <w:rPr>
          <w:sz w:val="20"/>
          <w:szCs w:val="20"/>
          <w:color w:val="auto"/>
        </w:rPr>
      </w:pPr>
      <w:r>
        <w:rPr>
          <w:rFonts w:ascii="Calibri" w:cs="Calibri" w:eastAsia="Calibri" w:hAnsi="Calibri"/>
          <w:sz w:val="18"/>
          <w:szCs w:val="18"/>
          <w:color w:val="auto"/>
        </w:rPr>
        <w:t>The Company’s investment actvity for the quarter ended March 31, 2024 and 2023 is presented below (informaton presented herein is at par value unless otherwise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gridSpan w:val="2"/>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56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6"/>
        </w:trPr>
        <w:tc>
          <w:tcPr>
            <w:tcW w:w="7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75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98.7 %</w:t>
            </w: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99.6 %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11.8 %</w:t>
            </w: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12.9 %</w:t>
            </w: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-4516755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-2339340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3" w:lineRule="exact"/>
        <w:rPr>
          <w:sz w:val="20"/>
          <w:szCs w:val="20"/>
          <w:color w:val="auto"/>
        </w:rPr>
      </w:pPr>
    </w:p>
    <w:p>
      <w:pPr>
        <w:ind w:left="760" w:hanging="378"/>
        <w:spacing w:after="0"/>
        <w:tabs>
          <w:tab w:leader="none" w:pos="76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Includes afliates of Sixth Street.</w:t>
      </w: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2" w:name="page13"/>
    <w:bookmarkEnd w:id="1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About Sixth Street Specialty Lending</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$77 billion in assets under management and commited capital. For more informaton, visit the Company’s website at </w:t>
      </w:r>
      <w:r>
        <w:rPr>
          <w:rFonts w:ascii="Calibri" w:cs="Calibri" w:eastAsia="Calibri" w:hAnsi="Calibri"/>
          <w:sz w:val="18"/>
          <w:szCs w:val="18"/>
          <w:color w:val="0563C1"/>
        </w:rPr>
        <w:t>htps://sixthstreetspecialtylending.com</w:t>
      </w:r>
      <w:r>
        <w:rPr>
          <w:rFonts w:ascii="Calibri" w:cs="Calibri" w:eastAsia="Calibri" w:hAnsi="Calibri"/>
          <w:sz w:val="18"/>
          <w:szCs w:val="18"/>
          <w:color w:val="auto"/>
        </w:rPr>
        <w:t>.</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Sixth Street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Sixth Street is a global investment frm with over $77 billion in assets under management and commited capital. The frm uses its long-term fexible capital, data-enabled capabilites, and One Team culture to develop themes and ofer solutons to companies across all stages of growth. Founded in 2009, Sixth Street has more than 600 team members including over 250 investment professionals around the world. For more informaton, visit htps://sixthstreet.com or follow Sixth Street on LinkedIn.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Statements included herein may consttute “forward-looking statements,” within the meaning of the federal securites laws and the Private Securites Litgaton Reform Act of 1995, which relate to future events or the Company’s future performance or fnancial conditon. These forward-looking statements can be identfed by the use of forward-looking terminology, such as “outlook,” “indicator,” “believes,” “expects,” “potental,” “contnues,” “may,” “can,” “will,” “should,” “seeks,” “approximately,” “predicts,” “intends,” “plans,” “estmates,” “antcipates”, “confdent,” “convicton,” “identfed” or the negatve versions of these words or other comparable words thereof.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 which are accessible on the SEC’s website at www.sec.gov. Except as otherwise required by federal securites laws, the Company assumes no obligaton to update any such forward-looking statements, whether as a result of new informaton, future developments or otherwise.</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Measures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Cami VanHorn, 469-621-2033</w:t>
      </w:r>
    </w:p>
    <w:p>
      <w:pPr>
        <w:spacing w:after="0" w:line="235" w:lineRule="auto"/>
        <w:rPr>
          <w:sz w:val="20"/>
          <w:szCs w:val="20"/>
          <w:color w:val="auto"/>
        </w:rPr>
      </w:pPr>
      <w:r>
        <w:rPr>
          <w:rFonts w:ascii="Calibri" w:cs="Calibri" w:eastAsia="Calibri" w:hAnsi="Calibri"/>
          <w:sz w:val="18"/>
          <w:szCs w:val="18"/>
          <w:color w:val="auto"/>
        </w:rPr>
        <w:t>Sixth Street Specialty Lending</w:t>
      </w:r>
    </w:p>
    <w:p>
      <w:pPr>
        <w:spacing w:after="0" w:line="236" w:lineRule="auto"/>
        <w:rPr>
          <w:sz w:val="20"/>
          <w:szCs w:val="20"/>
          <w:color w:val="auto"/>
        </w:rPr>
      </w:pPr>
      <w:r>
        <w:rPr>
          <w:rFonts w:ascii="Calibri" w:cs="Calibri" w:eastAsia="Calibri" w:hAnsi="Calibri"/>
          <w:sz w:val="18"/>
          <w:szCs w:val="18"/>
          <w:color w:val="auto"/>
        </w:rPr>
        <w:t>IRTSLX@sixthstreet.com</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Patrick Cliford, 617-793-2004</w:t>
      </w:r>
    </w:p>
    <w:p>
      <w:pPr>
        <w:spacing w:after="0" w:line="235" w:lineRule="auto"/>
        <w:rPr>
          <w:sz w:val="20"/>
          <w:szCs w:val="20"/>
          <w:color w:val="auto"/>
        </w:rPr>
      </w:pPr>
      <w:r>
        <w:rPr>
          <w:rFonts w:ascii="Calibri" w:cs="Calibri" w:eastAsia="Calibri" w:hAnsi="Calibri"/>
          <w:sz w:val="18"/>
          <w:szCs w:val="18"/>
          <w:color w:val="auto"/>
        </w:rPr>
        <w:t>Sixth Street</w:t>
      </w:r>
    </w:p>
    <w:p>
      <w:pPr>
        <w:spacing w:after="0" w:line="236" w:lineRule="auto"/>
        <w:rPr>
          <w:sz w:val="20"/>
          <w:szCs w:val="20"/>
          <w:color w:val="auto"/>
        </w:rPr>
      </w:pPr>
      <w:r>
        <w:rPr>
          <w:rFonts w:ascii="Calibri" w:cs="Calibri" w:eastAsia="Calibri" w:hAnsi="Calibri"/>
          <w:sz w:val="18"/>
          <w:szCs w:val="18"/>
          <w:color w:val="auto"/>
        </w:rPr>
        <w:t>PCliford@sixthstreet.com</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2024-05-01T15:15:13Z</dcterms:created>
  <dcterms:modified xsi:type="dcterms:W3CDTF">2024-05-01T15:15:13Z</dcterms:modified>
</cp:coreProperties>
</file>