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Doddy Hurley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Sixth Street Specialty Lending,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TSLX</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200" w:type="dxa"/>
            <w:vAlign w:val="bottom"/>
            <w:gridSpan w:val="2"/>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03/13/2023</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17.51</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15,241</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4,763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3,264 shares of Common Stock acquired under the Sixth Street Specialty Lending, Inc. dividend reinvestment plan since August 25, 2020.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1,263 shares of Common Stock acquired under the Sixth Street Specialty Lending, Inc. dividend reinvestment plan since August 25,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through a trust for which a member of Mr. Doddy's immediate family sharing the same household is the trustee. Mr. Doddy disclaims beneficial ownership of these securities, and the filing of this report is not an admission that Mr. Doddy is the beneficial owner of these securities for purposes of Section 16 or for any other purpose.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(4) Ian Simmonds is signing on behalf of Hurley Doddy pursuant to a Power of Attorney dated January 4, 2021, which was filed with the U.S. Securities and Exchange Commission on August 29, 2022.</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Ian Simmonds, on behalf of </w:t>
      </w:r>
      <w:r>
        <w:rPr>
          <w:rFonts w:ascii="Times New Roman" w:cs="Times New Roman" w:eastAsia="Times New Roman" w:hAnsi="Times New Roman"/>
          <w:sz w:val="34"/>
          <w:szCs w:val="34"/>
          <w:color w:val="0000FF"/>
          <w:vertAlign w:val="subscript"/>
        </w:rPr>
        <w:t>03/15/2023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Hurley Doddy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8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880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3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LIMITED POWER OF ATTORNEY FOR SECTION 16 REPORTING OBLIGATIONS</w:t>
      </w:r>
    </w:p>
    <w:p>
      <w:pPr>
        <w:spacing w:after="0" w:line="258"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David Stiepleman, Jennifer Gordon, and Ian Simmonds,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3" w:lineRule="exact"/>
        <w:rPr>
          <w:sz w:val="20"/>
          <w:szCs w:val="20"/>
          <w:color w:val="auto"/>
        </w:rPr>
      </w:pPr>
    </w:p>
    <w:p>
      <w:pPr>
        <w:jc w:val="both"/>
        <w:ind w:left="640" w:right="120" w:hanging="327"/>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196" w:lineRule="exact"/>
        <w:rPr>
          <w:rFonts w:ascii="Times New Roman" w:cs="Times New Roman" w:eastAsia="Times New Roman" w:hAnsi="Times New Roman"/>
          <w:sz w:val="18"/>
          <w:szCs w:val="18"/>
          <w:color w:val="auto"/>
        </w:rPr>
      </w:pPr>
    </w:p>
    <w:p>
      <w:pPr>
        <w:jc w:val="both"/>
        <w:ind w:left="640" w:right="120" w:hanging="327"/>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183" w:lineRule="exact"/>
        <w:rPr>
          <w:rFonts w:ascii="Times New Roman" w:cs="Times New Roman" w:eastAsia="Times New Roman" w:hAnsi="Times New Roman"/>
          <w:sz w:val="18"/>
          <w:szCs w:val="18"/>
          <w:color w:val="auto"/>
        </w:rPr>
      </w:pPr>
    </w:p>
    <w:p>
      <w:pPr>
        <w:jc w:val="both"/>
        <w:ind w:left="640" w:right="120" w:hanging="327"/>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33" w:lineRule="exact"/>
        <w:rPr>
          <w:sz w:val="20"/>
          <w:szCs w:val="20"/>
          <w:color w:val="auto"/>
        </w:rPr>
      </w:pPr>
    </w:p>
    <w:p>
      <w:pPr>
        <w:ind w:left="620" w:right="120" w:hanging="320"/>
        <w:spacing w:after="0" w:line="27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left="620" w:right="120" w:hanging="320"/>
        <w:spacing w:after="0" w:line="27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6" w:lineRule="exact"/>
        <w:rPr>
          <w:rFonts w:ascii="Times New Roman" w:cs="Times New Roman" w:eastAsia="Times New Roman" w:hAnsi="Times New Roman"/>
          <w:sz w:val="18"/>
          <w:szCs w:val="18"/>
          <w:color w:val="auto"/>
        </w:rPr>
      </w:pPr>
    </w:p>
    <w:p>
      <w:pPr>
        <w:jc w:val="both"/>
        <w:ind w:left="620" w:right="120" w:hanging="320"/>
        <w:spacing w:after="0" w:line="26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30" w:lineRule="exact"/>
        <w:rPr>
          <w:rFonts w:ascii="Times New Roman" w:cs="Times New Roman" w:eastAsia="Times New Roman" w:hAnsi="Times New Roman"/>
          <w:sz w:val="18"/>
          <w:szCs w:val="18"/>
          <w:color w:val="auto"/>
        </w:rPr>
      </w:pPr>
    </w:p>
    <w:p>
      <w:pPr>
        <w:jc w:val="both"/>
        <w:ind w:left="620" w:right="120" w:hanging="320"/>
        <w:spacing w:after="0" w:line="26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8"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 Fact, or his or her substitute or substitutes, shall lawfully do or cause to be done by authority of this Power of Attorney.</w:t>
      </w:r>
    </w:p>
    <w:p>
      <w:pPr>
        <w:spacing w:after="0" w:line="19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January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151130</wp:posOffset>
            </wp:positionV>
            <wp:extent cx="2073275" cy="153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73275"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Hurley Doddy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1344295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860"/>
      </w:cols>
      <w:pgMar w:left="580" w:top="3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12" Type="http://schemas.openxmlformats.org/officeDocument/2006/relationships/hyperlink" Target="http://www.sec.gov/cgi-bin/browse-edgar?action=getcompany&amp;CIK=00017670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2023-03-15T20:09:30Z</dcterms:created>
  <dcterms:modified xsi:type="dcterms:W3CDTF">2023-03-15T20:09:30Z</dcterms:modified>
</cp:coreProperties>
</file>